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6AE4" w14:textId="3C798EE5" w:rsidR="005E6834" w:rsidRPr="000144B5" w:rsidRDefault="00AE1256" w:rsidP="005E6834">
      <w:pPr>
        <w:pStyle w:val="Heading1"/>
        <w:rPr>
          <w:b/>
          <w:bCs/>
        </w:rPr>
      </w:pPr>
      <w:bookmarkStart w:id="0" w:name="_Hlk208583131"/>
      <w:r w:rsidRPr="000144B5">
        <w:rPr>
          <w:b/>
          <w:bCs/>
        </w:rPr>
        <w:t>Campaign Snapshot:</w:t>
      </w:r>
      <w:r w:rsidR="005E6834" w:rsidRPr="000144B5">
        <w:rPr>
          <w:b/>
          <w:bCs/>
        </w:rPr>
        <w:t xml:space="preserve"> Support Coordination </w:t>
      </w:r>
    </w:p>
    <w:p w14:paraId="243518A1" w14:textId="02DED9B6" w:rsidR="005E6834" w:rsidRDefault="005E6834" w:rsidP="00C60B73">
      <w:r>
        <w:t>The</w:t>
      </w:r>
      <w:r w:rsidRPr="007C2BEA">
        <w:rPr>
          <w:iCs/>
          <w:color w:val="auto"/>
        </w:rPr>
        <w:t xml:space="preserve"> </w:t>
      </w:r>
      <w:r>
        <w:rPr>
          <w:iCs/>
          <w:color w:val="auto"/>
        </w:rPr>
        <w:t>National Disability Insurance Scheme Quality and Safeguards Commission (NDIS Commission)</w:t>
      </w:r>
      <w:r>
        <w:t xml:space="preserve"> </w:t>
      </w:r>
      <w:r w:rsidR="00AE1256">
        <w:t>Support Coordination Targeted</w:t>
      </w:r>
      <w:r>
        <w:t xml:space="preserve"> Campaign (the Campaign) was designed to </w:t>
      </w:r>
      <w:r w:rsidR="00AE1256">
        <w:t xml:space="preserve">implement </w:t>
      </w:r>
      <w:hyperlink r:id="rId8" w:anchor="paragraph-id-8865" w:history="1">
        <w:r w:rsidR="00AE1256" w:rsidRPr="00FA13DE">
          <w:rPr>
            <w:rStyle w:val="Hyperlink"/>
          </w:rPr>
          <w:t>Part 2</w:t>
        </w:r>
      </w:hyperlink>
      <w:r w:rsidR="00AE1256">
        <w:t xml:space="preserve"> </w:t>
      </w:r>
      <w:r w:rsidR="00E152CA">
        <w:t>of the</w:t>
      </w:r>
      <w:r w:rsidRPr="00C45D42">
        <w:rPr>
          <w:rFonts w:cstheme="minorHAnsi"/>
          <w:szCs w:val="22"/>
        </w:rPr>
        <w:t xml:space="preserve"> </w:t>
      </w:r>
      <w:r>
        <w:rPr>
          <w:rFonts w:cstheme="minorHAnsi"/>
          <w:szCs w:val="22"/>
        </w:rPr>
        <w:t xml:space="preserve">NDIS Commission’s </w:t>
      </w:r>
      <w:hyperlink r:id="rId9" w:anchor="paragraph-id-8865" w:history="1">
        <w:r w:rsidRPr="00C45D42">
          <w:t>Own Motion Inquiry into support coordination and plan management (OMI)</w:t>
        </w:r>
        <w:r w:rsidR="00E152CA">
          <w:t>.</w:t>
        </w:r>
      </w:hyperlink>
      <w:r w:rsidRPr="00EE0892">
        <w:t xml:space="preserve"> </w:t>
      </w:r>
    </w:p>
    <w:p w14:paraId="43265A1B" w14:textId="15BEC0EB" w:rsidR="006E2504" w:rsidRPr="000144B5" w:rsidRDefault="0038087D" w:rsidP="000144B5">
      <w:pPr>
        <w:spacing w:before="0" w:after="0" w:line="240" w:lineRule="auto"/>
      </w:pPr>
      <w:r w:rsidRPr="000144B5">
        <w:rPr>
          <w:iCs/>
          <w:color w:val="auto"/>
        </w:rPr>
        <w:t>The campaign aligns with the NDIS Commission’s 202</w:t>
      </w:r>
      <w:r w:rsidR="00262B28">
        <w:rPr>
          <w:iCs/>
          <w:color w:val="auto"/>
        </w:rPr>
        <w:t>5-2026</w:t>
      </w:r>
      <w:r w:rsidRPr="000144B5">
        <w:rPr>
          <w:iCs/>
          <w:color w:val="auto"/>
        </w:rPr>
        <w:t xml:space="preserve"> Regulatory Priori</w:t>
      </w:r>
      <w:r w:rsidR="006E2504">
        <w:rPr>
          <w:iCs/>
          <w:color w:val="auto"/>
        </w:rPr>
        <w:t>ties:</w:t>
      </w:r>
    </w:p>
    <w:p w14:paraId="27A3E206" w14:textId="4D2F54EC" w:rsidR="005B1817" w:rsidRPr="00262B28" w:rsidRDefault="00262B28" w:rsidP="00C60B73">
      <w:pPr>
        <w:numPr>
          <w:ilvl w:val="0"/>
          <w:numId w:val="2"/>
        </w:numPr>
        <w:spacing w:before="0" w:after="0" w:line="240" w:lineRule="auto"/>
      </w:pPr>
      <w:r w:rsidRPr="00262B28">
        <w:rPr>
          <w:iCs/>
          <w:color w:val="auto"/>
        </w:rPr>
        <w:t>Strengthened oversight and regulation of unregistered NDIS providers and sole traders</w:t>
      </w:r>
    </w:p>
    <w:p w14:paraId="5DAFA909" w14:textId="2E3DE95A" w:rsidR="00262B28" w:rsidRPr="00262B28" w:rsidRDefault="00262B28" w:rsidP="00262B28">
      <w:pPr>
        <w:numPr>
          <w:ilvl w:val="0"/>
          <w:numId w:val="2"/>
        </w:numPr>
        <w:spacing w:before="0" w:after="0" w:line="240" w:lineRule="auto"/>
        <w:rPr>
          <w:iCs/>
          <w:color w:val="auto"/>
        </w:rPr>
      </w:pPr>
      <w:r w:rsidRPr="00262B28">
        <w:rPr>
          <w:iCs/>
          <w:color w:val="auto"/>
        </w:rPr>
        <w:t>Provider obligations to support, train and monitor appropriately skilled and capable workers</w:t>
      </w:r>
    </w:p>
    <w:p w14:paraId="669AC513" w14:textId="07E77B16" w:rsidR="0038087D" w:rsidRPr="00C60B73" w:rsidRDefault="002E0DE0" w:rsidP="005B1817">
      <w:r>
        <w:t>A</w:t>
      </w:r>
      <w:r w:rsidR="0038087D" w:rsidRPr="00C60B73">
        <w:t xml:space="preserve"> total of 4,748 registered and unregistered NDIS providers </w:t>
      </w:r>
      <w:r>
        <w:t xml:space="preserve">were </w:t>
      </w:r>
      <w:r w:rsidR="0038087D" w:rsidRPr="00C60B73">
        <w:t xml:space="preserve">identified </w:t>
      </w:r>
      <w:r>
        <w:t xml:space="preserve">as in scope </w:t>
      </w:r>
      <w:r w:rsidR="0031344A" w:rsidRPr="00C60B73">
        <w:t>because</w:t>
      </w:r>
      <w:r w:rsidR="0038087D" w:rsidRPr="00C60B73">
        <w:t xml:space="preserve"> they had billed for support coordination and any other services </w:t>
      </w:r>
      <w:r w:rsidR="00450F97">
        <w:t>(</w:t>
      </w:r>
      <w:r>
        <w:t>excluding</w:t>
      </w:r>
      <w:r w:rsidR="00450F97">
        <w:t xml:space="preserve"> plan </w:t>
      </w:r>
      <w:r>
        <w:t>management</w:t>
      </w:r>
      <w:r w:rsidR="00450F97">
        <w:t>)</w:t>
      </w:r>
      <w:r w:rsidR="00A42A3C">
        <w:t xml:space="preserve"> </w:t>
      </w:r>
      <w:r w:rsidR="0038087D" w:rsidRPr="00C60B73">
        <w:t xml:space="preserve">in the six months to 31 December 2024. </w:t>
      </w:r>
    </w:p>
    <w:p w14:paraId="06690368" w14:textId="602D1C90" w:rsidR="00AE1256" w:rsidRPr="000144B5" w:rsidRDefault="00AE1256" w:rsidP="000144B5">
      <w:pPr>
        <w:spacing w:before="0"/>
        <w:rPr>
          <w:b/>
          <w:bCs/>
          <w:szCs w:val="22"/>
        </w:rPr>
      </w:pPr>
      <w:r w:rsidRPr="000144B5">
        <w:rPr>
          <w:b/>
          <w:bCs/>
          <w:szCs w:val="22"/>
        </w:rPr>
        <w:t xml:space="preserve">Why </w:t>
      </w:r>
      <w:proofErr w:type="gramStart"/>
      <w:r w:rsidR="00266E7E">
        <w:rPr>
          <w:b/>
          <w:bCs/>
          <w:szCs w:val="22"/>
        </w:rPr>
        <w:t>this</w:t>
      </w:r>
      <w:r w:rsidR="00266E7E" w:rsidRPr="00266E7E">
        <w:rPr>
          <w:b/>
          <w:bCs/>
          <w:szCs w:val="22"/>
        </w:rPr>
        <w:t xml:space="preserve"> matters</w:t>
      </w:r>
      <w:proofErr w:type="gramEnd"/>
    </w:p>
    <w:p w14:paraId="5908A83F" w14:textId="3C168A80" w:rsidR="00B57E31" w:rsidRPr="00D301E5" w:rsidRDefault="00B57E31" w:rsidP="00A42A3C">
      <w:pPr>
        <w:spacing w:before="0" w:after="0" w:line="240" w:lineRule="auto"/>
        <w:rPr>
          <w:iCs/>
        </w:rPr>
      </w:pPr>
      <w:r w:rsidRPr="00B57E31">
        <w:rPr>
          <w:iCs/>
        </w:rPr>
        <w:t xml:space="preserve">Support coordination is </w:t>
      </w:r>
      <w:r>
        <w:rPr>
          <w:iCs/>
        </w:rPr>
        <w:t xml:space="preserve">an important capacity building support </w:t>
      </w:r>
      <w:r w:rsidRPr="00B57E31">
        <w:rPr>
          <w:iCs/>
        </w:rPr>
        <w:t>intended to help a participant to understand and use their NDIS plan to pursue their goals; connect with NDIS providers, community, mainstream and other government services; and build their confidence and skills to use and coordinate their supports.</w:t>
      </w:r>
    </w:p>
    <w:p w14:paraId="2BDFFC0E" w14:textId="7C36B7A8" w:rsidR="009B4299" w:rsidRPr="00C60B73" w:rsidRDefault="002A3FE5" w:rsidP="000144B5">
      <w:r>
        <w:t>In August 2023</w:t>
      </w:r>
      <w:r w:rsidR="005A65A3">
        <w:t xml:space="preserve"> the</w:t>
      </w:r>
      <w:r w:rsidR="009B4299" w:rsidRPr="00C60B73">
        <w:t xml:space="preserve"> OMI </w:t>
      </w:r>
      <w:r w:rsidR="005A65A3">
        <w:t>reported</w:t>
      </w:r>
      <w:r w:rsidR="005A65A3" w:rsidRPr="00C60B73">
        <w:t xml:space="preserve"> </w:t>
      </w:r>
      <w:r w:rsidR="009B4299" w:rsidRPr="00C60B73">
        <w:t>that approximately 45% of active participants ha</w:t>
      </w:r>
      <w:r w:rsidR="005A65A3">
        <w:t>d</w:t>
      </w:r>
      <w:r w:rsidR="009B4299" w:rsidRPr="00C60B73">
        <w:t xml:space="preserve"> support coordination in their NDIS plans and around 85% of payments for support coordination were made to registered NDIS providers.</w:t>
      </w:r>
      <w:r w:rsidR="003116B7">
        <w:t xml:space="preserve"> </w:t>
      </w:r>
    </w:p>
    <w:p w14:paraId="4D45BDD2" w14:textId="7DB6758C" w:rsidR="00AE1256" w:rsidRPr="000144B5" w:rsidRDefault="00AE1256" w:rsidP="00AE1256">
      <w:pPr>
        <w:rPr>
          <w:b/>
          <w:bCs/>
          <w:szCs w:val="22"/>
        </w:rPr>
      </w:pPr>
      <w:r w:rsidRPr="000144B5">
        <w:rPr>
          <w:b/>
          <w:bCs/>
          <w:szCs w:val="22"/>
        </w:rPr>
        <w:t>Who was involved</w:t>
      </w:r>
    </w:p>
    <w:p w14:paraId="5A7AE8AE" w14:textId="77777777" w:rsidR="00E152CA" w:rsidRPr="000144B5" w:rsidRDefault="00E152CA" w:rsidP="000144B5">
      <w:pPr>
        <w:numPr>
          <w:ilvl w:val="0"/>
          <w:numId w:val="2"/>
        </w:numPr>
        <w:spacing w:before="0" w:after="0" w:line="240" w:lineRule="auto"/>
        <w:rPr>
          <w:iCs/>
          <w:color w:val="auto"/>
        </w:rPr>
      </w:pPr>
      <w:r w:rsidRPr="000144B5">
        <w:rPr>
          <w:iCs/>
          <w:color w:val="auto"/>
        </w:rPr>
        <w:t>51 v</w:t>
      </w:r>
      <w:r w:rsidR="00AE1256" w:rsidRPr="000144B5">
        <w:rPr>
          <w:iCs/>
          <w:color w:val="auto"/>
        </w:rPr>
        <w:t xml:space="preserve">oluntary site visits were conducted with providers (36 registered and 15 unregistered) across five states during the period 26 March to 5 June 2025. </w:t>
      </w:r>
    </w:p>
    <w:p w14:paraId="2E5D2AC4" w14:textId="42BB3BE2" w:rsidR="00266E7E" w:rsidRPr="00266E7E" w:rsidRDefault="00E152CA" w:rsidP="000144B5">
      <w:pPr>
        <w:numPr>
          <w:ilvl w:val="0"/>
          <w:numId w:val="2"/>
        </w:numPr>
        <w:spacing w:before="0" w:after="60" w:line="240" w:lineRule="auto"/>
        <w:rPr>
          <w:b/>
          <w:bCs/>
        </w:rPr>
      </w:pPr>
      <w:r w:rsidRPr="000144B5">
        <w:rPr>
          <w:iCs/>
          <w:color w:val="auto"/>
        </w:rPr>
        <w:t xml:space="preserve">Across all providers visited they </w:t>
      </w:r>
      <w:r w:rsidR="00AE1256" w:rsidRPr="000144B5">
        <w:rPr>
          <w:iCs/>
          <w:color w:val="auto"/>
        </w:rPr>
        <w:t xml:space="preserve">employed approximately 988 support coordinators who provided services to over 24,300 NDIS participants. </w:t>
      </w:r>
    </w:p>
    <w:p w14:paraId="7CE13BED" w14:textId="73EC39BD" w:rsidR="00AE1256" w:rsidRPr="000144B5" w:rsidRDefault="00AE1256" w:rsidP="005E6834">
      <w:pPr>
        <w:spacing w:after="60"/>
        <w:rPr>
          <w:b/>
          <w:bCs/>
        </w:rPr>
      </w:pPr>
      <w:r w:rsidRPr="000144B5">
        <w:rPr>
          <w:b/>
          <w:bCs/>
        </w:rPr>
        <w:t>What we assessed</w:t>
      </w:r>
    </w:p>
    <w:p w14:paraId="23FEA691" w14:textId="78C8F149" w:rsidR="005E6834" w:rsidRDefault="005E6834" w:rsidP="000144B5">
      <w:r>
        <w:t>The campaign focused on</w:t>
      </w:r>
      <w:r w:rsidR="003372CA">
        <w:t xml:space="preserve"> provider practices and compliance with obligations in relation to </w:t>
      </w:r>
      <w:r w:rsidR="004A6DE9">
        <w:t xml:space="preserve">risk areas </w:t>
      </w:r>
      <w:r>
        <w:t xml:space="preserve">identified within the OMI and through market insights analysis: </w:t>
      </w:r>
    </w:p>
    <w:p w14:paraId="167242FD" w14:textId="7C971443" w:rsidR="009F06A4" w:rsidRPr="00CE7BFC" w:rsidRDefault="005E6834" w:rsidP="00CE7BFC">
      <w:pPr>
        <w:numPr>
          <w:ilvl w:val="0"/>
          <w:numId w:val="2"/>
        </w:numPr>
        <w:spacing w:before="0" w:after="0" w:line="240" w:lineRule="auto"/>
        <w:rPr>
          <w:iCs/>
          <w:color w:val="auto"/>
        </w:rPr>
      </w:pPr>
      <w:r>
        <w:rPr>
          <w:iCs/>
          <w:color w:val="auto"/>
        </w:rPr>
        <w:t>q</w:t>
      </w:r>
      <w:r w:rsidRPr="00905A92">
        <w:rPr>
          <w:iCs/>
          <w:color w:val="auto"/>
        </w:rPr>
        <w:t>uality of support coordination services</w:t>
      </w:r>
      <w:r w:rsidR="009F06A4">
        <w:rPr>
          <w:iCs/>
          <w:color w:val="auto"/>
        </w:rPr>
        <w:t xml:space="preserve"> including </w:t>
      </w:r>
      <w:r w:rsidR="009F06A4" w:rsidRPr="00CE7BFC">
        <w:rPr>
          <w:iCs/>
          <w:color w:val="auto"/>
        </w:rPr>
        <w:t xml:space="preserve">skills and knowledge of support coordinators, complaints management, and person-centred supports </w:t>
      </w:r>
    </w:p>
    <w:p w14:paraId="31F3A3FE" w14:textId="77777777" w:rsidR="005E6834" w:rsidRPr="00905A92" w:rsidRDefault="005E6834" w:rsidP="00A42A3C">
      <w:pPr>
        <w:numPr>
          <w:ilvl w:val="0"/>
          <w:numId w:val="2"/>
        </w:numPr>
        <w:spacing w:before="0" w:after="60" w:line="240" w:lineRule="auto"/>
        <w:rPr>
          <w:iCs/>
          <w:color w:val="auto"/>
        </w:rPr>
      </w:pPr>
      <w:r>
        <w:rPr>
          <w:iCs/>
          <w:color w:val="auto"/>
        </w:rPr>
        <w:t>c</w:t>
      </w:r>
      <w:r w:rsidRPr="00905A92">
        <w:rPr>
          <w:iCs/>
          <w:color w:val="auto"/>
        </w:rPr>
        <w:t>onflict of interest management and participant independence and informed choice.</w:t>
      </w:r>
    </w:p>
    <w:p w14:paraId="5D7DB49C" w14:textId="68E8EF07" w:rsidR="005E6834" w:rsidRPr="00C60B73" w:rsidRDefault="005E6834" w:rsidP="00A42A3C">
      <w:r w:rsidRPr="00C60B73">
        <w:t>The campaign contributes to a deeper understanding of the sector and identif</w:t>
      </w:r>
      <w:r w:rsidR="001E1219">
        <w:t xml:space="preserve">ied </w:t>
      </w:r>
      <w:r w:rsidRPr="00C60B73">
        <w:t>enablers and barriers to compliance. The campaign involved direct engagement with providers to assess compliance against sections of the Code of Conduct and multiple</w:t>
      </w:r>
      <w:r w:rsidR="00BF385F">
        <w:t xml:space="preserve"> NDIS P</w:t>
      </w:r>
      <w:r w:rsidRPr="00C60B73">
        <w:t xml:space="preserve">ractice </w:t>
      </w:r>
      <w:r w:rsidR="00BF385F">
        <w:t>S</w:t>
      </w:r>
      <w:r w:rsidRPr="00C60B73">
        <w:t>tandards relevant to quality of support coordination services, conflict of interest management and participant independence and informed choice.</w:t>
      </w:r>
    </w:p>
    <w:p w14:paraId="3AC8AFAE" w14:textId="2DA1B137" w:rsidR="0038087D" w:rsidRPr="000144B5" w:rsidRDefault="0038087D" w:rsidP="000144B5">
      <w:pPr>
        <w:rPr>
          <w:b/>
          <w:bCs/>
          <w:szCs w:val="22"/>
        </w:rPr>
      </w:pPr>
      <w:r w:rsidRPr="000144B5">
        <w:rPr>
          <w:b/>
          <w:bCs/>
          <w:szCs w:val="22"/>
        </w:rPr>
        <w:t xml:space="preserve">Key </w:t>
      </w:r>
      <w:r w:rsidR="00D544AD">
        <w:rPr>
          <w:b/>
          <w:bCs/>
          <w:szCs w:val="22"/>
        </w:rPr>
        <w:t>regulatory outcomes</w:t>
      </w:r>
    </w:p>
    <w:p w14:paraId="356D0102" w14:textId="1265FAAD" w:rsidR="00492B56" w:rsidRDefault="00492B56" w:rsidP="00492B56">
      <w:pPr>
        <w:spacing w:before="0" w:after="60" w:line="240" w:lineRule="auto"/>
        <w:rPr>
          <w:iCs/>
          <w:color w:val="auto"/>
        </w:rPr>
      </w:pPr>
      <w:r w:rsidRPr="00905A92">
        <w:rPr>
          <w:iCs/>
          <w:color w:val="auto"/>
        </w:rPr>
        <w:t>Of the 51 providers</w:t>
      </w:r>
      <w:r>
        <w:rPr>
          <w:iCs/>
          <w:color w:val="auto"/>
        </w:rPr>
        <w:t xml:space="preserve"> visited, the campaign identified eight providers (16%) with non-compliance:</w:t>
      </w:r>
    </w:p>
    <w:p w14:paraId="31CC757B" w14:textId="77777777" w:rsidR="00492B56" w:rsidRPr="004138F2" w:rsidRDefault="00492B56" w:rsidP="00492B56">
      <w:pPr>
        <w:pStyle w:val="ListParagraph"/>
        <w:numPr>
          <w:ilvl w:val="0"/>
          <w:numId w:val="1"/>
        </w:numPr>
        <w:spacing w:before="0" w:after="0" w:line="240" w:lineRule="auto"/>
        <w:rPr>
          <w:iCs/>
          <w:color w:val="auto"/>
        </w:rPr>
      </w:pPr>
      <w:r>
        <w:rPr>
          <w:iCs/>
          <w:color w:val="auto"/>
        </w:rPr>
        <w:t xml:space="preserve">Four providers (two registered and two unregistered) </w:t>
      </w:r>
      <w:r w:rsidRPr="00905A92">
        <w:rPr>
          <w:iCs/>
          <w:color w:val="auto"/>
        </w:rPr>
        <w:t xml:space="preserve">were found to be non-compliant with practice standards and/or sections of the Code of Conduct in relation to conflict of interest </w:t>
      </w:r>
      <w:r>
        <w:rPr>
          <w:iCs/>
          <w:color w:val="auto"/>
        </w:rPr>
        <w:t>and quality of services.</w:t>
      </w:r>
    </w:p>
    <w:p w14:paraId="0BC3BBAA" w14:textId="77777777" w:rsidR="00492B56" w:rsidRPr="00905A92" w:rsidRDefault="00492B56" w:rsidP="00492B56">
      <w:pPr>
        <w:pStyle w:val="ListParagraph"/>
        <w:numPr>
          <w:ilvl w:val="0"/>
          <w:numId w:val="1"/>
        </w:numPr>
        <w:spacing w:before="0" w:after="0" w:line="240" w:lineRule="auto"/>
        <w:rPr>
          <w:iCs/>
          <w:color w:val="auto"/>
        </w:rPr>
      </w:pPr>
      <w:r>
        <w:rPr>
          <w:iCs/>
          <w:color w:val="auto"/>
        </w:rPr>
        <w:lastRenderedPageBreak/>
        <w:t>Two</w:t>
      </w:r>
      <w:r w:rsidRPr="00E352FE">
        <w:rPr>
          <w:iCs/>
          <w:color w:val="auto"/>
        </w:rPr>
        <w:t xml:space="preserve"> providers (</w:t>
      </w:r>
      <w:r>
        <w:rPr>
          <w:iCs/>
          <w:color w:val="auto"/>
        </w:rPr>
        <w:t xml:space="preserve">both unregistered) </w:t>
      </w:r>
      <w:r w:rsidRPr="00E352FE">
        <w:rPr>
          <w:iCs/>
          <w:color w:val="auto"/>
        </w:rPr>
        <w:t xml:space="preserve">were found to be non-compliant </w:t>
      </w:r>
      <w:r>
        <w:rPr>
          <w:iCs/>
          <w:color w:val="auto"/>
        </w:rPr>
        <w:t xml:space="preserve">with </w:t>
      </w:r>
      <w:r w:rsidRPr="00E352FE">
        <w:rPr>
          <w:iCs/>
          <w:color w:val="auto"/>
        </w:rPr>
        <w:t>sections of the Code of Conduct in relation to quality of services</w:t>
      </w:r>
      <w:r>
        <w:rPr>
          <w:iCs/>
          <w:color w:val="auto"/>
        </w:rPr>
        <w:t>.</w:t>
      </w:r>
    </w:p>
    <w:p w14:paraId="6F032346" w14:textId="53B8B6CA" w:rsidR="00492B56" w:rsidRDefault="00492B56" w:rsidP="00492B56">
      <w:pPr>
        <w:pStyle w:val="ListParagraph"/>
        <w:numPr>
          <w:ilvl w:val="0"/>
          <w:numId w:val="1"/>
        </w:numPr>
        <w:spacing w:before="0" w:line="240" w:lineRule="auto"/>
        <w:rPr>
          <w:iCs/>
          <w:color w:val="auto"/>
        </w:rPr>
      </w:pPr>
      <w:r>
        <w:rPr>
          <w:iCs/>
          <w:color w:val="auto"/>
        </w:rPr>
        <w:t xml:space="preserve">Two providers (both registered) </w:t>
      </w:r>
      <w:r w:rsidRPr="00905A92">
        <w:rPr>
          <w:iCs/>
          <w:color w:val="auto"/>
        </w:rPr>
        <w:t xml:space="preserve">were found to be non-compliant with </w:t>
      </w:r>
      <w:r w:rsidR="000F5465">
        <w:rPr>
          <w:iCs/>
          <w:color w:val="auto"/>
        </w:rPr>
        <w:t>NDIS P</w:t>
      </w:r>
      <w:r w:rsidRPr="00905A92">
        <w:rPr>
          <w:iCs/>
          <w:color w:val="auto"/>
        </w:rPr>
        <w:t xml:space="preserve">ractice </w:t>
      </w:r>
      <w:r w:rsidR="000F5465">
        <w:rPr>
          <w:iCs/>
          <w:color w:val="auto"/>
        </w:rPr>
        <w:t>S</w:t>
      </w:r>
      <w:r w:rsidRPr="00905A92">
        <w:rPr>
          <w:iCs/>
          <w:color w:val="auto"/>
        </w:rPr>
        <w:t>tandards in relation to conflict of interest</w:t>
      </w:r>
      <w:r>
        <w:rPr>
          <w:iCs/>
          <w:color w:val="auto"/>
        </w:rPr>
        <w:t>.</w:t>
      </w:r>
    </w:p>
    <w:p w14:paraId="755BBF71" w14:textId="2772C05F" w:rsidR="00C909B4" w:rsidRDefault="00492B56" w:rsidP="00CE7BFC">
      <w:pPr>
        <w:spacing w:before="0" w:after="60" w:line="240" w:lineRule="auto"/>
        <w:rPr>
          <w:szCs w:val="22"/>
        </w:rPr>
      </w:pPr>
      <w:proofErr w:type="gramStart"/>
      <w:r>
        <w:t>A number of</w:t>
      </w:r>
      <w:proofErr w:type="gramEnd"/>
      <w:r>
        <w:t xml:space="preserve"> regulatory actions were taken </w:t>
      </w:r>
      <w:r w:rsidRPr="00A94CAB">
        <w:rPr>
          <w:iCs/>
          <w:color w:val="auto"/>
        </w:rPr>
        <w:t>during</w:t>
      </w:r>
      <w:r>
        <w:t xml:space="preserve"> the campaign</w:t>
      </w:r>
      <w:r w:rsidR="00202B50">
        <w:t>, including s</w:t>
      </w:r>
      <w:r>
        <w:rPr>
          <w:szCs w:val="22"/>
        </w:rPr>
        <w:t>even</w:t>
      </w:r>
      <w:r w:rsidRPr="00EC4BBA">
        <w:rPr>
          <w:szCs w:val="22"/>
        </w:rPr>
        <w:t xml:space="preserve"> corrective action requests</w:t>
      </w:r>
      <w:r w:rsidR="00C51016">
        <w:rPr>
          <w:szCs w:val="22"/>
        </w:rPr>
        <w:t>. Actions were subsequently completed by th</w:t>
      </w:r>
      <w:r w:rsidR="00DA3A72">
        <w:rPr>
          <w:szCs w:val="22"/>
        </w:rPr>
        <w:t>ese providers</w:t>
      </w:r>
      <w:r>
        <w:rPr>
          <w:szCs w:val="22"/>
        </w:rPr>
        <w:t xml:space="preserve"> </w:t>
      </w:r>
      <w:r>
        <w:rPr>
          <w:rFonts w:cs="Arial"/>
        </w:rPr>
        <w:t xml:space="preserve">to rectify </w:t>
      </w:r>
      <w:r w:rsidR="00DA3A72">
        <w:rPr>
          <w:rFonts w:cs="Arial"/>
        </w:rPr>
        <w:t xml:space="preserve">the </w:t>
      </w:r>
      <w:r w:rsidR="00202B50">
        <w:rPr>
          <w:rFonts w:cs="Arial"/>
        </w:rPr>
        <w:t xml:space="preserve">identified </w:t>
      </w:r>
      <w:r>
        <w:rPr>
          <w:rFonts w:cs="Arial"/>
        </w:rPr>
        <w:t>non-compliance</w:t>
      </w:r>
      <w:r w:rsidR="00C909B4">
        <w:rPr>
          <w:rFonts w:cs="Arial"/>
        </w:rPr>
        <w:t>.</w:t>
      </w:r>
    </w:p>
    <w:p w14:paraId="11DC7245" w14:textId="09014AD4" w:rsidR="005E6834" w:rsidRPr="00492B56" w:rsidRDefault="00492B56" w:rsidP="005E6834">
      <w:pPr>
        <w:rPr>
          <w:b/>
          <w:bCs/>
        </w:rPr>
      </w:pPr>
      <w:r w:rsidRPr="00492B56">
        <w:rPr>
          <w:b/>
          <w:bCs/>
        </w:rPr>
        <w:t>Key</w:t>
      </w:r>
      <w:r w:rsidR="00D544AD">
        <w:rPr>
          <w:b/>
          <w:bCs/>
        </w:rPr>
        <w:t xml:space="preserve"> insights</w:t>
      </w:r>
    </w:p>
    <w:p w14:paraId="051B890E" w14:textId="77777777" w:rsidR="00492B56" w:rsidRDefault="00492B56" w:rsidP="005E6834">
      <w:pPr>
        <w:spacing w:after="120"/>
      </w:pPr>
      <w:r w:rsidRPr="00C60B73">
        <w:t>The campaign yielded valuable insights into support coordination practices across both registered and unregistered providers across the two focus areas.</w:t>
      </w:r>
      <w:r>
        <w:t xml:space="preserve"> </w:t>
      </w:r>
    </w:p>
    <w:p w14:paraId="511884CD" w14:textId="514353DB" w:rsidR="005E6834" w:rsidRPr="00DD6A5C" w:rsidRDefault="005E6834" w:rsidP="005E6834">
      <w:pPr>
        <w:spacing w:after="120"/>
        <w:rPr>
          <w:szCs w:val="22"/>
        </w:rPr>
      </w:pPr>
      <w:r>
        <w:rPr>
          <w:i/>
          <w:color w:val="auto"/>
        </w:rPr>
        <w:t>Q</w:t>
      </w:r>
      <w:r w:rsidRPr="00E2042E">
        <w:rPr>
          <w:i/>
          <w:color w:val="auto"/>
        </w:rPr>
        <w:t>uality of support coordination services</w:t>
      </w:r>
    </w:p>
    <w:p w14:paraId="34AB999B" w14:textId="39BE7C14" w:rsidR="005E6834" w:rsidRDefault="005E6834" w:rsidP="005E6834">
      <w:pPr>
        <w:pStyle w:val="ListParagraph"/>
        <w:numPr>
          <w:ilvl w:val="0"/>
          <w:numId w:val="4"/>
        </w:numPr>
        <w:spacing w:before="60" w:after="60"/>
        <w:ind w:left="357" w:hanging="357"/>
        <w:contextualSpacing w:val="0"/>
      </w:pPr>
      <w:r>
        <w:t>71% of providers provided</w:t>
      </w:r>
      <w:r w:rsidRPr="009B65BF">
        <w:t xml:space="preserve"> services </w:t>
      </w:r>
      <w:r>
        <w:t xml:space="preserve">in addition to </w:t>
      </w:r>
      <w:r w:rsidRPr="009B65BF">
        <w:t>support coordination</w:t>
      </w:r>
      <w:r>
        <w:t>, either under the same ABN or through an associated entity, such as under a different ABN, management structure or corporate structure.</w:t>
      </w:r>
    </w:p>
    <w:p w14:paraId="3630AB79" w14:textId="33660BA3" w:rsidR="005E6834" w:rsidRDefault="005E6834" w:rsidP="005E6834">
      <w:pPr>
        <w:pStyle w:val="ListParagraph"/>
        <w:numPr>
          <w:ilvl w:val="0"/>
          <w:numId w:val="4"/>
        </w:numPr>
        <w:spacing w:before="60" w:after="60"/>
        <w:ind w:left="357" w:hanging="357"/>
        <w:contextualSpacing w:val="0"/>
      </w:pPr>
      <w:r>
        <w:t>61% of</w:t>
      </w:r>
      <w:r w:rsidRPr="009B65BF">
        <w:t xml:space="preserve"> providers</w:t>
      </w:r>
      <w:r w:rsidRPr="00F85676">
        <w:t xml:space="preserve"> required support coordinators to </w:t>
      </w:r>
      <w:r w:rsidRPr="009B65BF">
        <w:t xml:space="preserve">hold at least a Certificate III </w:t>
      </w:r>
      <w:r w:rsidRPr="00F85676">
        <w:t>in</w:t>
      </w:r>
      <w:r>
        <w:t xml:space="preserve"> a relevant field with many seeking </w:t>
      </w:r>
      <w:r w:rsidR="00BF385F">
        <w:t>additional</w:t>
      </w:r>
      <w:r>
        <w:t xml:space="preserve"> qualifications where possible</w:t>
      </w:r>
      <w:r w:rsidR="00BF385F">
        <w:t>; m</w:t>
      </w:r>
      <w:r>
        <w:t>ost providers delivering Level 3 support coordination reported they required staff to have an allied health background for this role.</w:t>
      </w:r>
    </w:p>
    <w:p w14:paraId="042F0479" w14:textId="571960C2" w:rsidR="005E6834" w:rsidRPr="004D2931" w:rsidRDefault="005E6834" w:rsidP="005E6834">
      <w:pPr>
        <w:pStyle w:val="ListParagraph"/>
        <w:numPr>
          <w:ilvl w:val="0"/>
          <w:numId w:val="4"/>
        </w:numPr>
        <w:spacing w:before="60" w:after="60"/>
        <w:ind w:left="357" w:hanging="357"/>
        <w:contextualSpacing w:val="0"/>
      </w:pPr>
      <w:r w:rsidRPr="004D2931">
        <w:t xml:space="preserve">A significant proportion of providers </w:t>
      </w:r>
      <w:r w:rsidR="000F5465">
        <w:t xml:space="preserve">advised they </w:t>
      </w:r>
      <w:r w:rsidRPr="004D2931">
        <w:t xml:space="preserve">utilise the Specialist Support Coordination Module of the </w:t>
      </w:r>
      <w:r w:rsidR="000F5465">
        <w:t xml:space="preserve">NDIS </w:t>
      </w:r>
      <w:r w:rsidRPr="004D2931">
        <w:t>Practice Standards to guide their practices, delivering supports that consider each participant's circumstances and risk factors, regardless of the level of support coordination funded.</w:t>
      </w:r>
    </w:p>
    <w:p w14:paraId="1ACB3C53" w14:textId="77777777" w:rsidR="005E6834" w:rsidRDefault="005E6834" w:rsidP="005E6834">
      <w:pPr>
        <w:pStyle w:val="ListParagraph"/>
        <w:numPr>
          <w:ilvl w:val="0"/>
          <w:numId w:val="4"/>
        </w:numPr>
        <w:spacing w:before="60" w:after="60"/>
        <w:contextualSpacing w:val="0"/>
      </w:pPr>
      <w:r>
        <w:t xml:space="preserve">Almost half of providers visited </w:t>
      </w:r>
      <w:r w:rsidRPr="00F85676">
        <w:t>h</w:t>
      </w:r>
      <w:r>
        <w:t xml:space="preserve">ad developed their </w:t>
      </w:r>
      <w:r w:rsidRPr="009B65BF">
        <w:t>own tailored training programs</w:t>
      </w:r>
      <w:r w:rsidRPr="00F85676">
        <w:t xml:space="preserve"> for support coordinators, while </w:t>
      </w:r>
      <w:r>
        <w:t>about a quarter had</w:t>
      </w:r>
      <w:r w:rsidRPr="009B65BF">
        <w:t xml:space="preserve"> engaged external providers</w:t>
      </w:r>
      <w:r>
        <w:t>, highlighting a proactive and varied approach to workforce development.</w:t>
      </w:r>
    </w:p>
    <w:p w14:paraId="01D5EFA2" w14:textId="7A8358D6" w:rsidR="005E6834" w:rsidRDefault="005E6834" w:rsidP="005E6834">
      <w:pPr>
        <w:pStyle w:val="ListParagraph"/>
        <w:numPr>
          <w:ilvl w:val="0"/>
          <w:numId w:val="4"/>
        </w:numPr>
        <w:spacing w:before="60" w:after="60"/>
        <w:contextualSpacing w:val="0"/>
      </w:pPr>
      <w:r>
        <w:t xml:space="preserve">A majority of medium (100 - 999 participants) and large (1000+ participants) providers use a team-based structure in which support coordinators are supported by a dedicated team leader with reduced or no billable caseload. </w:t>
      </w:r>
    </w:p>
    <w:p w14:paraId="0756C52A" w14:textId="3957D4CA" w:rsidR="005E6834" w:rsidRDefault="005E6834" w:rsidP="005E6834">
      <w:pPr>
        <w:pStyle w:val="ListParagraph"/>
        <w:numPr>
          <w:ilvl w:val="0"/>
          <w:numId w:val="4"/>
        </w:numPr>
        <w:spacing w:before="60" w:after="60"/>
        <w:contextualSpacing w:val="0"/>
      </w:pPr>
      <w:r>
        <w:t xml:space="preserve">11% </w:t>
      </w:r>
      <w:r w:rsidRPr="00F85676">
        <w:t xml:space="preserve">of </w:t>
      </w:r>
      <w:r w:rsidRPr="009B65BF">
        <w:t xml:space="preserve">providers had outdated, or incorrect NDIS Commission contact details </w:t>
      </w:r>
      <w:r w:rsidRPr="00F85676">
        <w:t>i</w:t>
      </w:r>
      <w:r>
        <w:t>n documents provided to participants, highlighting a gap in quality assurance that may impact participants’ ability to access independent complaints and oversight pathways.</w:t>
      </w:r>
    </w:p>
    <w:p w14:paraId="26D68F4A" w14:textId="14A42B92" w:rsidR="005E6834" w:rsidRPr="004E6212" w:rsidRDefault="005E6834" w:rsidP="004E6212">
      <w:pPr>
        <w:spacing w:after="120"/>
        <w:rPr>
          <w:i/>
          <w:color w:val="auto"/>
        </w:rPr>
      </w:pPr>
      <w:r w:rsidRPr="00E2042E">
        <w:rPr>
          <w:i/>
          <w:color w:val="auto"/>
        </w:rPr>
        <w:t>Conflict of interest management and participant independence and informed choice</w:t>
      </w:r>
    </w:p>
    <w:p w14:paraId="1043C8BE" w14:textId="77777777" w:rsidR="005E6834" w:rsidRDefault="005E6834" w:rsidP="005E6834">
      <w:pPr>
        <w:pStyle w:val="ListParagraph"/>
        <w:numPr>
          <w:ilvl w:val="0"/>
          <w:numId w:val="4"/>
        </w:numPr>
        <w:spacing w:before="60" w:after="60"/>
        <w:contextualSpacing w:val="0"/>
      </w:pPr>
      <w:r w:rsidRPr="00F85676">
        <w:t>Most</w:t>
      </w:r>
      <w:r w:rsidRPr="009B65BF">
        <w:t xml:space="preserve"> support coordinators</w:t>
      </w:r>
      <w:r w:rsidRPr="00F85676">
        <w:t xml:space="preserve"> provided participants with </w:t>
      </w:r>
      <w:r w:rsidRPr="009B65BF">
        <w:t xml:space="preserve">at least three service options </w:t>
      </w:r>
      <w:r w:rsidRPr="00F85676">
        <w:t>when coordinating supports</w:t>
      </w:r>
      <w:r>
        <w:t>, aligning them to participant preferences where possible</w:t>
      </w:r>
      <w:r w:rsidRPr="00F85676">
        <w:t>, indicating an awareness of the importance of choice and control.</w:t>
      </w:r>
      <w:r>
        <w:t xml:space="preserve"> Providers indicated some instances where this was not possible, notably allied health in regional areas.</w:t>
      </w:r>
    </w:p>
    <w:p w14:paraId="1378D477" w14:textId="77777777" w:rsidR="005E6834" w:rsidRDefault="005E6834" w:rsidP="005E6834">
      <w:pPr>
        <w:pStyle w:val="ListParagraph"/>
        <w:numPr>
          <w:ilvl w:val="0"/>
          <w:numId w:val="4"/>
        </w:numPr>
        <w:spacing w:before="60" w:after="60"/>
        <w:contextualSpacing w:val="0"/>
      </w:pPr>
      <w:r>
        <w:t xml:space="preserve">Providers use a range of strategies to identify suitable supports for participants, particularly in the absence of formal service directories. These include public platforms; internally developed provider databases to record and update service providers, specialisations and quality; and ongoing research and engagement in local communities to maintain visibility of non-NDIS and community-based services. </w:t>
      </w:r>
    </w:p>
    <w:p w14:paraId="1D7B943D" w14:textId="6CD94BBF" w:rsidR="005E6834" w:rsidRPr="00522FD4" w:rsidRDefault="005E6834" w:rsidP="005E6834">
      <w:pPr>
        <w:pStyle w:val="ListParagraph"/>
        <w:numPr>
          <w:ilvl w:val="0"/>
          <w:numId w:val="4"/>
        </w:numPr>
        <w:spacing w:before="60" w:after="60"/>
        <w:contextualSpacing w:val="0"/>
      </w:pPr>
      <w:proofErr w:type="gramStart"/>
      <w:r>
        <w:t>The majority of</w:t>
      </w:r>
      <w:proofErr w:type="gramEnd"/>
      <w:r w:rsidRPr="00E2042E">
        <w:rPr>
          <w:iCs/>
          <w:color w:val="auto"/>
        </w:rPr>
        <w:t xml:space="preserve"> providers included secondary employment in their conflict-of-interest registers, identifying and managing potential risks to impartial service delivery.</w:t>
      </w:r>
    </w:p>
    <w:p w14:paraId="28F2B06E" w14:textId="77777777" w:rsidR="005E6834" w:rsidRDefault="005E6834" w:rsidP="005E6834">
      <w:pPr>
        <w:pStyle w:val="ListParagraph"/>
        <w:numPr>
          <w:ilvl w:val="0"/>
          <w:numId w:val="4"/>
        </w:numPr>
        <w:spacing w:beforeLines="60" w:before="144" w:afterLines="60" w:after="144"/>
        <w:contextualSpacing w:val="0"/>
      </w:pPr>
      <w:r>
        <w:t>Despite having policies, many providers lacked clarity in how to apply conflict of interest management in practice, reinforcing a policy alone is not an enabler.</w:t>
      </w:r>
    </w:p>
    <w:p w14:paraId="063ABEA2" w14:textId="4E44D0AE" w:rsidR="00E33E21" w:rsidRDefault="005E6834" w:rsidP="00E33E21">
      <w:pPr>
        <w:spacing w:beforeLines="60" w:before="144" w:afterLines="60" w:after="144"/>
      </w:pPr>
      <w:r>
        <w:t>The campaign identified additional insights in relation to support coordination</w:t>
      </w:r>
      <w:r w:rsidR="00E33E21">
        <w:t>, with providers reporting:</w:t>
      </w:r>
    </w:p>
    <w:p w14:paraId="3C4C0B73" w14:textId="155E1907" w:rsidR="00062741" w:rsidRDefault="005E6834" w:rsidP="00062741">
      <w:pPr>
        <w:pStyle w:val="ListParagraph"/>
        <w:numPr>
          <w:ilvl w:val="0"/>
          <w:numId w:val="4"/>
        </w:numPr>
        <w:spacing w:beforeLines="60" w:before="144" w:afterLines="60" w:after="144"/>
        <w:contextualSpacing w:val="0"/>
      </w:pPr>
      <w:r>
        <w:t>uncertain</w:t>
      </w:r>
      <w:r w:rsidR="00E33E21">
        <w:t>ty</w:t>
      </w:r>
      <w:r>
        <w:t xml:space="preserve"> about the future of their operations </w:t>
      </w:r>
      <w:proofErr w:type="gramStart"/>
      <w:r w:rsidR="00E33E21">
        <w:t>in light of</w:t>
      </w:r>
      <w:proofErr w:type="gramEnd"/>
      <w:r w:rsidR="00E33E21">
        <w:t xml:space="preserve"> </w:t>
      </w:r>
      <w:r>
        <w:t xml:space="preserve">the potential shift to navigators and limited communication about this change and the timing of mandatory registration. </w:t>
      </w:r>
    </w:p>
    <w:p w14:paraId="7028DF83" w14:textId="62725500" w:rsidR="005E6834" w:rsidRDefault="005E6834" w:rsidP="00062741">
      <w:pPr>
        <w:pStyle w:val="ListParagraph"/>
        <w:numPr>
          <w:ilvl w:val="0"/>
          <w:numId w:val="4"/>
        </w:numPr>
        <w:spacing w:beforeLines="60" w:before="144" w:afterLines="60" w:after="144"/>
        <w:contextualSpacing w:val="0"/>
      </w:pPr>
      <w:r>
        <w:t xml:space="preserve">misalignment </w:t>
      </w:r>
      <w:r w:rsidR="00A129CE">
        <w:t>between</w:t>
      </w:r>
      <w:r>
        <w:t xml:space="preserve"> support coordination funding and participant needs. </w:t>
      </w:r>
    </w:p>
    <w:p w14:paraId="6B138E0D" w14:textId="5733CDDF" w:rsidR="005E6834" w:rsidRPr="00522FD4" w:rsidRDefault="005E6834" w:rsidP="005E6834">
      <w:pPr>
        <w:pStyle w:val="ListParagraph"/>
        <w:numPr>
          <w:ilvl w:val="0"/>
          <w:numId w:val="4"/>
        </w:numPr>
        <w:spacing w:beforeLines="60" w:before="144" w:afterLines="60" w:after="144"/>
        <w:contextualSpacing w:val="0"/>
      </w:pPr>
      <w:r>
        <w:lastRenderedPageBreak/>
        <w:t xml:space="preserve">that support coordinators are often relied upon by participants for informal supports, particularly where natural supports are absent. While this may reflect trusted relationships, it places participants at risk of blurred boundaries and in some cases, exploitation. </w:t>
      </w:r>
    </w:p>
    <w:bookmarkEnd w:id="0"/>
    <w:p w14:paraId="51C2E3BC" w14:textId="1BD0BA51" w:rsidR="00B15530" w:rsidRDefault="00B15530">
      <w:pPr>
        <w:rPr>
          <w:b/>
          <w:bCs/>
          <w:szCs w:val="22"/>
        </w:rPr>
      </w:pPr>
      <w:r w:rsidRPr="000144B5">
        <w:rPr>
          <w:b/>
          <w:bCs/>
          <w:szCs w:val="22"/>
        </w:rPr>
        <w:t xml:space="preserve">Next </w:t>
      </w:r>
      <w:r w:rsidR="00062741">
        <w:rPr>
          <w:b/>
          <w:bCs/>
          <w:szCs w:val="22"/>
        </w:rPr>
        <w:t>s</w:t>
      </w:r>
      <w:r w:rsidRPr="000144B5">
        <w:rPr>
          <w:b/>
          <w:bCs/>
          <w:szCs w:val="22"/>
        </w:rPr>
        <w:t>teps</w:t>
      </w:r>
    </w:p>
    <w:p w14:paraId="1DBC70BA" w14:textId="6A481342" w:rsidR="001453E9" w:rsidRDefault="001453E9" w:rsidP="00A42A3C">
      <w:r>
        <w:t>The NDIS Commission will:</w:t>
      </w:r>
    </w:p>
    <w:p w14:paraId="481AB31F" w14:textId="4D82CE85" w:rsidR="003E475D" w:rsidRDefault="00A734EE" w:rsidP="000144B5">
      <w:pPr>
        <w:pStyle w:val="ListParagraph"/>
        <w:numPr>
          <w:ilvl w:val="0"/>
          <w:numId w:val="4"/>
        </w:numPr>
        <w:spacing w:beforeLines="60" w:before="144" w:afterLines="60" w:after="144"/>
        <w:contextualSpacing w:val="0"/>
      </w:pPr>
      <w:r w:rsidRPr="000144B5">
        <w:t xml:space="preserve">Develop clear </w:t>
      </w:r>
      <w:r w:rsidR="00266E7E">
        <w:t>guidance material for support coordinators</w:t>
      </w:r>
      <w:r w:rsidR="001453E9">
        <w:t xml:space="preserve"> and participants</w:t>
      </w:r>
      <w:r w:rsidRPr="000144B5">
        <w:t xml:space="preserve"> regarding conflict of interest </w:t>
      </w:r>
    </w:p>
    <w:p w14:paraId="2D13B225" w14:textId="13BAAAE8" w:rsidR="001453E9" w:rsidRDefault="001453E9" w:rsidP="00464B68">
      <w:pPr>
        <w:pStyle w:val="ListParagraph"/>
        <w:numPr>
          <w:ilvl w:val="0"/>
          <w:numId w:val="4"/>
        </w:numPr>
        <w:spacing w:beforeLines="60" w:before="144" w:afterLines="60" w:after="144"/>
        <w:contextualSpacing w:val="0"/>
      </w:pPr>
      <w:r>
        <w:t>Continue its focus on ensuring quality support coordination services and provider compliance with obligations. Participants and their support</w:t>
      </w:r>
      <w:r w:rsidR="00464B68">
        <w:t>er</w:t>
      </w:r>
      <w:r>
        <w:t>s are encouraged to report any concerns with providers</w:t>
      </w:r>
      <w:r w:rsidR="00464B68">
        <w:t xml:space="preserve"> to the NDIS Commission: </w:t>
      </w:r>
      <w:hyperlink r:id="rId10" w:history="1">
        <w:r w:rsidR="00516B41">
          <w:rPr>
            <w:rStyle w:val="Hyperlink"/>
          </w:rPr>
          <w:t xml:space="preserve">Report an issue or make a complaint about a provider or worker </w:t>
        </w:r>
      </w:hyperlink>
      <w:hyperlink r:id="rId11" w:history="1">
        <w:r w:rsidR="00464B68">
          <w:rPr>
            <w:rStyle w:val="Hyperlink"/>
          </w:rPr>
          <w:t>.</w:t>
        </w:r>
      </w:hyperlink>
    </w:p>
    <w:p w14:paraId="1657F9CE" w14:textId="77777777" w:rsidR="004F7CD6" w:rsidRPr="004F7CD6" w:rsidRDefault="004F7CD6" w:rsidP="004F7CD6">
      <w:pPr>
        <w:rPr>
          <w:b/>
          <w:bCs/>
          <w:szCs w:val="22"/>
        </w:rPr>
      </w:pPr>
      <w:r w:rsidRPr="004F7CD6">
        <w:rPr>
          <w:b/>
          <w:bCs/>
          <w:szCs w:val="22"/>
        </w:rPr>
        <w:t>Additional Resources </w:t>
      </w:r>
    </w:p>
    <w:p w14:paraId="36A2D82F" w14:textId="77777777" w:rsidR="004F7CD6" w:rsidRPr="004F7CD6" w:rsidRDefault="004F7CD6" w:rsidP="004F7CD6">
      <w:pPr>
        <w:pStyle w:val="ListParagraph"/>
        <w:numPr>
          <w:ilvl w:val="0"/>
          <w:numId w:val="4"/>
        </w:numPr>
        <w:spacing w:beforeLines="60" w:before="144" w:afterLines="60" w:after="144"/>
      </w:pPr>
      <w:r w:rsidRPr="004F7CD6">
        <w:t>NDIS Commission – </w:t>
      </w:r>
      <w:hyperlink r:id="rId12" w:anchor="paragraph-id-7726" w:tgtFrame="_blank" w:history="1">
        <w:r w:rsidRPr="004F7CD6">
          <w:rPr>
            <w:rStyle w:val="Hyperlink"/>
          </w:rPr>
          <w:t>Guide: Code of Conduct for Providers </w:t>
        </w:r>
      </w:hyperlink>
      <w:r w:rsidRPr="004F7CD6">
        <w:t> </w:t>
      </w:r>
    </w:p>
    <w:p w14:paraId="204C5160" w14:textId="77777777" w:rsidR="004F7CD6" w:rsidRPr="004F7CD6" w:rsidRDefault="004F7CD6" w:rsidP="004F7CD6">
      <w:pPr>
        <w:pStyle w:val="ListParagraph"/>
        <w:numPr>
          <w:ilvl w:val="0"/>
          <w:numId w:val="4"/>
        </w:numPr>
        <w:spacing w:beforeLines="60" w:before="144" w:afterLines="60" w:after="144"/>
      </w:pPr>
      <w:r w:rsidRPr="004F7CD6">
        <w:t>Workforce Capability Framework - </w:t>
      </w:r>
      <w:hyperlink r:id="rId13" w:tgtFrame="_blank" w:history="1">
        <w:r w:rsidRPr="004F7CD6">
          <w:rPr>
            <w:rStyle w:val="Hyperlink"/>
          </w:rPr>
          <w:t>Workforce Capability Framework</w:t>
        </w:r>
      </w:hyperlink>
      <w:r w:rsidRPr="004F7CD6">
        <w:t>  </w:t>
      </w:r>
    </w:p>
    <w:p w14:paraId="209C8F71" w14:textId="77777777" w:rsidR="004F7CD6" w:rsidRPr="004F7CD6" w:rsidRDefault="004F7CD6" w:rsidP="004F7CD6">
      <w:pPr>
        <w:pStyle w:val="ListParagraph"/>
        <w:numPr>
          <w:ilvl w:val="0"/>
          <w:numId w:val="4"/>
        </w:numPr>
        <w:spacing w:beforeLines="60" w:before="144" w:afterLines="60" w:after="144"/>
      </w:pPr>
      <w:r w:rsidRPr="004F7CD6">
        <w:t>NDIA – </w:t>
      </w:r>
      <w:hyperlink r:id="rId14" w:tgtFrame="_blank" w:history="1">
        <w:r w:rsidRPr="004F7CD6">
          <w:rPr>
            <w:rStyle w:val="Hyperlink"/>
          </w:rPr>
          <w:t>Working as a Support Coordination Provider</w:t>
        </w:r>
      </w:hyperlink>
      <w:r w:rsidRPr="004F7CD6">
        <w:t> </w:t>
      </w:r>
    </w:p>
    <w:p w14:paraId="31379CF2" w14:textId="77777777" w:rsidR="004F7CD6" w:rsidRPr="004F7CD6" w:rsidRDefault="004F7CD6" w:rsidP="004F7CD6">
      <w:pPr>
        <w:pStyle w:val="ListParagraph"/>
        <w:numPr>
          <w:ilvl w:val="0"/>
          <w:numId w:val="4"/>
        </w:numPr>
        <w:spacing w:beforeLines="60" w:before="144" w:afterLines="60" w:after="144"/>
      </w:pPr>
      <w:r w:rsidRPr="004F7CD6">
        <w:t>NDIA – </w:t>
      </w:r>
      <w:hyperlink r:id="rId15" w:tgtFrame="_blank" w:history="1">
        <w:r w:rsidRPr="004F7CD6">
          <w:rPr>
            <w:rStyle w:val="Hyperlink"/>
          </w:rPr>
          <w:t>Information on Supported Decision Making</w:t>
        </w:r>
      </w:hyperlink>
    </w:p>
    <w:p w14:paraId="2AEBD3D8" w14:textId="77777777" w:rsidR="004F7CD6" w:rsidRPr="00CD714E" w:rsidRDefault="004F7CD6" w:rsidP="004F7CD6">
      <w:pPr>
        <w:pStyle w:val="ListParagraph"/>
        <w:spacing w:beforeLines="60" w:before="144" w:afterLines="60" w:after="144"/>
        <w:ind w:left="360"/>
        <w:contextualSpacing w:val="0"/>
      </w:pPr>
    </w:p>
    <w:sectPr w:rsidR="004F7CD6" w:rsidRPr="00CD714E" w:rsidSect="00262B28">
      <w:headerReference w:type="first" r:id="rId16"/>
      <w:pgSz w:w="11906" w:h="16838"/>
      <w:pgMar w:top="1134" w:right="1133" w:bottom="28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C551" w14:textId="77777777" w:rsidR="00EE053C" w:rsidRDefault="00EE053C" w:rsidP="004C2946">
      <w:pPr>
        <w:spacing w:before="0" w:after="0" w:line="240" w:lineRule="auto"/>
      </w:pPr>
      <w:r>
        <w:separator/>
      </w:r>
    </w:p>
  </w:endnote>
  <w:endnote w:type="continuationSeparator" w:id="0">
    <w:p w14:paraId="56CECE3B" w14:textId="77777777" w:rsidR="00EE053C" w:rsidRDefault="00EE053C" w:rsidP="004C29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CCC8" w14:textId="77777777" w:rsidR="00EE053C" w:rsidRDefault="00EE053C" w:rsidP="004C2946">
      <w:pPr>
        <w:spacing w:before="0" w:after="0" w:line="240" w:lineRule="auto"/>
      </w:pPr>
      <w:r>
        <w:separator/>
      </w:r>
    </w:p>
  </w:footnote>
  <w:footnote w:type="continuationSeparator" w:id="0">
    <w:p w14:paraId="0FE71CF2" w14:textId="77777777" w:rsidR="00EE053C" w:rsidRDefault="00EE053C" w:rsidP="004C29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27D0" w14:textId="2FB817E0" w:rsidR="00262B28" w:rsidRDefault="00262B28">
    <w:pPr>
      <w:pStyle w:val="Header"/>
    </w:pPr>
    <w:r>
      <w:rPr>
        <w:noProof/>
        <w14:ligatures w14:val="standardContextual"/>
      </w:rPr>
      <w:drawing>
        <wp:inline distT="0" distB="0" distL="0" distR="0" wp14:anchorId="4478AB04" wp14:editId="64458C99">
          <wp:extent cx="3295459" cy="952500"/>
          <wp:effectExtent l="0" t="0" r="635" b="0"/>
          <wp:docPr id="89999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97484" name="Picture 899997484"/>
                  <pic:cNvPicPr/>
                </pic:nvPicPr>
                <pic:blipFill>
                  <a:blip r:embed="rId1">
                    <a:extLst>
                      <a:ext uri="{28A0092B-C50C-407E-A947-70E740481C1C}">
                        <a14:useLocalDpi xmlns:a14="http://schemas.microsoft.com/office/drawing/2010/main" val="0"/>
                      </a:ext>
                    </a:extLst>
                  </a:blip>
                  <a:stretch>
                    <a:fillRect/>
                  </a:stretch>
                </pic:blipFill>
                <pic:spPr>
                  <a:xfrm>
                    <a:off x="0" y="0"/>
                    <a:ext cx="3306528" cy="955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4031"/>
    <w:multiLevelType w:val="hybridMultilevel"/>
    <w:tmpl w:val="938E120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68F0EDD"/>
    <w:multiLevelType w:val="hybridMultilevel"/>
    <w:tmpl w:val="54F480D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E672AC"/>
    <w:multiLevelType w:val="hybridMultilevel"/>
    <w:tmpl w:val="CD0E5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16ACD"/>
    <w:multiLevelType w:val="hybridMultilevel"/>
    <w:tmpl w:val="35183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FB3309"/>
    <w:multiLevelType w:val="multilevel"/>
    <w:tmpl w:val="2FF2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337EB"/>
    <w:multiLevelType w:val="multilevel"/>
    <w:tmpl w:val="CDC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B3CD9"/>
    <w:multiLevelType w:val="hybridMultilevel"/>
    <w:tmpl w:val="400C5B0C"/>
    <w:lvl w:ilvl="0" w:tplc="6F604592">
      <w:start w:val="1"/>
      <w:numFmt w:val="bullet"/>
      <w:lvlText w:val="•"/>
      <w:lvlJc w:val="left"/>
      <w:pPr>
        <w:tabs>
          <w:tab w:val="num" w:pos="720"/>
        </w:tabs>
        <w:ind w:left="720" w:hanging="360"/>
      </w:pPr>
      <w:rPr>
        <w:rFonts w:ascii="Arial" w:hAnsi="Arial" w:hint="default"/>
      </w:rPr>
    </w:lvl>
    <w:lvl w:ilvl="1" w:tplc="6DC69E18" w:tentative="1">
      <w:start w:val="1"/>
      <w:numFmt w:val="bullet"/>
      <w:lvlText w:val="•"/>
      <w:lvlJc w:val="left"/>
      <w:pPr>
        <w:tabs>
          <w:tab w:val="num" w:pos="1440"/>
        </w:tabs>
        <w:ind w:left="1440" w:hanging="360"/>
      </w:pPr>
      <w:rPr>
        <w:rFonts w:ascii="Arial" w:hAnsi="Arial" w:hint="default"/>
      </w:rPr>
    </w:lvl>
    <w:lvl w:ilvl="2" w:tplc="96D8607E" w:tentative="1">
      <w:start w:val="1"/>
      <w:numFmt w:val="bullet"/>
      <w:lvlText w:val="•"/>
      <w:lvlJc w:val="left"/>
      <w:pPr>
        <w:tabs>
          <w:tab w:val="num" w:pos="2160"/>
        </w:tabs>
        <w:ind w:left="2160" w:hanging="360"/>
      </w:pPr>
      <w:rPr>
        <w:rFonts w:ascii="Arial" w:hAnsi="Arial" w:hint="default"/>
      </w:rPr>
    </w:lvl>
    <w:lvl w:ilvl="3" w:tplc="34FE66A6" w:tentative="1">
      <w:start w:val="1"/>
      <w:numFmt w:val="bullet"/>
      <w:lvlText w:val="•"/>
      <w:lvlJc w:val="left"/>
      <w:pPr>
        <w:tabs>
          <w:tab w:val="num" w:pos="2880"/>
        </w:tabs>
        <w:ind w:left="2880" w:hanging="360"/>
      </w:pPr>
      <w:rPr>
        <w:rFonts w:ascii="Arial" w:hAnsi="Arial" w:hint="default"/>
      </w:rPr>
    </w:lvl>
    <w:lvl w:ilvl="4" w:tplc="4E42BC36" w:tentative="1">
      <w:start w:val="1"/>
      <w:numFmt w:val="bullet"/>
      <w:lvlText w:val="•"/>
      <w:lvlJc w:val="left"/>
      <w:pPr>
        <w:tabs>
          <w:tab w:val="num" w:pos="3600"/>
        </w:tabs>
        <w:ind w:left="3600" w:hanging="360"/>
      </w:pPr>
      <w:rPr>
        <w:rFonts w:ascii="Arial" w:hAnsi="Arial" w:hint="default"/>
      </w:rPr>
    </w:lvl>
    <w:lvl w:ilvl="5" w:tplc="F9167EBC" w:tentative="1">
      <w:start w:val="1"/>
      <w:numFmt w:val="bullet"/>
      <w:lvlText w:val="•"/>
      <w:lvlJc w:val="left"/>
      <w:pPr>
        <w:tabs>
          <w:tab w:val="num" w:pos="4320"/>
        </w:tabs>
        <w:ind w:left="4320" w:hanging="360"/>
      </w:pPr>
      <w:rPr>
        <w:rFonts w:ascii="Arial" w:hAnsi="Arial" w:hint="default"/>
      </w:rPr>
    </w:lvl>
    <w:lvl w:ilvl="6" w:tplc="5568E600" w:tentative="1">
      <w:start w:val="1"/>
      <w:numFmt w:val="bullet"/>
      <w:lvlText w:val="•"/>
      <w:lvlJc w:val="left"/>
      <w:pPr>
        <w:tabs>
          <w:tab w:val="num" w:pos="5040"/>
        </w:tabs>
        <w:ind w:left="5040" w:hanging="360"/>
      </w:pPr>
      <w:rPr>
        <w:rFonts w:ascii="Arial" w:hAnsi="Arial" w:hint="default"/>
      </w:rPr>
    </w:lvl>
    <w:lvl w:ilvl="7" w:tplc="5378B96C" w:tentative="1">
      <w:start w:val="1"/>
      <w:numFmt w:val="bullet"/>
      <w:lvlText w:val="•"/>
      <w:lvlJc w:val="left"/>
      <w:pPr>
        <w:tabs>
          <w:tab w:val="num" w:pos="5760"/>
        </w:tabs>
        <w:ind w:left="5760" w:hanging="360"/>
      </w:pPr>
      <w:rPr>
        <w:rFonts w:ascii="Arial" w:hAnsi="Arial" w:hint="default"/>
      </w:rPr>
    </w:lvl>
    <w:lvl w:ilvl="8" w:tplc="095A36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1F467F"/>
    <w:multiLevelType w:val="hybridMultilevel"/>
    <w:tmpl w:val="8E8ADBE4"/>
    <w:lvl w:ilvl="0" w:tplc="E5DA8C8C">
      <w:start w:val="1"/>
      <w:numFmt w:val="bullet"/>
      <w:pStyle w:val="Bulletpoints1"/>
      <w:lvlText w:val=""/>
      <w:lvlJc w:val="left"/>
      <w:pPr>
        <w:ind w:left="1353" w:hanging="360"/>
      </w:pPr>
      <w:rPr>
        <w:rFonts w:ascii="Symbol" w:hAnsi="Symbol" w:hint="default"/>
      </w:rPr>
    </w:lvl>
    <w:lvl w:ilvl="1" w:tplc="1338C87C">
      <w:numFmt w:val="bullet"/>
      <w:lvlText w:val="•"/>
      <w:lvlJc w:val="left"/>
      <w:pPr>
        <w:ind w:left="1080" w:hanging="360"/>
      </w:pPr>
      <w:rPr>
        <w:rFonts w:ascii="Arial" w:eastAsiaTheme="minorHAnsi" w:hAnsi="Arial" w:cs="Arial" w:hint="default"/>
      </w:rPr>
    </w:lvl>
    <w:lvl w:ilvl="2" w:tplc="74241544">
      <w:start w:val="1"/>
      <w:numFmt w:val="bullet"/>
      <w:lvlText w:val=""/>
      <w:lvlJc w:val="left"/>
      <w:pPr>
        <w:ind w:left="1800" w:hanging="360"/>
      </w:pPr>
      <w:rPr>
        <w:rFonts w:ascii="Symbol" w:hAnsi="Symbol" w:hint="default"/>
        <w:color w:val="719015" w:themeColor="accent2" w:themeShade="BF"/>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1951A8A"/>
    <w:multiLevelType w:val="hybridMultilevel"/>
    <w:tmpl w:val="A5F65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1DF0D92"/>
    <w:multiLevelType w:val="hybridMultilevel"/>
    <w:tmpl w:val="A734F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A62CE5"/>
    <w:multiLevelType w:val="multilevel"/>
    <w:tmpl w:val="0FB6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1D6FFA"/>
    <w:multiLevelType w:val="hybridMultilevel"/>
    <w:tmpl w:val="4A9CC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CAE504D"/>
    <w:multiLevelType w:val="multilevel"/>
    <w:tmpl w:val="B0B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F2235"/>
    <w:multiLevelType w:val="multilevel"/>
    <w:tmpl w:val="230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4397085">
    <w:abstractNumId w:val="11"/>
  </w:num>
  <w:num w:numId="2" w16cid:durableId="1121338047">
    <w:abstractNumId w:val="9"/>
  </w:num>
  <w:num w:numId="3" w16cid:durableId="174030836">
    <w:abstractNumId w:val="0"/>
  </w:num>
  <w:num w:numId="4" w16cid:durableId="1096943187">
    <w:abstractNumId w:val="8"/>
  </w:num>
  <w:num w:numId="5" w16cid:durableId="456459621">
    <w:abstractNumId w:val="3"/>
  </w:num>
  <w:num w:numId="6" w16cid:durableId="1042635038">
    <w:abstractNumId w:val="2"/>
  </w:num>
  <w:num w:numId="7" w16cid:durableId="821166698">
    <w:abstractNumId w:val="7"/>
  </w:num>
  <w:num w:numId="8" w16cid:durableId="1105419733">
    <w:abstractNumId w:val="6"/>
  </w:num>
  <w:num w:numId="9" w16cid:durableId="1497384203">
    <w:abstractNumId w:val="4"/>
  </w:num>
  <w:num w:numId="10" w16cid:durableId="985011162">
    <w:abstractNumId w:val="13"/>
  </w:num>
  <w:num w:numId="11" w16cid:durableId="1817379193">
    <w:abstractNumId w:val="10"/>
  </w:num>
  <w:num w:numId="12" w16cid:durableId="1274286549">
    <w:abstractNumId w:val="5"/>
  </w:num>
  <w:num w:numId="13" w16cid:durableId="1654136560">
    <w:abstractNumId w:val="12"/>
  </w:num>
  <w:num w:numId="14" w16cid:durableId="1556504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34"/>
    <w:rsid w:val="000144B5"/>
    <w:rsid w:val="00015B9B"/>
    <w:rsid w:val="00062741"/>
    <w:rsid w:val="000703E2"/>
    <w:rsid w:val="000F3E33"/>
    <w:rsid w:val="000F5465"/>
    <w:rsid w:val="001453E9"/>
    <w:rsid w:val="00166FD9"/>
    <w:rsid w:val="001E1219"/>
    <w:rsid w:val="00202B50"/>
    <w:rsid w:val="002240A0"/>
    <w:rsid w:val="00262B28"/>
    <w:rsid w:val="00266E7E"/>
    <w:rsid w:val="00271467"/>
    <w:rsid w:val="002A3FE5"/>
    <w:rsid w:val="002E0DE0"/>
    <w:rsid w:val="0031153A"/>
    <w:rsid w:val="003116B7"/>
    <w:rsid w:val="0031344A"/>
    <w:rsid w:val="003372CA"/>
    <w:rsid w:val="003740B1"/>
    <w:rsid w:val="0038087D"/>
    <w:rsid w:val="003E475D"/>
    <w:rsid w:val="00405703"/>
    <w:rsid w:val="00450F97"/>
    <w:rsid w:val="00464B68"/>
    <w:rsid w:val="00492B56"/>
    <w:rsid w:val="004A487C"/>
    <w:rsid w:val="004A6DE9"/>
    <w:rsid w:val="004C2946"/>
    <w:rsid w:val="004E6212"/>
    <w:rsid w:val="004F7CD6"/>
    <w:rsid w:val="00516B41"/>
    <w:rsid w:val="0052262F"/>
    <w:rsid w:val="00531D21"/>
    <w:rsid w:val="0053444E"/>
    <w:rsid w:val="005A65A3"/>
    <w:rsid w:val="005B1817"/>
    <w:rsid w:val="005C4406"/>
    <w:rsid w:val="005E6834"/>
    <w:rsid w:val="005F1C0E"/>
    <w:rsid w:val="006B594A"/>
    <w:rsid w:val="006B67B2"/>
    <w:rsid w:val="006E2504"/>
    <w:rsid w:val="007152D6"/>
    <w:rsid w:val="00715441"/>
    <w:rsid w:val="00744649"/>
    <w:rsid w:val="007669A1"/>
    <w:rsid w:val="007674A5"/>
    <w:rsid w:val="007908AF"/>
    <w:rsid w:val="007B68CF"/>
    <w:rsid w:val="00891EE8"/>
    <w:rsid w:val="008B6248"/>
    <w:rsid w:val="008E2130"/>
    <w:rsid w:val="008F07F8"/>
    <w:rsid w:val="009246D1"/>
    <w:rsid w:val="009862BF"/>
    <w:rsid w:val="009A55E8"/>
    <w:rsid w:val="009B4299"/>
    <w:rsid w:val="009F06A4"/>
    <w:rsid w:val="00A129CE"/>
    <w:rsid w:val="00A42A3C"/>
    <w:rsid w:val="00A64649"/>
    <w:rsid w:val="00A734EE"/>
    <w:rsid w:val="00A94D93"/>
    <w:rsid w:val="00AB5122"/>
    <w:rsid w:val="00AE1256"/>
    <w:rsid w:val="00B04EFB"/>
    <w:rsid w:val="00B15530"/>
    <w:rsid w:val="00B57E31"/>
    <w:rsid w:val="00B645AE"/>
    <w:rsid w:val="00BF385F"/>
    <w:rsid w:val="00C51016"/>
    <w:rsid w:val="00C60B73"/>
    <w:rsid w:val="00C61338"/>
    <w:rsid w:val="00C909B4"/>
    <w:rsid w:val="00CD714E"/>
    <w:rsid w:val="00CE7BFC"/>
    <w:rsid w:val="00D128CA"/>
    <w:rsid w:val="00D301E5"/>
    <w:rsid w:val="00D544AD"/>
    <w:rsid w:val="00D62DAD"/>
    <w:rsid w:val="00DA3A72"/>
    <w:rsid w:val="00DC58B9"/>
    <w:rsid w:val="00DF5AC2"/>
    <w:rsid w:val="00E152CA"/>
    <w:rsid w:val="00E17988"/>
    <w:rsid w:val="00E33E21"/>
    <w:rsid w:val="00EA3AB0"/>
    <w:rsid w:val="00ED1746"/>
    <w:rsid w:val="00EE053C"/>
    <w:rsid w:val="00F7247C"/>
    <w:rsid w:val="00F836B8"/>
    <w:rsid w:val="00FA1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B4B5"/>
  <w15:chartTrackingRefBased/>
  <w15:docId w15:val="{B77F7A83-3FAF-4811-9B44-19D6146C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34"/>
    <w:pPr>
      <w:suppressAutoHyphens/>
      <w:spacing w:before="200" w:after="200" w:line="280" w:lineRule="atLeast"/>
    </w:pPr>
    <w:rPr>
      <w:rFonts w:ascii="Calibri" w:eastAsia="Calibri" w:hAnsi="Calibri" w:cs="Times New Roman"/>
      <w:color w:val="000000"/>
      <w:kern w:val="0"/>
      <w:sz w:val="22"/>
      <w:szCs w:val="20"/>
      <w14:ligatures w14:val="none"/>
    </w:rPr>
  </w:style>
  <w:style w:type="paragraph" w:styleId="Heading1">
    <w:name w:val="heading 1"/>
    <w:basedOn w:val="Normal"/>
    <w:next w:val="Normal"/>
    <w:link w:val="Heading1Char"/>
    <w:uiPriority w:val="9"/>
    <w:qFormat/>
    <w:rsid w:val="005E6834"/>
    <w:pPr>
      <w:keepNext/>
      <w:keepLines/>
      <w:spacing w:before="360" w:after="80"/>
      <w:outlineLvl w:val="0"/>
    </w:pPr>
    <w:rPr>
      <w:rFonts w:asciiTheme="majorHAnsi" w:eastAsiaTheme="majorEastAsia" w:hAnsiTheme="majorHAnsi" w:cstheme="majorBidi"/>
      <w:color w:val="48214E" w:themeColor="accent1" w:themeShade="BF"/>
      <w:sz w:val="40"/>
      <w:szCs w:val="40"/>
    </w:rPr>
  </w:style>
  <w:style w:type="paragraph" w:styleId="Heading2">
    <w:name w:val="heading 2"/>
    <w:basedOn w:val="Normal"/>
    <w:next w:val="Normal"/>
    <w:link w:val="Heading2Char"/>
    <w:uiPriority w:val="9"/>
    <w:semiHidden/>
    <w:unhideWhenUsed/>
    <w:qFormat/>
    <w:rsid w:val="005E6834"/>
    <w:pPr>
      <w:keepNext/>
      <w:keepLines/>
      <w:spacing w:before="160" w:after="80"/>
      <w:outlineLvl w:val="1"/>
    </w:pPr>
    <w:rPr>
      <w:rFonts w:asciiTheme="majorHAnsi" w:eastAsiaTheme="majorEastAsia" w:hAnsiTheme="majorHAnsi" w:cstheme="majorBidi"/>
      <w:color w:val="48214E" w:themeColor="accent1" w:themeShade="BF"/>
      <w:sz w:val="32"/>
      <w:szCs w:val="32"/>
    </w:rPr>
  </w:style>
  <w:style w:type="paragraph" w:styleId="Heading3">
    <w:name w:val="heading 3"/>
    <w:basedOn w:val="Normal"/>
    <w:next w:val="Normal"/>
    <w:link w:val="Heading3Char"/>
    <w:uiPriority w:val="9"/>
    <w:semiHidden/>
    <w:unhideWhenUsed/>
    <w:qFormat/>
    <w:rsid w:val="005E6834"/>
    <w:pPr>
      <w:keepNext/>
      <w:keepLines/>
      <w:spacing w:before="160" w:after="80"/>
      <w:outlineLvl w:val="2"/>
    </w:pPr>
    <w:rPr>
      <w:rFonts w:eastAsiaTheme="majorEastAsia" w:cstheme="majorBidi"/>
      <w:color w:val="48214E" w:themeColor="accent1" w:themeShade="BF"/>
      <w:sz w:val="28"/>
      <w:szCs w:val="28"/>
    </w:rPr>
  </w:style>
  <w:style w:type="paragraph" w:styleId="Heading4">
    <w:name w:val="heading 4"/>
    <w:basedOn w:val="Normal"/>
    <w:next w:val="Normal"/>
    <w:link w:val="Heading4Char"/>
    <w:uiPriority w:val="9"/>
    <w:semiHidden/>
    <w:unhideWhenUsed/>
    <w:qFormat/>
    <w:rsid w:val="005E6834"/>
    <w:pPr>
      <w:keepNext/>
      <w:keepLines/>
      <w:spacing w:before="80" w:after="40"/>
      <w:outlineLvl w:val="3"/>
    </w:pPr>
    <w:rPr>
      <w:rFonts w:eastAsiaTheme="majorEastAsia" w:cstheme="majorBidi"/>
      <w:i/>
      <w:iCs/>
      <w:color w:val="48214E" w:themeColor="accent1" w:themeShade="BF"/>
    </w:rPr>
  </w:style>
  <w:style w:type="paragraph" w:styleId="Heading5">
    <w:name w:val="heading 5"/>
    <w:basedOn w:val="Normal"/>
    <w:next w:val="Normal"/>
    <w:link w:val="Heading5Char"/>
    <w:uiPriority w:val="9"/>
    <w:semiHidden/>
    <w:unhideWhenUsed/>
    <w:qFormat/>
    <w:rsid w:val="005E6834"/>
    <w:pPr>
      <w:keepNext/>
      <w:keepLines/>
      <w:spacing w:before="80" w:after="40"/>
      <w:outlineLvl w:val="4"/>
    </w:pPr>
    <w:rPr>
      <w:rFonts w:eastAsiaTheme="majorEastAsia" w:cstheme="majorBidi"/>
      <w:color w:val="48214E" w:themeColor="accent1" w:themeShade="BF"/>
    </w:rPr>
  </w:style>
  <w:style w:type="paragraph" w:styleId="Heading6">
    <w:name w:val="heading 6"/>
    <w:basedOn w:val="Normal"/>
    <w:next w:val="Normal"/>
    <w:link w:val="Heading6Char"/>
    <w:uiPriority w:val="9"/>
    <w:semiHidden/>
    <w:unhideWhenUsed/>
    <w:qFormat/>
    <w:rsid w:val="005E6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834"/>
    <w:rPr>
      <w:rFonts w:asciiTheme="majorHAnsi" w:eastAsiaTheme="majorEastAsia" w:hAnsiTheme="majorHAnsi" w:cstheme="majorBidi"/>
      <w:color w:val="48214E" w:themeColor="accent1" w:themeShade="BF"/>
      <w:sz w:val="40"/>
      <w:szCs w:val="40"/>
    </w:rPr>
  </w:style>
  <w:style w:type="character" w:customStyle="1" w:styleId="Heading2Char">
    <w:name w:val="Heading 2 Char"/>
    <w:basedOn w:val="DefaultParagraphFont"/>
    <w:link w:val="Heading2"/>
    <w:uiPriority w:val="9"/>
    <w:semiHidden/>
    <w:rsid w:val="005E6834"/>
    <w:rPr>
      <w:rFonts w:asciiTheme="majorHAnsi" w:eastAsiaTheme="majorEastAsia" w:hAnsiTheme="majorHAnsi" w:cstheme="majorBidi"/>
      <w:color w:val="48214E" w:themeColor="accent1" w:themeShade="BF"/>
      <w:sz w:val="32"/>
      <w:szCs w:val="32"/>
    </w:rPr>
  </w:style>
  <w:style w:type="character" w:customStyle="1" w:styleId="Heading3Char">
    <w:name w:val="Heading 3 Char"/>
    <w:basedOn w:val="DefaultParagraphFont"/>
    <w:link w:val="Heading3"/>
    <w:uiPriority w:val="9"/>
    <w:semiHidden/>
    <w:rsid w:val="005E6834"/>
    <w:rPr>
      <w:rFonts w:eastAsiaTheme="majorEastAsia" w:cstheme="majorBidi"/>
      <w:color w:val="48214E" w:themeColor="accent1" w:themeShade="BF"/>
      <w:sz w:val="28"/>
      <w:szCs w:val="28"/>
    </w:rPr>
  </w:style>
  <w:style w:type="character" w:customStyle="1" w:styleId="Heading4Char">
    <w:name w:val="Heading 4 Char"/>
    <w:basedOn w:val="DefaultParagraphFont"/>
    <w:link w:val="Heading4"/>
    <w:uiPriority w:val="9"/>
    <w:semiHidden/>
    <w:rsid w:val="005E6834"/>
    <w:rPr>
      <w:rFonts w:eastAsiaTheme="majorEastAsia" w:cstheme="majorBidi"/>
      <w:i/>
      <w:iCs/>
      <w:color w:val="48214E" w:themeColor="accent1" w:themeShade="BF"/>
    </w:rPr>
  </w:style>
  <w:style w:type="character" w:customStyle="1" w:styleId="Heading5Char">
    <w:name w:val="Heading 5 Char"/>
    <w:basedOn w:val="DefaultParagraphFont"/>
    <w:link w:val="Heading5"/>
    <w:uiPriority w:val="9"/>
    <w:semiHidden/>
    <w:rsid w:val="005E6834"/>
    <w:rPr>
      <w:rFonts w:eastAsiaTheme="majorEastAsia" w:cstheme="majorBidi"/>
      <w:color w:val="48214E" w:themeColor="accent1" w:themeShade="BF"/>
    </w:rPr>
  </w:style>
  <w:style w:type="character" w:customStyle="1" w:styleId="Heading6Char">
    <w:name w:val="Heading 6 Char"/>
    <w:basedOn w:val="DefaultParagraphFont"/>
    <w:link w:val="Heading6"/>
    <w:uiPriority w:val="9"/>
    <w:semiHidden/>
    <w:rsid w:val="005E6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834"/>
    <w:rPr>
      <w:rFonts w:eastAsiaTheme="majorEastAsia" w:cstheme="majorBidi"/>
      <w:color w:val="272727" w:themeColor="text1" w:themeTint="D8"/>
    </w:rPr>
  </w:style>
  <w:style w:type="paragraph" w:styleId="Title">
    <w:name w:val="Title"/>
    <w:basedOn w:val="Normal"/>
    <w:next w:val="Normal"/>
    <w:link w:val="TitleChar"/>
    <w:uiPriority w:val="10"/>
    <w:qFormat/>
    <w:rsid w:val="005E6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834"/>
    <w:pPr>
      <w:spacing w:before="160"/>
      <w:jc w:val="center"/>
    </w:pPr>
    <w:rPr>
      <w:i/>
      <w:iCs/>
      <w:color w:val="404040" w:themeColor="text1" w:themeTint="BF"/>
    </w:rPr>
  </w:style>
  <w:style w:type="character" w:customStyle="1" w:styleId="QuoteChar">
    <w:name w:val="Quote Char"/>
    <w:basedOn w:val="DefaultParagraphFont"/>
    <w:link w:val="Quote"/>
    <w:uiPriority w:val="29"/>
    <w:rsid w:val="005E6834"/>
    <w:rPr>
      <w:i/>
      <w:iCs/>
      <w:color w:val="404040" w:themeColor="text1" w:themeTint="BF"/>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FooterTe"/>
    <w:basedOn w:val="Normal"/>
    <w:link w:val="ListParagraphChar"/>
    <w:uiPriority w:val="34"/>
    <w:qFormat/>
    <w:rsid w:val="005E6834"/>
    <w:pPr>
      <w:ind w:left="720"/>
      <w:contextualSpacing/>
    </w:pPr>
  </w:style>
  <w:style w:type="character" w:styleId="IntenseEmphasis">
    <w:name w:val="Intense Emphasis"/>
    <w:basedOn w:val="DefaultParagraphFont"/>
    <w:uiPriority w:val="21"/>
    <w:qFormat/>
    <w:rsid w:val="005E6834"/>
    <w:rPr>
      <w:i/>
      <w:iCs/>
      <w:color w:val="48214E" w:themeColor="accent1" w:themeShade="BF"/>
    </w:rPr>
  </w:style>
  <w:style w:type="paragraph" w:styleId="IntenseQuote">
    <w:name w:val="Intense Quote"/>
    <w:basedOn w:val="Normal"/>
    <w:next w:val="Normal"/>
    <w:link w:val="IntenseQuoteChar"/>
    <w:uiPriority w:val="30"/>
    <w:qFormat/>
    <w:rsid w:val="005E6834"/>
    <w:pPr>
      <w:pBdr>
        <w:top w:val="single" w:sz="4" w:space="10" w:color="48214E" w:themeColor="accent1" w:themeShade="BF"/>
        <w:bottom w:val="single" w:sz="4" w:space="10" w:color="48214E" w:themeColor="accent1" w:themeShade="BF"/>
      </w:pBdr>
      <w:spacing w:before="360" w:after="360"/>
      <w:ind w:left="864" w:right="864"/>
      <w:jc w:val="center"/>
    </w:pPr>
    <w:rPr>
      <w:i/>
      <w:iCs/>
      <w:color w:val="48214E" w:themeColor="accent1" w:themeShade="BF"/>
    </w:rPr>
  </w:style>
  <w:style w:type="character" w:customStyle="1" w:styleId="IntenseQuoteChar">
    <w:name w:val="Intense Quote Char"/>
    <w:basedOn w:val="DefaultParagraphFont"/>
    <w:link w:val="IntenseQuote"/>
    <w:uiPriority w:val="30"/>
    <w:rsid w:val="005E6834"/>
    <w:rPr>
      <w:i/>
      <w:iCs/>
      <w:color w:val="48214E" w:themeColor="accent1" w:themeShade="BF"/>
    </w:rPr>
  </w:style>
  <w:style w:type="character" w:styleId="IntenseReference">
    <w:name w:val="Intense Reference"/>
    <w:basedOn w:val="DefaultParagraphFont"/>
    <w:uiPriority w:val="32"/>
    <w:qFormat/>
    <w:rsid w:val="005E6834"/>
    <w:rPr>
      <w:b/>
      <w:bCs/>
      <w:smallCaps/>
      <w:color w:val="48214E" w:themeColor="accent1" w:themeShade="BF"/>
      <w:spacing w:val="5"/>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rsid w:val="005E6834"/>
  </w:style>
  <w:style w:type="character" w:styleId="CommentReference">
    <w:name w:val="annotation reference"/>
    <w:basedOn w:val="DefaultParagraphFont"/>
    <w:uiPriority w:val="99"/>
    <w:semiHidden/>
    <w:unhideWhenUsed/>
    <w:rsid w:val="005E6834"/>
    <w:rPr>
      <w:sz w:val="16"/>
      <w:szCs w:val="16"/>
    </w:rPr>
  </w:style>
  <w:style w:type="paragraph" w:styleId="CommentText">
    <w:name w:val="annotation text"/>
    <w:basedOn w:val="Normal"/>
    <w:link w:val="CommentTextChar"/>
    <w:uiPriority w:val="99"/>
    <w:unhideWhenUsed/>
    <w:rsid w:val="005E6834"/>
    <w:pPr>
      <w:spacing w:line="240" w:lineRule="auto"/>
    </w:pPr>
    <w:rPr>
      <w:rFonts w:asciiTheme="minorHAnsi" w:eastAsiaTheme="minorHAnsi" w:hAnsiTheme="minorHAnsi" w:cstheme="minorBidi"/>
      <w:color w:val="000000" w:themeColor="text1"/>
      <w:sz w:val="20"/>
    </w:rPr>
  </w:style>
  <w:style w:type="character" w:customStyle="1" w:styleId="CommentTextChar">
    <w:name w:val="Comment Text Char"/>
    <w:basedOn w:val="DefaultParagraphFont"/>
    <w:link w:val="CommentText"/>
    <w:uiPriority w:val="99"/>
    <w:rsid w:val="005E6834"/>
    <w:rPr>
      <w:color w:val="000000" w:themeColor="text1"/>
      <w:kern w:val="0"/>
      <w:sz w:val="20"/>
      <w:szCs w:val="20"/>
      <w14:ligatures w14:val="none"/>
    </w:rPr>
  </w:style>
  <w:style w:type="paragraph" w:styleId="Revision">
    <w:name w:val="Revision"/>
    <w:hidden/>
    <w:uiPriority w:val="99"/>
    <w:semiHidden/>
    <w:rsid w:val="005E6834"/>
    <w:pPr>
      <w:spacing w:after="0" w:line="240" w:lineRule="auto"/>
    </w:pPr>
    <w:rPr>
      <w:rFonts w:ascii="Calibri" w:eastAsia="Calibri" w:hAnsi="Calibri" w:cs="Times New Roman"/>
      <w:color w:val="000000"/>
      <w:kern w:val="0"/>
      <w:sz w:val="22"/>
      <w:szCs w:val="20"/>
      <w14:ligatures w14:val="none"/>
    </w:rPr>
  </w:style>
  <w:style w:type="paragraph" w:customStyle="1" w:styleId="Bulletpoints1">
    <w:name w:val="Bullet points 1"/>
    <w:basedOn w:val="ListParagraph"/>
    <w:link w:val="Bulletpoints1Char"/>
    <w:qFormat/>
    <w:rsid w:val="009B4299"/>
    <w:pPr>
      <w:numPr>
        <w:numId w:val="7"/>
      </w:numPr>
      <w:suppressAutoHyphens w:val="0"/>
      <w:spacing w:before="60" w:after="60" w:line="288" w:lineRule="auto"/>
      <w:ind w:left="714" w:hanging="357"/>
    </w:pPr>
    <w:rPr>
      <w:rFonts w:eastAsiaTheme="minorHAnsi" w:cs="Arial"/>
      <w:color w:val="auto"/>
      <w:kern w:val="2"/>
      <w:sz w:val="21"/>
      <w14:ligatures w14:val="standardContextual"/>
    </w:rPr>
  </w:style>
  <w:style w:type="character" w:customStyle="1" w:styleId="Bulletpoints1Char">
    <w:name w:val="Bullet points 1 Char"/>
    <w:basedOn w:val="DefaultParagraphFont"/>
    <w:link w:val="Bulletpoints1"/>
    <w:rsid w:val="009B4299"/>
    <w:rPr>
      <w:rFonts w:ascii="Calibri" w:hAnsi="Calibri" w:cs="Arial"/>
      <w:sz w:val="21"/>
      <w:szCs w:val="20"/>
    </w:rPr>
  </w:style>
  <w:style w:type="paragraph" w:styleId="FootnoteText">
    <w:name w:val="footnote text"/>
    <w:basedOn w:val="Normal"/>
    <w:link w:val="FootnoteTextChar"/>
    <w:uiPriority w:val="99"/>
    <w:unhideWhenUsed/>
    <w:rsid w:val="009B4299"/>
    <w:pPr>
      <w:suppressAutoHyphens w:val="0"/>
      <w:spacing w:before="0" w:after="0" w:line="240" w:lineRule="auto"/>
    </w:pPr>
    <w:rPr>
      <w:rFonts w:ascii="Arial" w:eastAsiaTheme="minorHAnsi" w:hAnsi="Arial" w:cstheme="minorBidi"/>
      <w:color w:val="auto"/>
      <w:kern w:val="2"/>
      <w:sz w:val="20"/>
      <w14:ligatures w14:val="standardContextual"/>
    </w:rPr>
  </w:style>
  <w:style w:type="character" w:customStyle="1" w:styleId="FootnoteTextChar">
    <w:name w:val="Footnote Text Char"/>
    <w:basedOn w:val="DefaultParagraphFont"/>
    <w:link w:val="FootnoteText"/>
    <w:uiPriority w:val="99"/>
    <w:rsid w:val="009B4299"/>
    <w:rPr>
      <w:rFonts w:ascii="Arial" w:hAnsi="Arial"/>
      <w:sz w:val="20"/>
      <w:szCs w:val="20"/>
    </w:rPr>
  </w:style>
  <w:style w:type="character" w:styleId="FootnoteReference">
    <w:name w:val="footnote reference"/>
    <w:basedOn w:val="DefaultParagraphFont"/>
    <w:uiPriority w:val="99"/>
    <w:semiHidden/>
    <w:unhideWhenUsed/>
    <w:rsid w:val="009B4299"/>
    <w:rPr>
      <w:vertAlign w:val="superscript"/>
    </w:rPr>
  </w:style>
  <w:style w:type="character" w:styleId="Hyperlink">
    <w:name w:val="Hyperlink"/>
    <w:basedOn w:val="DefaultParagraphFont"/>
    <w:uiPriority w:val="99"/>
    <w:unhideWhenUsed/>
    <w:rsid w:val="009B4299"/>
    <w:rPr>
      <w:color w:val="02833F" w:themeColor="hyperlink"/>
      <w:u w:val="single"/>
    </w:rPr>
  </w:style>
  <w:style w:type="character" w:styleId="UnresolvedMention">
    <w:name w:val="Unresolved Mention"/>
    <w:basedOn w:val="DefaultParagraphFont"/>
    <w:uiPriority w:val="99"/>
    <w:semiHidden/>
    <w:unhideWhenUsed/>
    <w:rsid w:val="004F7CD6"/>
    <w:rPr>
      <w:color w:val="605E5C"/>
      <w:shd w:val="clear" w:color="auto" w:fill="E1DFDD"/>
    </w:rPr>
  </w:style>
  <w:style w:type="paragraph" w:styleId="Header">
    <w:name w:val="header"/>
    <w:basedOn w:val="Normal"/>
    <w:link w:val="HeaderChar"/>
    <w:uiPriority w:val="99"/>
    <w:unhideWhenUsed/>
    <w:rsid w:val="00262B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62B28"/>
    <w:rPr>
      <w:rFonts w:ascii="Calibri" w:eastAsia="Calibri" w:hAnsi="Calibri" w:cs="Times New Roman"/>
      <w:color w:val="000000"/>
      <w:kern w:val="0"/>
      <w:sz w:val="22"/>
      <w:szCs w:val="20"/>
      <w14:ligatures w14:val="none"/>
    </w:rPr>
  </w:style>
  <w:style w:type="paragraph" w:styleId="Footer">
    <w:name w:val="footer"/>
    <w:basedOn w:val="Normal"/>
    <w:link w:val="FooterChar"/>
    <w:uiPriority w:val="99"/>
    <w:unhideWhenUsed/>
    <w:rsid w:val="00262B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62B28"/>
    <w:rPr>
      <w:rFonts w:ascii="Calibri" w:eastAsia="Calibri" w:hAnsi="Calibri" w:cs="Times New Roman"/>
      <w:color w:val="000000"/>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8B6248"/>
    <w:rPr>
      <w:rFonts w:ascii="Calibri" w:eastAsia="Calibri" w:hAnsi="Calibri" w:cs="Times New Roman"/>
      <w:b/>
      <w:bCs/>
      <w:color w:val="000000"/>
    </w:rPr>
  </w:style>
  <w:style w:type="character" w:customStyle="1" w:styleId="CommentSubjectChar">
    <w:name w:val="Comment Subject Char"/>
    <w:basedOn w:val="CommentTextChar"/>
    <w:link w:val="CommentSubject"/>
    <w:uiPriority w:val="99"/>
    <w:semiHidden/>
    <w:rsid w:val="008B6248"/>
    <w:rPr>
      <w:rFonts w:ascii="Calibri" w:eastAsia="Calibri" w:hAnsi="Calibri" w:cs="Times New Roman"/>
      <w:b/>
      <w:bCs/>
      <w:color w:val="000000"/>
      <w:kern w:val="0"/>
      <w:sz w:val="20"/>
      <w:szCs w:val="20"/>
      <w14:ligatures w14:val="none"/>
    </w:rPr>
  </w:style>
  <w:style w:type="character" w:styleId="FollowedHyperlink">
    <w:name w:val="FollowedHyperlink"/>
    <w:basedOn w:val="DefaultParagraphFont"/>
    <w:uiPriority w:val="99"/>
    <w:semiHidden/>
    <w:unhideWhenUsed/>
    <w:rsid w:val="00516B41"/>
    <w:rPr>
      <w:color w:val="BA2E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rules-and-standards/quality-practice/support-coordination-and-plan-management" TargetMode="External"/><Relationship Id="rId13" Type="http://schemas.openxmlformats.org/officeDocument/2006/relationships/hyperlink" Target="https://workforcecapability.ndiscommission.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scommission.gov.au/rules-and-standards/ndis-code-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complaints/report" TargetMode="External"/><Relationship Id="rId5" Type="http://schemas.openxmlformats.org/officeDocument/2006/relationships/webSettings" Target="webSettings.xml"/><Relationship Id="rId15" Type="http://schemas.openxmlformats.org/officeDocument/2006/relationships/hyperlink" Target="https://www.ndis.gov.au/policies/supported-decision-making-policy" TargetMode="External"/><Relationship Id="rId10" Type="http://schemas.openxmlformats.org/officeDocument/2006/relationships/hyperlink" Target="https://www.ndiscommission.gov.au/complaints/report" TargetMode="External"/><Relationship Id="rId4" Type="http://schemas.openxmlformats.org/officeDocument/2006/relationships/settings" Target="settings.xml"/><Relationship Id="rId9" Type="http://schemas.openxmlformats.org/officeDocument/2006/relationships/hyperlink" Target="https://www.ndiscommission.gov.au/rules-and-standards/quality-practice/support-coordination-and-plan-management" TargetMode="External"/><Relationship Id="rId14" Type="http://schemas.openxmlformats.org/officeDocument/2006/relationships/hyperlink" Target="https://www.ndis.gov.au/providers/working-provider/support-coordin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2025NQSC">
  <a:themeElements>
    <a:clrScheme name="NQSC">
      <a:dk1>
        <a:sysClr val="windowText" lastClr="000000"/>
      </a:dk1>
      <a:lt1>
        <a:sysClr val="window" lastClr="FFFFFF"/>
      </a:lt1>
      <a:dk2>
        <a:srgbClr val="612C69"/>
      </a:dk2>
      <a:lt2>
        <a:srgbClr val="E7E7E7"/>
      </a:lt2>
      <a:accent1>
        <a:srgbClr val="612C69"/>
      </a:accent1>
      <a:accent2>
        <a:srgbClr val="98C11D"/>
      </a:accent2>
      <a:accent3>
        <a:srgbClr val="962C8B"/>
      </a:accent3>
      <a:accent4>
        <a:srgbClr val="02833F"/>
      </a:accent4>
      <a:accent5>
        <a:srgbClr val="BA2E96"/>
      </a:accent5>
      <a:accent6>
        <a:srgbClr val="275D3A"/>
      </a:accent6>
      <a:hlink>
        <a:srgbClr val="02833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5NQSC" id="{1ECCFAD7-4B81-4E4F-B0EB-B3F0190F4FF7}" vid="{B847795A-9356-4E91-9BB0-78A963994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F7602-F797-499A-BD8F-594649A6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6432</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Kylie</dc:creator>
  <cp:keywords>[SEC=OFFICIAL]</cp:keywords>
  <dc:description/>
  <cp:lastModifiedBy>BOLOGNA, Linda</cp:lastModifiedBy>
  <cp:revision>2</cp:revision>
  <dcterms:created xsi:type="dcterms:W3CDTF">2026-02-23T23:10:00Z</dcterms:created>
  <dcterms:modified xsi:type="dcterms:W3CDTF">2026-02-23T23:10:00Z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v=2024.1;a=SHA256;h=2E11D992524C1CA9CE5826EDA024500664E0216E3365B8760A41DD4BBDCF0565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2026-02-09T02:01:23Z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2026-02-09T02:01:23Z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319399321c2e4405bd1a63cb309bd0ba</vt:lpwstr>
  </property>
  <property fmtid="{D5CDD505-2E9C-101B-9397-08002B2CF9AE}" pid="24" name="PM_Originator_Hash_SHA1">
    <vt:lpwstr>0A29289FCB2BF1470B75F8F982C4E5D5E5EB5FE7</vt:lpwstr>
  </property>
  <property fmtid="{D5CDD505-2E9C-101B-9397-08002B2CF9AE}" pid="25" name="PM_Originating_FileId">
    <vt:lpwstr>F7201A8725D84697B5871F7753C0E277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551F3B34D7FA52B7FEA362D192148A69B2B8021C10EFF20A92E7D3A502825061</vt:lpwstr>
  </property>
  <property fmtid="{D5CDD505-2E9C-101B-9397-08002B2CF9AE}" pid="29" name="PM_OriginatorDomainName_SHA256">
    <vt:lpwstr>CE53151D70EF3143B9B6CA1DC053F41E858E2C804CF2EE5AE813E5CCE407743B</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1748EF1CD08EE101F48188304FC62EBE</vt:lpwstr>
  </property>
  <property fmtid="{D5CDD505-2E9C-101B-9397-08002B2CF9AE}" pid="33" name="PM_Hash_Salt">
    <vt:lpwstr>B999AC33C1E89C81B3DDAEDA824A20F7</vt:lpwstr>
  </property>
  <property fmtid="{D5CDD505-2E9C-101B-9397-08002B2CF9AE}" pid="34" name="PM_Hash_SHA1">
    <vt:lpwstr>BD7AFE93DACF9828633CBAE350AF30F629EFFF34</vt:lpwstr>
  </property>
  <property fmtid="{D5CDD505-2E9C-101B-9397-08002B2CF9AE}" pid="35" name="PM_SecurityClassification_Prev">
    <vt:lpwstr>OFFICIAL</vt:lpwstr>
  </property>
  <property fmtid="{D5CDD505-2E9C-101B-9397-08002B2CF9AE}" pid="36" name="PM_Qualifier_Prev">
    <vt:lpwstr/>
  </property>
</Properties>
</file>