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F3AD3" w14:textId="73DE32AF" w:rsidR="00EE044F" w:rsidRDefault="00EE044F" w:rsidP="00EE044F">
      <w:pPr>
        <w:pStyle w:val="Heading1"/>
        <w:spacing w:before="240"/>
        <w:rPr>
          <w:noProof/>
          <w:lang w:eastAsia="en-AU"/>
        </w:rPr>
      </w:pPr>
      <w:r w:rsidRPr="00EE044F">
        <w:rPr>
          <w:noProof/>
          <w:lang w:eastAsia="en-AU"/>
        </w:rPr>
        <w:t>Reflective Practice Tip Sheet for Supervisors and Workers</w:t>
      </w:r>
    </w:p>
    <w:p w14:paraId="32675ACA" w14:textId="77777777" w:rsidR="00EE044F" w:rsidRPr="00F4435E" w:rsidRDefault="00EE044F" w:rsidP="00EE044F">
      <w:r w:rsidRPr="00F4435E">
        <w:t xml:space="preserve">Developing a reflective practice </w:t>
      </w:r>
      <w:r>
        <w:t xml:space="preserve">routine </w:t>
      </w:r>
      <w:r w:rsidRPr="00F4435E">
        <w:t xml:space="preserve">can range from workers asking themselves simple questions after each shift to scheduled conversations </w:t>
      </w:r>
      <w:bookmarkStart w:id="0" w:name="_GoBack"/>
      <w:r>
        <w:t>between</w:t>
      </w:r>
      <w:r w:rsidRPr="00F4435E">
        <w:t xml:space="preserve"> </w:t>
      </w:r>
      <w:bookmarkEnd w:id="0"/>
      <w:r w:rsidRPr="00F4435E">
        <w:t xml:space="preserve">supervisors and </w:t>
      </w:r>
      <w:r>
        <w:t>workers</w:t>
      </w:r>
      <w:r w:rsidRPr="00F4435E">
        <w:t>.</w:t>
      </w:r>
    </w:p>
    <w:p w14:paraId="4212D591" w14:textId="77777777" w:rsidR="00EE044F" w:rsidRDefault="00EE044F" w:rsidP="00EE044F">
      <w:r w:rsidRPr="00F4435E">
        <w:t xml:space="preserve">Reflective practice provides opportunities for </w:t>
      </w:r>
      <w:r>
        <w:t>workers</w:t>
      </w:r>
      <w:r w:rsidRPr="00F4435E">
        <w:t xml:space="preserve"> to </w:t>
      </w:r>
      <w:r>
        <w:t xml:space="preserve">think about how they are working and use this experience to learn, reinforce good practice and improve. </w:t>
      </w:r>
      <w:r w:rsidRPr="00F4435E">
        <w:t xml:space="preserve">It also </w:t>
      </w:r>
      <w:r>
        <w:t xml:space="preserve">provides supervisors with </w:t>
      </w:r>
      <w:r w:rsidRPr="00F4435E">
        <w:t xml:space="preserve">information about worker wellbeing and areas where workers might need extra support. </w:t>
      </w:r>
    </w:p>
    <w:p w14:paraId="679801E0" w14:textId="77777777" w:rsidR="00EE044F" w:rsidRDefault="00EE044F" w:rsidP="00EE044F">
      <w:r>
        <w:t>Examples of reflective practice routines include:</w:t>
      </w:r>
    </w:p>
    <w:p w14:paraId="4D8CE549" w14:textId="77777777" w:rsidR="00EE044F" w:rsidRDefault="00EE044F" w:rsidP="00C02C96">
      <w:pPr>
        <w:pStyle w:val="Bullet1"/>
      </w:pPr>
      <w:r w:rsidRPr="00727AFB">
        <w:t xml:space="preserve">Individual workers </w:t>
      </w:r>
      <w:r>
        <w:t>building a habit of self-reflection, asking themselves questions to review their own</w:t>
      </w:r>
      <w:r w:rsidRPr="00727AFB">
        <w:t xml:space="preserve"> practice.</w:t>
      </w:r>
    </w:p>
    <w:p w14:paraId="3145057A" w14:textId="77777777" w:rsidR="00EE044F" w:rsidRDefault="00EE044F" w:rsidP="00C02C96">
      <w:pPr>
        <w:pStyle w:val="Bullet1"/>
      </w:pPr>
      <w:r>
        <w:t xml:space="preserve">Supervisors checking in with workers, either individually or in groups, to discuss work practice. </w:t>
      </w:r>
    </w:p>
    <w:p w14:paraId="3FEFD8A3" w14:textId="77777777" w:rsidR="00EE044F" w:rsidRDefault="00EE044F" w:rsidP="00C02C96">
      <w:pPr>
        <w:pStyle w:val="Bullet1"/>
      </w:pPr>
      <w:r w:rsidRPr="0067395C">
        <w:t xml:space="preserve">Debriefing sessions </w:t>
      </w:r>
      <w:r>
        <w:t>conducted</w:t>
      </w:r>
      <w:r w:rsidRPr="0067395C">
        <w:t xml:space="preserve"> immediately or soon after a challenging or stressful shift. These conversations </w:t>
      </w:r>
      <w:r>
        <w:t xml:space="preserve">may be between supervisors and </w:t>
      </w:r>
      <w:r w:rsidRPr="0067395C">
        <w:t>individual</w:t>
      </w:r>
      <w:r>
        <w:t xml:space="preserve"> workers or groups of</w:t>
      </w:r>
      <w:r w:rsidRPr="0067395C">
        <w:t xml:space="preserve"> worker</w:t>
      </w:r>
      <w:r>
        <w:t>s,</w:t>
      </w:r>
      <w:r w:rsidRPr="0067395C">
        <w:t xml:space="preserve"> but could also be between peers. </w:t>
      </w:r>
      <w:r>
        <w:t>T</w:t>
      </w:r>
      <w:r w:rsidRPr="0067395C">
        <w:t>eam reflection provides an opportunity for each worker to review their own practice as well as looking at how they are supporting other members of the team.</w:t>
      </w:r>
    </w:p>
    <w:p w14:paraId="6F56AB58" w14:textId="77777777" w:rsidR="00EE044F" w:rsidRPr="00B85900" w:rsidRDefault="00EE044F" w:rsidP="00C02C96">
      <w:pPr>
        <w:pStyle w:val="Bullet1"/>
      </w:pPr>
      <w:r>
        <w:t>M</w:t>
      </w:r>
      <w:r w:rsidRPr="0067395C">
        <w:t xml:space="preserve">eetings </w:t>
      </w:r>
      <w:r>
        <w:t>involving</w:t>
      </w:r>
      <w:r w:rsidRPr="0067395C">
        <w:t xml:space="preserve"> peers and other experts</w:t>
      </w:r>
      <w:r>
        <w:t xml:space="preserve"> to review the effectiveness of strategies when</w:t>
      </w:r>
      <w:r w:rsidRPr="0067395C">
        <w:t xml:space="preserve"> delivering more complex support such as intensive behaviour support. These sessions provide an opportunity to step out of </w:t>
      </w:r>
      <w:r>
        <w:t>addressing immediate work issues</w:t>
      </w:r>
      <w:r w:rsidRPr="0067395C">
        <w:t xml:space="preserve"> to</w:t>
      </w:r>
      <w:r>
        <w:t xml:space="preserve"> take a longer term</w:t>
      </w:r>
      <w:r w:rsidRPr="0067395C">
        <w:t xml:space="preserve"> look at how things are going. Data tracking </w:t>
      </w:r>
      <w:r>
        <w:t xml:space="preserve">how </w:t>
      </w:r>
      <w:r w:rsidRPr="0067395C">
        <w:t xml:space="preserve">effective support is in achieving participant goals is a useful input to these discussions. </w:t>
      </w:r>
    </w:p>
    <w:p w14:paraId="53191BB2" w14:textId="654194CC" w:rsidR="00EE044F" w:rsidRDefault="00EE044F" w:rsidP="00C02C96">
      <w:pPr>
        <w:rPr>
          <w:rFonts w:eastAsiaTheme="majorEastAsia" w:cstheme="majorBidi"/>
          <w:color w:val="BA2E96" w:themeColor="accent3"/>
          <w:sz w:val="34"/>
        </w:rPr>
      </w:pPr>
      <w:r w:rsidRPr="0067395C">
        <w:t>Supervisors can</w:t>
      </w:r>
      <w:r>
        <w:t xml:space="preserve"> use the </w:t>
      </w:r>
      <w:hyperlink r:id="rId8" w:history="1">
        <w:r w:rsidRPr="009B4B2C">
          <w:rPr>
            <w:rStyle w:val="Hyperlink"/>
          </w:rPr>
          <w:t>NDIS Workforce Capability Framework</w:t>
        </w:r>
      </w:hyperlink>
      <w:r>
        <w:t xml:space="preserve"> capabilities to review their own practice and</w:t>
      </w:r>
      <w:r w:rsidRPr="0067395C">
        <w:t xml:space="preserve"> </w:t>
      </w:r>
      <w:r>
        <w:t>encourage</w:t>
      </w:r>
      <w:r w:rsidRPr="0067395C">
        <w:t xml:space="preserve"> workers to </w:t>
      </w:r>
      <w:r>
        <w:t>use</w:t>
      </w:r>
      <w:r w:rsidRPr="0067395C">
        <w:t xml:space="preserve"> </w:t>
      </w:r>
      <w:r>
        <w:t>it</w:t>
      </w:r>
      <w:r w:rsidRPr="0067395C">
        <w:t xml:space="preserve"> as a reference for ‘what good looks like’ when delivering NDIS services and supports, to think about how they are going and to ask questions</w:t>
      </w:r>
      <w:r>
        <w:t xml:space="preserve"> to support reflection</w:t>
      </w:r>
      <w:r w:rsidRPr="0067395C">
        <w:t>.</w:t>
      </w:r>
      <w:r>
        <w:br w:type="page"/>
      </w:r>
    </w:p>
    <w:p w14:paraId="0548617F" w14:textId="77777777" w:rsidR="00EE044F" w:rsidRPr="00B02BCB" w:rsidRDefault="00EE044F" w:rsidP="00EE044F">
      <w:pPr>
        <w:pStyle w:val="Heading2"/>
        <w:rPr>
          <w:color w:val="612C69"/>
        </w:rPr>
      </w:pPr>
      <w:r w:rsidRPr="00B02BCB">
        <w:rPr>
          <w:color w:val="612C69"/>
        </w:rPr>
        <w:lastRenderedPageBreak/>
        <w:t>Questions workers can use for self-reflection:</w:t>
      </w:r>
    </w:p>
    <w:p w14:paraId="44D0F2D8" w14:textId="7DA93908" w:rsidR="00EE044F" w:rsidRPr="00B02BCB" w:rsidRDefault="00EE044F" w:rsidP="00EE044F">
      <w:pPr>
        <w:pStyle w:val="Heading3"/>
        <w:rPr>
          <w:color w:val="85367B"/>
        </w:rPr>
      </w:pPr>
      <w:r w:rsidRPr="00B02BCB">
        <w:rPr>
          <w:color w:val="85367B"/>
        </w:rPr>
        <w:t>Workers can build their own routine of reflective practice by asking some simple questions after each shift:</w:t>
      </w:r>
    </w:p>
    <w:p w14:paraId="1F011AAB" w14:textId="77777777" w:rsidR="00EE044F" w:rsidRPr="00E93D0C" w:rsidRDefault="00EE044F" w:rsidP="00EE044F">
      <w:pPr>
        <w:pStyle w:val="BoxedlistofquestionsGreen"/>
        <w:numPr>
          <w:ilvl w:val="0"/>
          <w:numId w:val="0"/>
        </w:numPr>
        <w:ind w:left="357" w:hanging="357"/>
        <w:rPr>
          <w:sz w:val="8"/>
        </w:rPr>
      </w:pPr>
    </w:p>
    <w:p w14:paraId="0868CF91" w14:textId="77777777" w:rsidR="00EE044F" w:rsidRDefault="00EE044F" w:rsidP="00EE044F">
      <w:pPr>
        <w:pStyle w:val="BoxedlistofquestionsGreen"/>
      </w:pPr>
      <w:r>
        <w:t>What went well?</w:t>
      </w:r>
    </w:p>
    <w:p w14:paraId="37EF9F0E" w14:textId="77777777" w:rsidR="00EE044F" w:rsidRDefault="00EE044F" w:rsidP="00EE044F">
      <w:pPr>
        <w:pStyle w:val="BoxedlistofquestionsGreen"/>
      </w:pPr>
      <w:r>
        <w:t>What did not go well?</w:t>
      </w:r>
    </w:p>
    <w:p w14:paraId="7EB5AA75" w14:textId="77777777" w:rsidR="00EE044F" w:rsidRDefault="00EE044F" w:rsidP="00EE044F">
      <w:pPr>
        <w:pStyle w:val="BoxedlistofquestionsGreen"/>
      </w:pPr>
      <w:r>
        <w:t>How do I feel?</w:t>
      </w:r>
    </w:p>
    <w:p w14:paraId="1A594A8F" w14:textId="77777777" w:rsidR="00EE044F" w:rsidRDefault="00EE044F" w:rsidP="00EE044F">
      <w:pPr>
        <w:pStyle w:val="BoxedlistofquestionsGreen"/>
      </w:pPr>
      <w:r>
        <w:t>What could have been better?</w:t>
      </w:r>
    </w:p>
    <w:p w14:paraId="6E8E13C2" w14:textId="77777777" w:rsidR="00EE044F" w:rsidRDefault="00EE044F" w:rsidP="00EE044F">
      <w:pPr>
        <w:pStyle w:val="BoxedlistofquestionsGreen"/>
      </w:pPr>
      <w:r>
        <w:t>What can I do/be aware of to improve future practice?</w:t>
      </w:r>
    </w:p>
    <w:p w14:paraId="5B98E213" w14:textId="77777777" w:rsidR="00EE044F" w:rsidRPr="00E93D0C" w:rsidRDefault="00EE044F" w:rsidP="00EE044F">
      <w:pPr>
        <w:pStyle w:val="BoxedlistofquestionsGreen"/>
        <w:numPr>
          <w:ilvl w:val="0"/>
          <w:numId w:val="0"/>
        </w:numPr>
        <w:rPr>
          <w:sz w:val="8"/>
        </w:rPr>
      </w:pPr>
    </w:p>
    <w:p w14:paraId="1325E2A0" w14:textId="77777777" w:rsidR="00EE044F" w:rsidRPr="00B02BCB" w:rsidRDefault="00EE044F" w:rsidP="00EE044F">
      <w:pPr>
        <w:pStyle w:val="Heading2"/>
        <w:rPr>
          <w:color w:val="612C69"/>
        </w:rPr>
      </w:pPr>
      <w:r w:rsidRPr="00B02BCB">
        <w:rPr>
          <w:color w:val="612C69"/>
        </w:rPr>
        <w:t>Questions supervisors can use to facilitate reflective practice:</w:t>
      </w:r>
    </w:p>
    <w:p w14:paraId="2F73C0EF" w14:textId="32B301F6" w:rsidR="00EE044F" w:rsidRPr="00B02BCB" w:rsidRDefault="00EE044F" w:rsidP="00EE044F">
      <w:pPr>
        <w:pStyle w:val="Heading3"/>
        <w:rPr>
          <w:color w:val="85367B"/>
        </w:rPr>
      </w:pPr>
      <w:r w:rsidRPr="00B02BCB">
        <w:rPr>
          <w:color w:val="85367B"/>
        </w:rPr>
        <w:t>Supervisors can ask questions to structure reflective conversations. Here are two exampl</w:t>
      </w:r>
      <w:r w:rsidR="00C02C96">
        <w:rPr>
          <w:color w:val="85367B"/>
        </w:rPr>
        <w:t>es of tested tools you can use:</w:t>
      </w:r>
    </w:p>
    <w:p w14:paraId="06BD5C22" w14:textId="77777777" w:rsidR="00EE044F" w:rsidRPr="00E93D0C" w:rsidRDefault="00EE044F" w:rsidP="00EE044F">
      <w:pPr>
        <w:pStyle w:val="BoxedlistofquestionsGreen"/>
        <w:numPr>
          <w:ilvl w:val="0"/>
          <w:numId w:val="0"/>
        </w:numPr>
        <w:rPr>
          <w:b/>
          <w:sz w:val="8"/>
        </w:rPr>
      </w:pPr>
    </w:p>
    <w:p w14:paraId="29842685" w14:textId="77777777" w:rsidR="00EE044F" w:rsidRDefault="00EE044F" w:rsidP="00EE044F">
      <w:pPr>
        <w:pStyle w:val="BoxedlistofquestionsGreen"/>
        <w:numPr>
          <w:ilvl w:val="0"/>
          <w:numId w:val="0"/>
        </w:numPr>
        <w:rPr>
          <w:b/>
        </w:rPr>
      </w:pPr>
      <w:r>
        <w:rPr>
          <w:b/>
        </w:rPr>
        <w:t>Gibb</w:t>
      </w:r>
      <w:r w:rsidRPr="00C500E8">
        <w:rPr>
          <w:b/>
        </w:rPr>
        <w:t>s</w:t>
      </w:r>
      <w:r>
        <w:rPr>
          <w:b/>
        </w:rPr>
        <w:t>’</w:t>
      </w:r>
      <w:r w:rsidRPr="00C500E8">
        <w:rPr>
          <w:b/>
        </w:rPr>
        <w:t xml:space="preserve"> Model of Reflection (1988)</w:t>
      </w:r>
      <w:r w:rsidRPr="00C500E8">
        <w:rPr>
          <w:rStyle w:val="EndnoteReference"/>
          <w:b/>
          <w:bCs/>
        </w:rPr>
        <w:endnoteReference w:id="1"/>
      </w:r>
      <w:r w:rsidRPr="00C500E8">
        <w:rPr>
          <w:b/>
        </w:rPr>
        <w:t xml:space="preserve"> is a six-step process:</w:t>
      </w:r>
    </w:p>
    <w:p w14:paraId="4DC68F90" w14:textId="77777777" w:rsidR="00EE044F" w:rsidRDefault="00EE044F" w:rsidP="00EE044F">
      <w:pPr>
        <w:pStyle w:val="BoxedlistofquestionsGreen"/>
        <w:numPr>
          <w:ilvl w:val="0"/>
          <w:numId w:val="0"/>
        </w:numPr>
        <w:tabs>
          <w:tab w:val="left" w:pos="426"/>
          <w:tab w:val="left" w:pos="1134"/>
        </w:tabs>
        <w:ind w:left="426" w:hanging="426"/>
      </w:pPr>
      <w:r w:rsidRPr="00C500E8">
        <w:t xml:space="preserve">1. </w:t>
      </w:r>
      <w:r>
        <w:tab/>
        <w:t>Describe what happened.</w:t>
      </w:r>
    </w:p>
    <w:p w14:paraId="557E5995" w14:textId="77777777" w:rsidR="00EE044F" w:rsidRDefault="00EE044F" w:rsidP="00EE044F">
      <w:pPr>
        <w:pStyle w:val="BoxedlistofquestionsGreen"/>
        <w:numPr>
          <w:ilvl w:val="0"/>
          <w:numId w:val="0"/>
        </w:numPr>
        <w:tabs>
          <w:tab w:val="left" w:pos="426"/>
          <w:tab w:val="left" w:pos="1134"/>
        </w:tabs>
        <w:ind w:left="426" w:hanging="426"/>
      </w:pPr>
      <w:r>
        <w:t>2.</w:t>
      </w:r>
      <w:r>
        <w:tab/>
      </w:r>
      <w:r w:rsidRPr="00F4435E">
        <w:t>Describe how you felt during this event – how did your feelings, values or beliefs influence what happened?</w:t>
      </w:r>
    </w:p>
    <w:p w14:paraId="6B3F93E6" w14:textId="77777777" w:rsidR="00EE044F" w:rsidRDefault="00EE044F" w:rsidP="00EE044F">
      <w:pPr>
        <w:pStyle w:val="BoxedlistofquestionsGreen"/>
        <w:numPr>
          <w:ilvl w:val="0"/>
          <w:numId w:val="0"/>
        </w:numPr>
        <w:tabs>
          <w:tab w:val="left" w:pos="426"/>
          <w:tab w:val="left" w:pos="1134"/>
        </w:tabs>
        <w:ind w:left="426" w:hanging="426"/>
      </w:pPr>
      <w:r>
        <w:t>3.</w:t>
      </w:r>
      <w:r>
        <w:tab/>
      </w:r>
      <w:r w:rsidRPr="00F4435E">
        <w:t>Evaluate: What did you do that worked well? What did</w:t>
      </w:r>
      <w:r>
        <w:t xml:space="preserve"> </w:t>
      </w:r>
      <w:r w:rsidRPr="00F4435E">
        <w:t>n</w:t>
      </w:r>
      <w:r>
        <w:t>o</w:t>
      </w:r>
      <w:r w:rsidRPr="00F4435E">
        <w:t>t go so well? How did you contribute – either positively or negatively?</w:t>
      </w:r>
    </w:p>
    <w:p w14:paraId="0119D88B" w14:textId="77777777" w:rsidR="00EE044F" w:rsidRDefault="00EE044F" w:rsidP="00EE044F">
      <w:pPr>
        <w:pStyle w:val="BoxedlistofquestionsGreen"/>
        <w:numPr>
          <w:ilvl w:val="0"/>
          <w:numId w:val="0"/>
        </w:numPr>
        <w:tabs>
          <w:tab w:val="left" w:pos="426"/>
          <w:tab w:val="left" w:pos="1134"/>
        </w:tabs>
        <w:ind w:left="426" w:hanging="426"/>
      </w:pPr>
      <w:r>
        <w:t>4.</w:t>
      </w:r>
      <w:r>
        <w:tab/>
      </w:r>
      <w:r w:rsidRPr="00F4435E">
        <w:t>Analyse: why did things go well/not go well? Could you have responded differently? What would have helped/improved the way things went?</w:t>
      </w:r>
    </w:p>
    <w:p w14:paraId="5794F4E2" w14:textId="77777777" w:rsidR="00EE044F" w:rsidRDefault="00EE044F" w:rsidP="00EE044F">
      <w:pPr>
        <w:pStyle w:val="BoxedlistofquestionsGreen"/>
        <w:numPr>
          <w:ilvl w:val="0"/>
          <w:numId w:val="0"/>
        </w:numPr>
        <w:tabs>
          <w:tab w:val="left" w:pos="426"/>
          <w:tab w:val="left" w:pos="1134"/>
        </w:tabs>
        <w:ind w:left="426" w:hanging="426"/>
      </w:pPr>
      <w:r>
        <w:t>5.</w:t>
      </w:r>
      <w:r>
        <w:tab/>
      </w:r>
      <w:r w:rsidRPr="00F4435E">
        <w:t>Conclude: What have you learned? Are there any things you would need to learn or practice to do this better?</w:t>
      </w:r>
    </w:p>
    <w:p w14:paraId="08835846" w14:textId="77777777" w:rsidR="00EE044F" w:rsidRDefault="00EE044F" w:rsidP="00EE044F">
      <w:pPr>
        <w:pStyle w:val="BoxedlistofquestionsGreen"/>
        <w:numPr>
          <w:ilvl w:val="0"/>
          <w:numId w:val="0"/>
        </w:numPr>
        <w:tabs>
          <w:tab w:val="left" w:pos="426"/>
          <w:tab w:val="left" w:pos="1134"/>
        </w:tabs>
        <w:ind w:left="426" w:hanging="426"/>
      </w:pPr>
      <w:r>
        <w:t>6.</w:t>
      </w:r>
      <w:r>
        <w:tab/>
      </w:r>
      <w:r w:rsidRPr="003C1F13">
        <w:t>Action plan: What would you do if the same thing happened again? How could you apply what you have learned? How/will you adapt or change your approach?</w:t>
      </w:r>
    </w:p>
    <w:p w14:paraId="31DE3006" w14:textId="77777777" w:rsidR="00EE044F" w:rsidRPr="00E93D0C" w:rsidRDefault="00EE044F" w:rsidP="00EE044F">
      <w:pPr>
        <w:pStyle w:val="BoxedlistofquestionsGreen"/>
        <w:numPr>
          <w:ilvl w:val="0"/>
          <w:numId w:val="0"/>
        </w:numPr>
        <w:tabs>
          <w:tab w:val="left" w:pos="426"/>
          <w:tab w:val="left" w:pos="1134"/>
        </w:tabs>
        <w:ind w:left="426" w:hanging="426"/>
        <w:rPr>
          <w:sz w:val="8"/>
        </w:rPr>
      </w:pPr>
    </w:p>
    <w:p w14:paraId="33E531AB" w14:textId="77777777" w:rsidR="00EE044F" w:rsidRDefault="00EE044F" w:rsidP="00EE044F">
      <w:pPr>
        <w:pStyle w:val="ListNumber"/>
        <w:numPr>
          <w:ilvl w:val="0"/>
          <w:numId w:val="0"/>
        </w:numPr>
        <w:rPr>
          <w:lang w:val="en-AU"/>
        </w:rPr>
      </w:pPr>
    </w:p>
    <w:p w14:paraId="7AAF3EA4" w14:textId="77777777" w:rsidR="00EE044F" w:rsidRPr="00E93D0C" w:rsidRDefault="00EE044F" w:rsidP="00EE044F">
      <w:pPr>
        <w:pStyle w:val="BoxedlistofquestionsGreen"/>
        <w:numPr>
          <w:ilvl w:val="0"/>
          <w:numId w:val="0"/>
        </w:numPr>
        <w:ind w:left="357" w:hanging="357"/>
        <w:rPr>
          <w:sz w:val="8"/>
        </w:rPr>
      </w:pPr>
    </w:p>
    <w:p w14:paraId="30030B65" w14:textId="2CD9A302" w:rsidR="00EE044F" w:rsidRPr="00C500E8" w:rsidRDefault="00215ED8" w:rsidP="00EE044F">
      <w:pPr>
        <w:pStyle w:val="BoxedlistofquestionsGreen"/>
        <w:numPr>
          <w:ilvl w:val="0"/>
          <w:numId w:val="0"/>
        </w:numPr>
        <w:ind w:left="357" w:hanging="357"/>
        <w:rPr>
          <w:b/>
        </w:rPr>
      </w:pPr>
      <w:r w:rsidRPr="00215ED8">
        <w:rPr>
          <w:b/>
        </w:rPr>
        <w:t>The</w:t>
      </w:r>
      <w:r>
        <w:t xml:space="preserve"> </w:t>
      </w:r>
      <w:hyperlink r:id="rId9" w:history="1">
        <w:r>
          <w:rPr>
            <w:rStyle w:val="Hyperlink"/>
            <w:b/>
            <w:color w:val="85367B"/>
          </w:rPr>
          <w:t>4 + 1 Questions template (Sanderson &amp; Lewis, 2012)</w:t>
        </w:r>
      </w:hyperlink>
      <w:r w:rsidR="00EE044F" w:rsidRPr="00C500E8">
        <w:rPr>
          <w:b/>
        </w:rPr>
        <w:t xml:space="preserve"> uses five questions:</w:t>
      </w:r>
    </w:p>
    <w:p w14:paraId="7FD8F83B" w14:textId="77777777" w:rsidR="00EE044F" w:rsidRDefault="00EE044F" w:rsidP="00EE044F">
      <w:pPr>
        <w:pStyle w:val="BoxedlistofquestionsGreen"/>
        <w:numPr>
          <w:ilvl w:val="0"/>
          <w:numId w:val="0"/>
        </w:numPr>
        <w:ind w:left="357" w:hanging="357"/>
      </w:pPr>
      <w:r>
        <w:t>1.</w:t>
      </w:r>
      <w:r>
        <w:tab/>
        <w:t>What have we tried?</w:t>
      </w:r>
    </w:p>
    <w:p w14:paraId="41B7E7C5" w14:textId="77777777" w:rsidR="00EE044F" w:rsidRDefault="00EE044F" w:rsidP="00EE044F">
      <w:pPr>
        <w:pStyle w:val="BoxedlistofquestionsGreen"/>
        <w:numPr>
          <w:ilvl w:val="0"/>
          <w:numId w:val="0"/>
        </w:numPr>
        <w:ind w:left="357" w:hanging="357"/>
      </w:pPr>
      <w:r>
        <w:t>2.</w:t>
      </w:r>
      <w:r>
        <w:tab/>
        <w:t>What have we learnt?</w:t>
      </w:r>
    </w:p>
    <w:p w14:paraId="47433F9E" w14:textId="77777777" w:rsidR="00EE044F" w:rsidRDefault="00EE044F" w:rsidP="00EE044F">
      <w:pPr>
        <w:pStyle w:val="BoxedlistofquestionsGreen"/>
        <w:numPr>
          <w:ilvl w:val="0"/>
          <w:numId w:val="0"/>
        </w:numPr>
        <w:ind w:left="357" w:hanging="357"/>
      </w:pPr>
      <w:r>
        <w:t>3.</w:t>
      </w:r>
      <w:r>
        <w:tab/>
        <w:t>What are we pleased about?</w:t>
      </w:r>
    </w:p>
    <w:p w14:paraId="79EC5C13" w14:textId="77777777" w:rsidR="00EE044F" w:rsidRDefault="00EE044F" w:rsidP="00EE044F">
      <w:pPr>
        <w:pStyle w:val="BoxedlistofquestionsGreen"/>
        <w:numPr>
          <w:ilvl w:val="0"/>
          <w:numId w:val="0"/>
        </w:numPr>
        <w:ind w:left="357" w:hanging="357"/>
      </w:pPr>
      <w:r>
        <w:t>4.</w:t>
      </w:r>
      <w:r>
        <w:tab/>
        <w:t>What are we concerned about?</w:t>
      </w:r>
    </w:p>
    <w:p w14:paraId="7B953045" w14:textId="77777777" w:rsidR="00EE044F" w:rsidRDefault="00EE044F" w:rsidP="00EE044F">
      <w:pPr>
        <w:pStyle w:val="BoxedlistofquestionsGreen"/>
        <w:numPr>
          <w:ilvl w:val="0"/>
          <w:numId w:val="0"/>
        </w:numPr>
        <w:ind w:left="357" w:hanging="357"/>
      </w:pPr>
      <w:r>
        <w:t>5.</w:t>
      </w:r>
      <w:r>
        <w:tab/>
        <w:t>What do we need to do next?</w:t>
      </w:r>
    </w:p>
    <w:p w14:paraId="2569D283" w14:textId="77777777" w:rsidR="00EE044F" w:rsidRPr="00E93D0C" w:rsidRDefault="00EE044F" w:rsidP="00EE044F">
      <w:pPr>
        <w:pStyle w:val="BoxedlistofquestionsGreen"/>
        <w:numPr>
          <w:ilvl w:val="0"/>
          <w:numId w:val="0"/>
        </w:numPr>
        <w:ind w:left="357" w:hanging="357"/>
        <w:rPr>
          <w:sz w:val="8"/>
        </w:rPr>
      </w:pPr>
    </w:p>
    <w:sectPr w:rsidR="00EE044F" w:rsidRPr="00E93D0C" w:rsidSect="00513096">
      <w:headerReference w:type="default" r:id="rId10"/>
      <w:footerReference w:type="default" r:id="rId11"/>
      <w:headerReference w:type="first" r:id="rId12"/>
      <w:footerReference w:type="first" r:id="rId13"/>
      <w:type w:val="continuous"/>
      <w:pgSz w:w="11906" w:h="16838" w:code="9"/>
      <w:pgMar w:top="1440" w:right="1440" w:bottom="1440" w:left="1440" w:header="284" w:footer="397" w:gutter="0"/>
      <w:pgNumType w:start="1"/>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20A49" w14:textId="77777777" w:rsidR="00B020A3" w:rsidRDefault="00B020A3" w:rsidP="008E21DE">
      <w:pPr>
        <w:spacing w:before="0" w:after="0"/>
      </w:pPr>
      <w:r>
        <w:separator/>
      </w:r>
    </w:p>
  </w:endnote>
  <w:endnote w:type="continuationSeparator" w:id="0">
    <w:p w14:paraId="00C45A8D" w14:textId="77777777" w:rsidR="00B020A3" w:rsidRDefault="00B020A3" w:rsidP="008E21DE">
      <w:pPr>
        <w:spacing w:before="0" w:after="0"/>
      </w:pPr>
      <w:r>
        <w:continuationSeparator/>
      </w:r>
    </w:p>
  </w:endnote>
  <w:endnote w:id="1">
    <w:p w14:paraId="70BFDE84" w14:textId="231241BB" w:rsidR="00EE044F" w:rsidRPr="002008B7" w:rsidRDefault="00EE044F" w:rsidP="00EE044F">
      <w:pPr>
        <w:pStyle w:val="EndnoteText"/>
        <w:rPr>
          <w:lang w:val="en-AU"/>
        </w:rPr>
      </w:pPr>
      <w:r w:rsidRPr="00F875D5">
        <w:rPr>
          <w:rStyle w:val="EndnoteReference"/>
          <w:rFonts w:cstheme="minorHAnsi"/>
        </w:rPr>
        <w:endnoteRef/>
      </w:r>
      <w:r w:rsidRPr="00F875D5">
        <w:rPr>
          <w:rFonts w:cstheme="minorHAnsi"/>
        </w:rPr>
        <w:t xml:space="preserve"> </w:t>
      </w:r>
      <w:r w:rsidRPr="00F875D5">
        <w:rPr>
          <w:rFonts w:cstheme="minorHAnsi"/>
          <w:color w:val="333333"/>
          <w:sz w:val="21"/>
          <w:szCs w:val="21"/>
          <w:shd w:val="clear" w:color="auto" w:fill="FFFFFF"/>
        </w:rPr>
        <w:t>Gibbs, G. (1988). </w:t>
      </w:r>
      <w:r w:rsidRPr="00F875D5">
        <w:rPr>
          <w:rFonts w:cstheme="minorHAnsi"/>
          <w:i/>
          <w:iCs/>
          <w:color w:val="333333"/>
          <w:sz w:val="21"/>
          <w:szCs w:val="21"/>
          <w:shd w:val="clear" w:color="auto" w:fill="FFFFFF"/>
        </w:rPr>
        <w:t xml:space="preserve">Learning by doing: A guide to teaching and learning methods. </w:t>
      </w:r>
      <w:r w:rsidRPr="00F875D5">
        <w:rPr>
          <w:rFonts w:cstheme="minorHAnsi"/>
          <w:color w:val="333333"/>
          <w:sz w:val="21"/>
          <w:szCs w:val="21"/>
          <w:shd w:val="clear" w:color="auto" w:fill="FFFFFF"/>
        </w:rPr>
        <w:t>Further Education Unit.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9856" w14:textId="77777777" w:rsidR="00D23398" w:rsidRDefault="00D23398" w:rsidP="00D23398">
    <w:pPr>
      <w:pStyle w:val="Footer"/>
      <w:rPr>
        <w:sz w:val="18"/>
        <w:szCs w:val="18"/>
      </w:rPr>
    </w:pPr>
    <w:r>
      <w:rPr>
        <w:b/>
        <w:bCs/>
        <w:noProof/>
        <w:lang w:eastAsia="en-AU"/>
      </w:rPr>
      <mc:AlternateContent>
        <mc:Choice Requires="wps">
          <w:drawing>
            <wp:inline distT="0" distB="0" distL="0" distR="0" wp14:anchorId="2FCB62B6" wp14:editId="2896A86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8F8A14"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48F50245" w14:textId="691C808E" w:rsidR="00FD66D7" w:rsidRPr="00D23398" w:rsidRDefault="00D23398" w:rsidP="00D23398">
    <w:pPr>
      <w:pStyle w:val="Footer"/>
      <w:rPr>
        <w:sz w:val="18"/>
        <w:szCs w:val="18"/>
      </w:rPr>
    </w:pPr>
    <w:r w:rsidRPr="00C506B8">
      <w:rPr>
        <w:sz w:val="18"/>
        <w:szCs w:val="18"/>
      </w:rPr>
      <w:t xml:space="preserve">NDIS Workforce Capability Framework | </w:t>
    </w:r>
    <w:r w:rsidR="00EE044F" w:rsidRPr="00EE044F">
      <w:rPr>
        <w:sz w:val="18"/>
        <w:szCs w:val="18"/>
      </w:rPr>
      <w:t>Reflective Practice Tip Sheet for Supervisors and Workers</w:t>
    </w:r>
    <w:r w:rsidR="000B6099">
      <w:rPr>
        <w:sz w:val="18"/>
        <w:szCs w:val="18"/>
      </w:rPr>
      <w:t xml:space="preserve"> </w:t>
    </w:r>
    <w:r w:rsidR="00215ED8">
      <w:rPr>
        <w:sz w:val="18"/>
        <w:szCs w:val="18"/>
      </w:rPr>
      <w:t>–</w:t>
    </w:r>
    <w:r w:rsidR="000B6099">
      <w:rPr>
        <w:sz w:val="18"/>
        <w:szCs w:val="18"/>
      </w:rPr>
      <w:t xml:space="preserve"> </w:t>
    </w:r>
    <w:r w:rsidR="00215ED8">
      <w:rPr>
        <w:sz w:val="18"/>
        <w:szCs w:val="18"/>
      </w:rPr>
      <w:t>February 2024</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D34267">
      <w:rPr>
        <w:noProof/>
        <w:sz w:val="18"/>
        <w:szCs w:val="18"/>
      </w:rPr>
      <w:t>2</w:t>
    </w:r>
    <w:r w:rsidRPr="00C506B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91184" w14:textId="77777777" w:rsidR="00513096" w:rsidRDefault="00513096" w:rsidP="00513096">
    <w:pPr>
      <w:pStyle w:val="Footer"/>
      <w:rPr>
        <w:sz w:val="18"/>
        <w:szCs w:val="18"/>
      </w:rPr>
    </w:pPr>
    <w:r>
      <w:rPr>
        <w:b/>
        <w:bCs/>
        <w:noProof/>
        <w:lang w:eastAsia="en-AU"/>
      </w:rPr>
      <mc:AlternateContent>
        <mc:Choice Requires="wps">
          <w:drawing>
            <wp:inline distT="0" distB="0" distL="0" distR="0" wp14:anchorId="67CB0700" wp14:editId="72D87EC3">
              <wp:extent cx="5734050" cy="76200"/>
              <wp:effectExtent l="0" t="0" r="0" b="0"/>
              <wp:docPr id="24" name="Rectangle 24"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92F035" id="Rectangle 24"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J1+6L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A91D5FD" w14:textId="48F87F69" w:rsidR="00513096" w:rsidRPr="00D23398" w:rsidRDefault="00513096" w:rsidP="00513096">
    <w:pPr>
      <w:pStyle w:val="Footer"/>
      <w:rPr>
        <w:sz w:val="18"/>
        <w:szCs w:val="18"/>
      </w:rPr>
    </w:pPr>
    <w:r w:rsidRPr="00C506B8">
      <w:rPr>
        <w:sz w:val="18"/>
        <w:szCs w:val="18"/>
      </w:rPr>
      <w:t xml:space="preserve">NDIS Workforce Capability </w:t>
    </w:r>
    <w:r w:rsidR="00CC768D">
      <w:rPr>
        <w:sz w:val="18"/>
        <w:szCs w:val="18"/>
      </w:rPr>
      <w:t xml:space="preserve">Framework | </w:t>
    </w:r>
    <w:r w:rsidR="00EE044F" w:rsidRPr="00EE044F">
      <w:rPr>
        <w:sz w:val="18"/>
        <w:szCs w:val="18"/>
      </w:rPr>
      <w:t>Reflective Practice Tip Sheet for Supervisors and Workers</w:t>
    </w:r>
    <w:r w:rsidR="000B6099">
      <w:rPr>
        <w:sz w:val="18"/>
        <w:szCs w:val="18"/>
      </w:rPr>
      <w:t xml:space="preserve"> </w:t>
    </w:r>
    <w:r w:rsidR="00215ED8">
      <w:rPr>
        <w:sz w:val="18"/>
        <w:szCs w:val="18"/>
      </w:rPr>
      <w:t>–</w:t>
    </w:r>
    <w:r w:rsidR="00CC768D">
      <w:rPr>
        <w:sz w:val="18"/>
        <w:szCs w:val="18"/>
      </w:rPr>
      <w:t xml:space="preserve"> </w:t>
    </w:r>
    <w:r w:rsidR="00215ED8">
      <w:rPr>
        <w:sz w:val="18"/>
        <w:szCs w:val="18"/>
      </w:rPr>
      <w:t>February 2024</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D34267">
      <w:rPr>
        <w:noProof/>
        <w:sz w:val="18"/>
        <w:szCs w:val="18"/>
      </w:rPr>
      <w:t>1</w:t>
    </w:r>
    <w:r w:rsidRPr="00C506B8">
      <w:rPr>
        <w:noProof/>
        <w:sz w:val="18"/>
        <w:szCs w:val="18"/>
      </w:rPr>
      <w:fldChar w:fldCharType="end"/>
    </w:r>
  </w:p>
  <w:p w14:paraId="5ACBEC2D" w14:textId="77777777" w:rsidR="00513096" w:rsidRDefault="0051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5951A" w14:textId="77777777" w:rsidR="00B020A3" w:rsidRDefault="00B020A3" w:rsidP="008E21DE">
      <w:pPr>
        <w:spacing w:before="0" w:after="0"/>
      </w:pPr>
      <w:r>
        <w:separator/>
      </w:r>
    </w:p>
  </w:footnote>
  <w:footnote w:type="continuationSeparator" w:id="0">
    <w:p w14:paraId="12B1C90C" w14:textId="77777777" w:rsidR="00B020A3" w:rsidRDefault="00B020A3"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D393" w14:textId="77777777" w:rsidR="008B7938" w:rsidRDefault="008B7938">
    <w:pPr>
      <w:pStyle w:val="Header"/>
    </w:pPr>
  </w:p>
  <w:p w14:paraId="28B68D30" w14:textId="77777777" w:rsidR="00680A20" w:rsidRDefault="00362AB6">
    <w:pPr>
      <w:pStyle w:val="Header"/>
    </w:pPr>
    <w:r>
      <w:rPr>
        <w:b w:val="0"/>
        <w:bCs/>
        <w:noProof/>
        <w:lang w:eastAsia="en-AU"/>
      </w:rPr>
      <mc:AlternateContent>
        <mc:Choice Requires="wps">
          <w:drawing>
            <wp:inline distT="0" distB="0" distL="0" distR="0" wp14:anchorId="1DCFB2AA" wp14:editId="4405DBB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0F4E6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7656" w14:textId="614ABF2B" w:rsidR="00361B3F" w:rsidRDefault="00F3511A" w:rsidP="00F3511A">
    <w:pPr>
      <w:pStyle w:val="Header"/>
      <w:ind w:left="-1418"/>
      <w:rPr>
        <w:noProof/>
        <w:lang w:eastAsia="en-AU"/>
      </w:rPr>
    </w:pPr>
    <w:r>
      <w:rPr>
        <w:noProof/>
        <w:sz w:val="84"/>
        <w:szCs w:val="84"/>
        <w:lang w:eastAsia="en-AU"/>
      </w:rPr>
      <w:drawing>
        <wp:inline distT="0" distB="0" distL="0" distR="0" wp14:anchorId="36C81BF0" wp14:editId="06E20D29">
          <wp:extent cx="7557135" cy="1274564"/>
          <wp:effectExtent l="0" t="0" r="5715" b="1905"/>
          <wp:docPr id="23" name="Picture 23" descr="NDIS Quality and Safeguard Commission and NDIS Workforce Capability Framework &#10;">
            <a:extLst xmlns:a="http://schemas.openxmlformats.org/drawingml/2006/main">
              <a:ext uri="{C183D7F6-B498-43B3-948B-1728B52AA6E4}">
                <adec:decorative xmlns:pic="http://schemas.openxmlformats.org/drawingml/2006/pictur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100" b="86962"/>
                  <a:stretch/>
                </pic:blipFill>
                <pic:spPr bwMode="auto">
                  <a:xfrm>
                    <a:off x="0" y="0"/>
                    <a:ext cx="7557135" cy="1274564"/>
                  </a:xfrm>
                  <a:prstGeom prst="rect">
                    <a:avLst/>
                  </a:prstGeom>
                  <a:noFill/>
                  <a:ln>
                    <a:noFill/>
                  </a:ln>
                  <a:extLst>
                    <a:ext uri="{53640926-AAD7-44D8-BBD7-CCE9431645EC}">
                      <a14:shadowObscured xmlns:a14="http://schemas.microsoft.com/office/drawing/2010/main"/>
                    </a:ext>
                  </a:extLst>
                </pic:spPr>
              </pic:pic>
            </a:graphicData>
          </a:graphic>
        </wp:inline>
      </w:drawing>
    </w:r>
  </w:p>
  <w:p w14:paraId="0B2D481F" w14:textId="79137309" w:rsidR="00182709" w:rsidRDefault="00E02667" w:rsidP="00950D0A">
    <w:pPr>
      <w:pStyle w:val="Header"/>
      <w:tabs>
        <w:tab w:val="clear" w:pos="4513"/>
        <w:tab w:val="clear" w:pos="9026"/>
        <w:tab w:val="left" w:pos="0"/>
        <w:tab w:val="left" w:pos="1559"/>
        <w:tab w:val="left" w:pos="3119"/>
        <w:tab w:val="left" w:pos="4678"/>
        <w:tab w:val="left" w:pos="6237"/>
      </w:tabs>
      <w:ind w:left="-1418"/>
    </w:pPr>
    <w:r>
      <w:rPr>
        <w:noProof/>
        <w:lang w:eastAsia="en-AU"/>
      </w:rPr>
      <w:tab/>
    </w:r>
    <w:r>
      <w:rPr>
        <w:noProof/>
        <w:sz w:val="84"/>
        <w:szCs w:val="84"/>
        <w:lang w:eastAsia="en-AU"/>
      </w:rPr>
      <w:drawing>
        <wp:inline distT="0" distB="0" distL="0" distR="0" wp14:anchorId="40F70B59" wp14:editId="607B1F0F">
          <wp:extent cx="715517" cy="716280"/>
          <wp:effectExtent l="0" t="0" r="8890" b="7620"/>
          <wp:docPr id="25" name="Picture 25"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NDIS Workforce Capability Framework icon representing workers. The icon is a solid green circle with a white image in the centre. The white image is shaped like a small case letter 'i' holding a shield. "/>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5517" cy="716280"/>
                  </a:xfrm>
                  <a:prstGeom prst="rect">
                    <a:avLst/>
                  </a:prstGeom>
                </pic:spPr>
              </pic:pic>
            </a:graphicData>
          </a:graphic>
        </wp:inline>
      </w:drawing>
    </w:r>
    <w:r w:rsidR="00950D0A">
      <w:rPr>
        <w:noProof/>
        <w:lang w:eastAsia="en-AU"/>
      </w:rPr>
      <w:tab/>
    </w:r>
    <w:r>
      <w:rPr>
        <w:noProof/>
        <w:sz w:val="84"/>
        <w:szCs w:val="84"/>
        <w:lang w:eastAsia="en-AU"/>
      </w:rPr>
      <w:drawing>
        <wp:inline distT="0" distB="0" distL="0" distR="0" wp14:anchorId="708A3D7D" wp14:editId="7E3569F1">
          <wp:extent cx="715517" cy="715645"/>
          <wp:effectExtent l="0" t="0" r="8890" b="8255"/>
          <wp:docPr id="19" name="Picture 19" descr="NDIS Workforce Capability Framework icon representing supervisors and frontline managers. The icon is a solid green circle with a white image in the centre. The image is an outline shaped like three linked small case lett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5517" cy="715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DA372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D86B73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576E9E"/>
    <w:multiLevelType w:val="multilevel"/>
    <w:tmpl w:val="A41689A2"/>
    <w:numStyleLink w:val="AppendixNumbers"/>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B37507D"/>
    <w:multiLevelType w:val="hybridMultilevel"/>
    <w:tmpl w:val="253004C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72295C"/>
    <w:multiLevelType w:val="hybridMultilevel"/>
    <w:tmpl w:val="E910CD0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9587F78"/>
    <w:multiLevelType w:val="multilevel"/>
    <w:tmpl w:val="07629034"/>
    <w:numStyleLink w:val="KCBullets"/>
  </w:abstractNum>
  <w:abstractNum w:abstractNumId="16" w15:restartNumberingAfterBreak="0">
    <w:nsid w:val="50517343"/>
    <w:multiLevelType w:val="multilevel"/>
    <w:tmpl w:val="131EEC6C"/>
    <w:numStyleLink w:val="TableNumbers"/>
  </w:abstractNum>
  <w:abstractNum w:abstractNumId="17" w15:restartNumberingAfterBreak="0">
    <w:nsid w:val="50E12008"/>
    <w:multiLevelType w:val="multilevel"/>
    <w:tmpl w:val="07629034"/>
    <w:numStyleLink w:val="KCBullets"/>
  </w:abstractNum>
  <w:abstractNum w:abstractNumId="1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63048B"/>
    <w:multiLevelType w:val="multilevel"/>
    <w:tmpl w:val="C284D0B0"/>
    <w:numStyleLink w:val="FigureNumbers"/>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5933309E"/>
    <w:multiLevelType w:val="hybridMultilevel"/>
    <w:tmpl w:val="917CBF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F51665"/>
    <w:multiLevelType w:val="multilevel"/>
    <w:tmpl w:val="4E929216"/>
    <w:numStyleLink w:val="NumberedHeadings"/>
  </w:abstractNum>
  <w:abstractNum w:abstractNumId="24" w15:restartNumberingAfterBreak="0">
    <w:nsid w:val="62397869"/>
    <w:multiLevelType w:val="multilevel"/>
    <w:tmpl w:val="4E929216"/>
    <w:numStyleLink w:val="NumberedHeadings"/>
  </w:abstractNum>
  <w:abstractNum w:abstractNumId="25" w15:restartNumberingAfterBreak="0">
    <w:nsid w:val="63BC6C3F"/>
    <w:multiLevelType w:val="hybridMultilevel"/>
    <w:tmpl w:val="EE721AEC"/>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D4F423B"/>
    <w:multiLevelType w:val="multilevel"/>
    <w:tmpl w:val="4A7CCC2C"/>
    <w:numStyleLink w:val="DefaultBullets"/>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90B67C4"/>
    <w:multiLevelType w:val="multilevel"/>
    <w:tmpl w:val="FE688822"/>
    <w:numStyleLink w:val="BoxedBullets"/>
  </w:abstractNum>
  <w:abstractNum w:abstractNumId="29" w15:restartNumberingAfterBreak="0">
    <w:nsid w:val="7EE44065"/>
    <w:multiLevelType w:val="multilevel"/>
    <w:tmpl w:val="A41689A2"/>
    <w:numStyleLink w:val="AppendixNumbers"/>
  </w:abstractNum>
  <w:num w:numId="1">
    <w:abstractNumId w:val="5"/>
  </w:num>
  <w:num w:numId="2">
    <w:abstractNumId w:val="29"/>
  </w:num>
  <w:num w:numId="3">
    <w:abstractNumId w:val="18"/>
  </w:num>
  <w:num w:numId="4">
    <w:abstractNumId w:val="28"/>
  </w:num>
  <w:num w:numId="5">
    <w:abstractNumId w:val="28"/>
  </w:num>
  <w:num w:numId="6">
    <w:abstractNumId w:val="14"/>
  </w:num>
  <w:num w:numId="7">
    <w:abstractNumId w:val="17"/>
  </w:num>
  <w:num w:numId="8">
    <w:abstractNumId w:val="17"/>
  </w:num>
  <w:num w:numId="9">
    <w:abstractNumId w:val="17"/>
  </w:num>
  <w:num w:numId="10">
    <w:abstractNumId w:val="8"/>
  </w:num>
  <w:num w:numId="11">
    <w:abstractNumId w:val="19"/>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6"/>
  </w:num>
  <w:num w:numId="20">
    <w:abstractNumId w:val="21"/>
  </w:num>
  <w:num w:numId="21">
    <w:abstractNumId w:val="21"/>
  </w:num>
  <w:num w:numId="22">
    <w:abstractNumId w:val="21"/>
  </w:num>
  <w:num w:numId="23">
    <w:abstractNumId w:val="20"/>
  </w:num>
  <w:num w:numId="24">
    <w:abstractNumId w:val="12"/>
  </w:num>
  <w:num w:numId="25">
    <w:abstractNumId w:val="9"/>
  </w:num>
  <w:num w:numId="26">
    <w:abstractNumId w:val="16"/>
  </w:num>
  <w:num w:numId="27">
    <w:abstractNumId w:val="2"/>
  </w:num>
  <w:num w:numId="28">
    <w:abstractNumId w:val="27"/>
  </w:num>
  <w:num w:numId="29">
    <w:abstractNumId w:val="4"/>
  </w:num>
  <w:num w:numId="30">
    <w:abstractNumId w:val="3"/>
  </w:num>
  <w:num w:numId="31">
    <w:abstractNumId w:val="1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5"/>
  </w:num>
  <w:num w:numId="37">
    <w:abstractNumId w:val="7"/>
  </w:num>
  <w:num w:numId="38">
    <w:abstractNumId w:val="13"/>
  </w:num>
  <w:num w:numId="39">
    <w:abstractNumId w:val="1"/>
  </w:num>
  <w:num w:numId="40">
    <w:abstractNumId w:val="0"/>
  </w:num>
  <w:num w:numId="41">
    <w:abstractNumId w:val="2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43D08"/>
    <w:rsid w:val="00080615"/>
    <w:rsid w:val="000A60A1"/>
    <w:rsid w:val="000B1AE0"/>
    <w:rsid w:val="000B6099"/>
    <w:rsid w:val="000C252F"/>
    <w:rsid w:val="000F3A54"/>
    <w:rsid w:val="000F48FC"/>
    <w:rsid w:val="00176E89"/>
    <w:rsid w:val="00182709"/>
    <w:rsid w:val="001A0EE3"/>
    <w:rsid w:val="001E7FDB"/>
    <w:rsid w:val="00201052"/>
    <w:rsid w:val="00215ED8"/>
    <w:rsid w:val="00231AAC"/>
    <w:rsid w:val="00262A75"/>
    <w:rsid w:val="002804D3"/>
    <w:rsid w:val="00340E66"/>
    <w:rsid w:val="003449A0"/>
    <w:rsid w:val="00361B3F"/>
    <w:rsid w:val="00362AB6"/>
    <w:rsid w:val="00363D5F"/>
    <w:rsid w:val="003D2CA6"/>
    <w:rsid w:val="003F29B8"/>
    <w:rsid w:val="004154E2"/>
    <w:rsid w:val="004D4273"/>
    <w:rsid w:val="00511FB0"/>
    <w:rsid w:val="00513096"/>
    <w:rsid w:val="00534D53"/>
    <w:rsid w:val="005547CA"/>
    <w:rsid w:val="005775F4"/>
    <w:rsid w:val="00596A7E"/>
    <w:rsid w:val="005B053D"/>
    <w:rsid w:val="005B27E7"/>
    <w:rsid w:val="005E0E24"/>
    <w:rsid w:val="00625854"/>
    <w:rsid w:val="00651348"/>
    <w:rsid w:val="00680A20"/>
    <w:rsid w:val="00680F04"/>
    <w:rsid w:val="006D6D91"/>
    <w:rsid w:val="0078103B"/>
    <w:rsid w:val="00824257"/>
    <w:rsid w:val="00855272"/>
    <w:rsid w:val="0086034C"/>
    <w:rsid w:val="008A4C51"/>
    <w:rsid w:val="008A649A"/>
    <w:rsid w:val="008B7938"/>
    <w:rsid w:val="008D0E34"/>
    <w:rsid w:val="008E21DE"/>
    <w:rsid w:val="008F4738"/>
    <w:rsid w:val="0092679E"/>
    <w:rsid w:val="00950D0A"/>
    <w:rsid w:val="009539C8"/>
    <w:rsid w:val="009D06E2"/>
    <w:rsid w:val="009F4EAA"/>
    <w:rsid w:val="00A061A5"/>
    <w:rsid w:val="00A07E4A"/>
    <w:rsid w:val="00A60009"/>
    <w:rsid w:val="00AA094B"/>
    <w:rsid w:val="00AB12D5"/>
    <w:rsid w:val="00AB7A1D"/>
    <w:rsid w:val="00AD735D"/>
    <w:rsid w:val="00AF0899"/>
    <w:rsid w:val="00B020A3"/>
    <w:rsid w:val="00B02BCB"/>
    <w:rsid w:val="00B212FE"/>
    <w:rsid w:val="00B603C0"/>
    <w:rsid w:val="00B83AB4"/>
    <w:rsid w:val="00BA4FF9"/>
    <w:rsid w:val="00BC3BA1"/>
    <w:rsid w:val="00C02C96"/>
    <w:rsid w:val="00C0421C"/>
    <w:rsid w:val="00C10202"/>
    <w:rsid w:val="00C13153"/>
    <w:rsid w:val="00C21944"/>
    <w:rsid w:val="00C2698C"/>
    <w:rsid w:val="00C506B8"/>
    <w:rsid w:val="00C52C59"/>
    <w:rsid w:val="00C90DF2"/>
    <w:rsid w:val="00CB64BD"/>
    <w:rsid w:val="00CC768D"/>
    <w:rsid w:val="00D23398"/>
    <w:rsid w:val="00D34267"/>
    <w:rsid w:val="00D53437"/>
    <w:rsid w:val="00D67A1D"/>
    <w:rsid w:val="00DF74BA"/>
    <w:rsid w:val="00E02667"/>
    <w:rsid w:val="00E062E4"/>
    <w:rsid w:val="00E20E1B"/>
    <w:rsid w:val="00E243C4"/>
    <w:rsid w:val="00E260AC"/>
    <w:rsid w:val="00E40290"/>
    <w:rsid w:val="00EE044F"/>
    <w:rsid w:val="00EE737C"/>
    <w:rsid w:val="00F3511A"/>
    <w:rsid w:val="00F41613"/>
    <w:rsid w:val="00F438F5"/>
    <w:rsid w:val="00F9318C"/>
    <w:rsid w:val="00FD6261"/>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3F5F1"/>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styleId="ListNumber">
    <w:name w:val="List Number"/>
    <w:basedOn w:val="Normal"/>
    <w:uiPriority w:val="99"/>
    <w:unhideWhenUsed/>
    <w:rsid w:val="00EE044F"/>
    <w:pPr>
      <w:numPr>
        <w:numId w:val="40"/>
      </w:numPr>
      <w:suppressAutoHyphens w:val="0"/>
      <w:spacing w:before="0" w:after="160" w:line="264" w:lineRule="auto"/>
    </w:pPr>
    <w:rPr>
      <w:color w:val="auto"/>
      <w:szCs w:val="26"/>
      <w:lang w:val="en-US" w:eastAsia="ja-JP"/>
    </w:rPr>
  </w:style>
  <w:style w:type="paragraph" w:styleId="ListBullet">
    <w:name w:val="List Bullet"/>
    <w:basedOn w:val="Normal"/>
    <w:uiPriority w:val="99"/>
    <w:unhideWhenUsed/>
    <w:rsid w:val="00EE044F"/>
    <w:pPr>
      <w:numPr>
        <w:numId w:val="39"/>
      </w:numPr>
      <w:suppressAutoHyphens w:val="0"/>
      <w:spacing w:before="0" w:after="160" w:line="264" w:lineRule="auto"/>
    </w:pPr>
    <w:rPr>
      <w:color w:val="auto"/>
      <w:szCs w:val="26"/>
      <w:lang w:val="en-US" w:eastAsia="ja-JP"/>
    </w:rPr>
  </w:style>
  <w:style w:type="character" w:styleId="EndnoteReference">
    <w:name w:val="endnote reference"/>
    <w:basedOn w:val="DefaultParagraphFont"/>
    <w:uiPriority w:val="99"/>
    <w:semiHidden/>
    <w:unhideWhenUsed/>
    <w:rsid w:val="00EE044F"/>
    <w:rPr>
      <w:rFonts w:asciiTheme="minorHAnsi" w:hAnsiTheme="minorHAnsi"/>
      <w:color w:val="000000"/>
      <w:vertAlign w:val="superscript"/>
    </w:rPr>
  </w:style>
  <w:style w:type="paragraph" w:styleId="EndnoteText">
    <w:name w:val="endnote text"/>
    <w:basedOn w:val="Normal"/>
    <w:link w:val="EndnoteTextChar"/>
    <w:uiPriority w:val="99"/>
    <w:semiHidden/>
    <w:unhideWhenUsed/>
    <w:rsid w:val="00EE044F"/>
    <w:pPr>
      <w:suppressAutoHyphens w:val="0"/>
      <w:spacing w:before="0" w:after="0" w:line="240" w:lineRule="auto"/>
    </w:pPr>
    <w:rPr>
      <w:color w:val="auto"/>
      <w:sz w:val="20"/>
      <w:lang w:val="en-US" w:eastAsia="ja-JP"/>
    </w:rPr>
  </w:style>
  <w:style w:type="character" w:customStyle="1" w:styleId="EndnoteTextChar">
    <w:name w:val="Endnote Text Char"/>
    <w:basedOn w:val="DefaultParagraphFont"/>
    <w:link w:val="EndnoteText"/>
    <w:uiPriority w:val="99"/>
    <w:semiHidden/>
    <w:rsid w:val="00EE044F"/>
    <w:rPr>
      <w:color w:val="auto"/>
      <w:lang w:val="en-US" w:eastAsia="ja-JP"/>
    </w:rPr>
  </w:style>
  <w:style w:type="paragraph" w:customStyle="1" w:styleId="BoxedlistofquestionsGreen">
    <w:name w:val="Boxed list of questions Green"/>
    <w:basedOn w:val="ListNumber"/>
    <w:qFormat/>
    <w:rsid w:val="00EE044F"/>
    <w:pPr>
      <w:pBdr>
        <w:top w:val="single" w:sz="18" w:space="1" w:color="9DC44D" w:themeColor="accent6"/>
        <w:left w:val="single" w:sz="18" w:space="4" w:color="9DC44D" w:themeColor="accent6"/>
        <w:bottom w:val="single" w:sz="18" w:space="1" w:color="9DC44D" w:themeColor="accent6"/>
        <w:right w:val="single" w:sz="18" w:space="4" w:color="9DC44D" w:themeColor="accent6"/>
      </w:pBdr>
      <w:spacing w:after="0" w:line="312" w:lineRule="auto"/>
      <w:ind w:left="357" w:hanging="357"/>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framewor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lensandersonassociates.com/4-plus-1-question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F979F-2385-4AD3-B05B-C7620380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22</TotalTime>
  <Pages>2</Pages>
  <Words>547</Words>
  <Characters>2893</Characters>
  <Application>Microsoft Office Word</Application>
  <DocSecurity>0</DocSecurity>
  <Lines>62</Lines>
  <Paragraphs>38</Paragraphs>
  <ScaleCrop>false</ScaleCrop>
  <HeadingPairs>
    <vt:vector size="2" baseType="variant">
      <vt:variant>
        <vt:lpstr>Title</vt:lpstr>
      </vt:variant>
      <vt:variant>
        <vt:i4>1</vt:i4>
      </vt:variant>
    </vt:vector>
  </HeadingPairs>
  <TitlesOfParts>
    <vt:vector size="1" baseType="lpstr">
      <vt:lpstr>Reflective Practice Tip Sheet for Supervisors and Workers</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Practice Tip Sheet for Supervisors and Workers</dc:title>
  <dc:subject/>
  <dc:creator>NDIS Quality and Safeguards Commission</dc:creator>
  <cp:keywords>[SEC=OFFICIAL]</cp:keywords>
  <dc:description/>
  <cp:lastModifiedBy>OWEN, Emma</cp:lastModifiedBy>
  <cp:revision>15</cp:revision>
  <dcterms:created xsi:type="dcterms:W3CDTF">2023-05-18T03:48:00Z</dcterms:created>
  <dcterms:modified xsi:type="dcterms:W3CDTF">2024-02-29T04:00:00Z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2024-02-29T04:00:12Z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D5DD0038F10DB5786A2702696CCA2110</vt:lpwstr>
  </property>
  <property fmtid="{D5CDD505-2E9C-101B-9397-08002B2CF9AE}" pid="21" name="PM_Hash_Salt">
    <vt:lpwstr>56B70A990F1B8AECEFC6CBC8DB9594E9</vt:lpwstr>
  </property>
  <property fmtid="{D5CDD505-2E9C-101B-9397-08002B2CF9AE}" pid="22" name="PM_Hash_SHA1">
    <vt:lpwstr>9E846080A8A53BC275FF037117E57D8517875DD4</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