
<file path=[Content_Types].xml><?xml version="1.0" encoding="utf-8"?>
<Types xmlns="http://schemas.openxmlformats.org/package/2006/content-types">
  <Default Extension="gif" ContentType="image/gi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CD4DB" w14:textId="77777777" w:rsidR="00226514" w:rsidRPr="00025F76" w:rsidRDefault="00226514" w:rsidP="00226514">
      <w:pPr>
        <w:pStyle w:val="4Titledescription"/>
        <w:rPr>
          <w:lang w:val="en-AU"/>
        </w:rPr>
      </w:pPr>
      <w:r w:rsidRPr="00025F76">
        <w:rPr>
          <w:noProof/>
          <w:lang w:val="en-AU"/>
        </w:rPr>
        <w:drawing>
          <wp:inline distT="0" distB="0" distL="0" distR="0" wp14:anchorId="694BB04A" wp14:editId="17B6F003">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14:paraId="0A9EB19B" w14:textId="77777777" w:rsidR="00226514" w:rsidRPr="00025F76" w:rsidRDefault="00226514" w:rsidP="00226514">
      <w:pPr>
        <w:pStyle w:val="1Documentnameh1"/>
      </w:pPr>
      <w:r w:rsidRPr="00025F76">
        <w:t>Practice Alert</w:t>
      </w:r>
    </w:p>
    <w:p w14:paraId="051034F2" w14:textId="7EB59296" w:rsidR="00226514" w:rsidRPr="00025F76" w:rsidRDefault="00226514" w:rsidP="00226514">
      <w:pPr>
        <w:pStyle w:val="3Titleh3"/>
        <w:rPr>
          <w:lang w:val="en-AU"/>
        </w:rPr>
      </w:pPr>
      <w:r w:rsidRPr="00025F76">
        <w:rPr>
          <w:lang w:val="en-AU"/>
        </w:rPr>
        <w:t xml:space="preserve">Transitions of care between </w:t>
      </w:r>
      <w:r w:rsidR="00A43072">
        <w:rPr>
          <w:lang w:val="en-AU"/>
        </w:rPr>
        <w:t xml:space="preserve">home </w:t>
      </w:r>
      <w:r w:rsidRPr="00025F76">
        <w:rPr>
          <w:lang w:val="en-AU"/>
        </w:rPr>
        <w:t xml:space="preserve">and hospitals </w:t>
      </w:r>
    </w:p>
    <w:p w14:paraId="59CBCCC7" w14:textId="5AFACE6A" w:rsidR="00226514" w:rsidRPr="00025F76" w:rsidRDefault="00F569C8" w:rsidP="00226514">
      <w:pPr>
        <w:pStyle w:val="4Titledescription"/>
        <w:rPr>
          <w:lang w:val="en-AU"/>
        </w:rPr>
      </w:pPr>
      <w:r w:rsidRPr="000C3BEC">
        <w:rPr>
          <w:lang w:val="en-AU"/>
        </w:rPr>
        <w:t xml:space="preserve">Updated </w:t>
      </w:r>
      <w:r w:rsidR="008E7791">
        <w:rPr>
          <w:lang w:val="en-AU"/>
        </w:rPr>
        <w:t>January 2025</w:t>
      </w:r>
    </w:p>
    <w:p w14:paraId="7A7BD637" w14:textId="77777777" w:rsidR="00226514" w:rsidRPr="00025F76" w:rsidRDefault="00226514" w:rsidP="00226514">
      <w:pPr>
        <w:pStyle w:val="5AboutHeadingh4"/>
        <w:spacing w:before="240" w:after="240"/>
        <w:ind w:right="-34"/>
        <w:rPr>
          <w:lang w:val="en-AU"/>
        </w:rPr>
      </w:pPr>
      <w:r w:rsidRPr="00025F76">
        <w:rPr>
          <w:lang w:val="en-AU"/>
        </w:rPr>
        <w:t>Key points</w:t>
      </w:r>
    </w:p>
    <w:p w14:paraId="7BD5F9B5" w14:textId="77777777" w:rsidR="00226514" w:rsidRPr="00025F76" w:rsidRDefault="00226514" w:rsidP="00226514">
      <w:pPr>
        <w:pStyle w:val="6Aboutbullet"/>
        <w:spacing w:before="240"/>
        <w:ind w:right="-34"/>
        <w:rPr>
          <w:lang w:val="en-AU"/>
        </w:rPr>
      </w:pPr>
      <w:r w:rsidRPr="00025F76">
        <w:rPr>
          <w:lang w:val="en-AU"/>
        </w:rPr>
        <w:t xml:space="preserve">Transitions of care refers to the movement of </w:t>
      </w:r>
      <w:r w:rsidR="007500F1">
        <w:rPr>
          <w:lang w:val="en-AU"/>
        </w:rPr>
        <w:t>a person</w:t>
      </w:r>
      <w:r w:rsidR="007500F1" w:rsidRPr="00025F76">
        <w:rPr>
          <w:lang w:val="en-AU"/>
        </w:rPr>
        <w:t xml:space="preserve"> </w:t>
      </w:r>
      <w:r w:rsidRPr="00025F76">
        <w:rPr>
          <w:lang w:val="en-AU"/>
        </w:rPr>
        <w:t>between services providing care</w:t>
      </w:r>
      <w:r w:rsidR="007500F1">
        <w:rPr>
          <w:lang w:val="en-AU"/>
        </w:rPr>
        <w:t>,</w:t>
      </w:r>
      <w:r w:rsidRPr="00025F76">
        <w:rPr>
          <w:lang w:val="en-AU"/>
        </w:rPr>
        <w:t xml:space="preserve"> such as</w:t>
      </w:r>
      <w:r w:rsidR="007500F1">
        <w:rPr>
          <w:lang w:val="en-AU"/>
        </w:rPr>
        <w:t xml:space="preserve"> when a person m</w:t>
      </w:r>
      <w:r w:rsidRPr="00025F76">
        <w:rPr>
          <w:lang w:val="en-AU"/>
        </w:rPr>
        <w:t>ov</w:t>
      </w:r>
      <w:r w:rsidR="007500F1">
        <w:rPr>
          <w:lang w:val="en-AU"/>
        </w:rPr>
        <w:t>es</w:t>
      </w:r>
      <w:r w:rsidRPr="00025F76">
        <w:rPr>
          <w:lang w:val="en-AU"/>
        </w:rPr>
        <w:t xml:space="preserve"> between</w:t>
      </w:r>
      <w:r w:rsidR="007500F1">
        <w:rPr>
          <w:lang w:val="en-AU"/>
        </w:rPr>
        <w:t xml:space="preserve"> </w:t>
      </w:r>
      <w:r w:rsidR="00EC61C4">
        <w:rPr>
          <w:lang w:val="en-AU"/>
        </w:rPr>
        <w:t>their home</w:t>
      </w:r>
      <w:r w:rsidRPr="00025F76">
        <w:rPr>
          <w:lang w:val="en-AU"/>
        </w:rPr>
        <w:t xml:space="preserve"> and</w:t>
      </w:r>
      <w:r w:rsidR="007500F1">
        <w:rPr>
          <w:lang w:val="en-AU"/>
        </w:rPr>
        <w:t xml:space="preserve"> a</w:t>
      </w:r>
      <w:r w:rsidRPr="00025F76">
        <w:rPr>
          <w:lang w:val="en-AU"/>
        </w:rPr>
        <w:t xml:space="preserve"> hospital.</w:t>
      </w:r>
    </w:p>
    <w:p w14:paraId="5AD98D2A" w14:textId="77777777" w:rsidR="00226514" w:rsidRPr="00025F76" w:rsidRDefault="00226514" w:rsidP="00226514">
      <w:pPr>
        <w:pStyle w:val="6Aboutbullet"/>
        <w:spacing w:before="240"/>
        <w:ind w:right="-34"/>
        <w:rPr>
          <w:lang w:val="en-AU"/>
        </w:rPr>
      </w:pPr>
      <w:r w:rsidRPr="00025F76">
        <w:rPr>
          <w:lang w:val="en-AU"/>
        </w:rPr>
        <w:t xml:space="preserve">Transitions of care are </w:t>
      </w:r>
      <w:r w:rsidR="007D26C4">
        <w:rPr>
          <w:lang w:val="en-AU"/>
        </w:rPr>
        <w:t>critical</w:t>
      </w:r>
      <w:r w:rsidR="007D26C4" w:rsidRPr="00025F76">
        <w:rPr>
          <w:lang w:val="en-AU"/>
        </w:rPr>
        <w:t xml:space="preserve"> </w:t>
      </w:r>
      <w:r w:rsidRPr="00025F76">
        <w:rPr>
          <w:lang w:val="en-AU"/>
        </w:rPr>
        <w:t>points</w:t>
      </w:r>
      <w:r w:rsidR="007D26C4">
        <w:rPr>
          <w:lang w:val="en-AU"/>
        </w:rPr>
        <w:t xml:space="preserve"> to manage</w:t>
      </w:r>
      <w:r w:rsidRPr="00025F76">
        <w:rPr>
          <w:lang w:val="en-AU"/>
        </w:rPr>
        <w:t xml:space="preserve"> </w:t>
      </w:r>
      <w:r w:rsidR="007D26C4">
        <w:rPr>
          <w:lang w:val="en-AU"/>
        </w:rPr>
        <w:t xml:space="preserve">because </w:t>
      </w:r>
      <w:r w:rsidRPr="00025F76">
        <w:rPr>
          <w:lang w:val="en-AU"/>
        </w:rPr>
        <w:t>there is risk of harm to p</w:t>
      </w:r>
      <w:r w:rsidR="007500F1">
        <w:rPr>
          <w:lang w:val="en-AU"/>
        </w:rPr>
        <w:t xml:space="preserve">eople with disability </w:t>
      </w:r>
      <w:r w:rsidR="007D26C4">
        <w:rPr>
          <w:lang w:val="en-AU"/>
        </w:rPr>
        <w:t>if</w:t>
      </w:r>
      <w:r w:rsidR="007500F1">
        <w:rPr>
          <w:lang w:val="en-AU"/>
        </w:rPr>
        <w:t xml:space="preserve"> they do not receive the support they need.</w:t>
      </w:r>
    </w:p>
    <w:p w14:paraId="67095A33" w14:textId="77777777" w:rsidR="00226514" w:rsidRPr="006D35A6" w:rsidRDefault="000808CB" w:rsidP="00493977">
      <w:pPr>
        <w:pStyle w:val="6Aboutbullet"/>
        <w:spacing w:before="240"/>
        <w:ind w:right="-34"/>
        <w:rPr>
          <w:lang w:val="en-AU"/>
        </w:rPr>
      </w:pPr>
      <w:r w:rsidRPr="00025F76">
        <w:rPr>
          <w:bCs/>
        </w:rPr>
        <w:t xml:space="preserve">Safe transitions of care require clear communication and coordination between the person with disability, </w:t>
      </w:r>
      <w:r w:rsidRPr="00025F76">
        <w:rPr>
          <w:lang w:val="en-AU"/>
        </w:rPr>
        <w:t>their support network</w:t>
      </w:r>
      <w:r>
        <w:rPr>
          <w:bCs/>
        </w:rPr>
        <w:t>,</w:t>
      </w:r>
      <w:r w:rsidRPr="00025F76">
        <w:rPr>
          <w:bCs/>
        </w:rPr>
        <w:t xml:space="preserve"> health </w:t>
      </w:r>
      <w:r>
        <w:rPr>
          <w:bCs/>
        </w:rPr>
        <w:t>professionals</w:t>
      </w:r>
      <w:r w:rsidRPr="00025F76">
        <w:rPr>
          <w:bCs/>
        </w:rPr>
        <w:t xml:space="preserve"> and </w:t>
      </w:r>
      <w:r>
        <w:rPr>
          <w:bCs/>
        </w:rPr>
        <w:t>providers</w:t>
      </w:r>
      <w:r w:rsidRPr="00025F76">
        <w:rPr>
          <w:bCs/>
        </w:rPr>
        <w:t>.</w:t>
      </w:r>
      <w:r w:rsidRPr="00025F76">
        <w:rPr>
          <w:b/>
        </w:rPr>
        <w:t xml:space="preserve"> </w:t>
      </w:r>
      <w:r w:rsidR="00FC080A">
        <w:t>Everyone should understand their role to help the transition go well.</w:t>
      </w:r>
    </w:p>
    <w:p w14:paraId="6CD63D7A" w14:textId="0A28455F" w:rsidR="007D26C4" w:rsidRPr="005D644C" w:rsidRDefault="007D26C4" w:rsidP="00493977">
      <w:pPr>
        <w:pStyle w:val="6Aboutbullet"/>
        <w:spacing w:before="240"/>
        <w:ind w:right="-34"/>
        <w:rPr>
          <w:lang w:val="en-AU"/>
        </w:rPr>
      </w:pPr>
      <w:r>
        <w:rPr>
          <w:rFonts w:asciiTheme="minorHAnsi" w:hAnsiTheme="minorHAnsi" w:cstheme="minorHAnsi"/>
        </w:rPr>
        <w:t xml:space="preserve">Providers should </w:t>
      </w:r>
      <w:r w:rsidR="00302503">
        <w:rPr>
          <w:rFonts w:asciiTheme="minorHAnsi" w:hAnsiTheme="minorHAnsi" w:cstheme="minorHAnsi"/>
        </w:rPr>
        <w:t>manage risks to participants by</w:t>
      </w:r>
      <w:r w:rsidR="00514C3D">
        <w:rPr>
          <w:rFonts w:asciiTheme="minorHAnsi" w:hAnsiTheme="minorHAnsi" w:cstheme="minorHAnsi"/>
        </w:rPr>
        <w:t xml:space="preserve"> ensuring transitions between their home and the hospital are planned and coordinated </w:t>
      </w:r>
      <w:r>
        <w:rPr>
          <w:rFonts w:asciiTheme="minorHAnsi" w:hAnsiTheme="minorHAnsi" w:cstheme="minorHAnsi"/>
        </w:rPr>
        <w:t>in line with the</w:t>
      </w:r>
      <w:r w:rsidR="006D35A6">
        <w:rPr>
          <w:rFonts w:asciiTheme="minorHAnsi" w:hAnsiTheme="minorHAnsi" w:cstheme="minorHAnsi"/>
        </w:rPr>
        <w:t xml:space="preserve"> </w:t>
      </w:r>
      <w:hyperlink r:id="rId12" w:history="1">
        <w:r w:rsidR="006D35A6" w:rsidRPr="001866F1">
          <w:rPr>
            <w:rStyle w:val="Hyperlink"/>
            <w:rFonts w:asciiTheme="minorHAnsi" w:hAnsiTheme="minorHAnsi" w:cstheme="minorHAnsi"/>
          </w:rPr>
          <w:t>NDIS Practice Standards</w:t>
        </w:r>
        <w:r w:rsidRPr="001866F1">
          <w:rPr>
            <w:rStyle w:val="Hyperlink"/>
            <w:rFonts w:asciiTheme="minorHAnsi" w:hAnsiTheme="minorHAnsi" w:cstheme="minorHAnsi"/>
          </w:rPr>
          <w:t>.</w:t>
        </w:r>
      </w:hyperlink>
    </w:p>
    <w:p w14:paraId="7201612F" w14:textId="6A3A5975" w:rsidR="005D644C" w:rsidRPr="008D107D" w:rsidRDefault="005D644C" w:rsidP="00493977">
      <w:pPr>
        <w:pStyle w:val="6Aboutbullet"/>
        <w:spacing w:before="240"/>
        <w:ind w:right="-34"/>
        <w:rPr>
          <w:lang w:val="en-AU"/>
        </w:rPr>
      </w:pPr>
      <w:r>
        <w:rPr>
          <w:rFonts w:asciiTheme="minorHAnsi" w:hAnsiTheme="minorHAnsi" w:cstheme="minorHAnsi"/>
        </w:rPr>
        <w:t>Providers should ensure they</w:t>
      </w:r>
      <w:r w:rsidR="000C3BEC">
        <w:rPr>
          <w:rFonts w:asciiTheme="minorHAnsi" w:hAnsiTheme="minorHAnsi" w:cstheme="minorHAnsi"/>
        </w:rPr>
        <w:t xml:space="preserve"> meet their responsibilities under the High Intensity Daily Personal Activities (HIDPA) NDIS Practice Standards whe</w:t>
      </w:r>
      <w:r w:rsidR="00113B13">
        <w:rPr>
          <w:rFonts w:asciiTheme="minorHAnsi" w:hAnsiTheme="minorHAnsi" w:cstheme="minorHAnsi"/>
        </w:rPr>
        <w:t xml:space="preserve">n providing HIDPA supports. </w:t>
      </w:r>
      <w:r w:rsidR="00D71445">
        <w:rPr>
          <w:rFonts w:asciiTheme="minorHAnsi" w:hAnsiTheme="minorHAnsi" w:cstheme="minorHAnsi"/>
        </w:rPr>
        <w:t xml:space="preserve">Providers can refer to the </w:t>
      </w:r>
      <w:hyperlink r:id="rId13" w:history="1">
        <w:r w:rsidR="00D71445" w:rsidRPr="00861687">
          <w:rPr>
            <w:rStyle w:val="Hyperlink"/>
            <w:rFonts w:asciiTheme="minorHAnsi" w:hAnsiTheme="minorHAnsi" w:cstheme="minorHAnsi"/>
          </w:rPr>
          <w:t>High Intensity Support Skills Descriptors</w:t>
        </w:r>
      </w:hyperlink>
      <w:r w:rsidR="00D71445">
        <w:rPr>
          <w:rFonts w:asciiTheme="minorHAnsi" w:hAnsiTheme="minorHAnsi" w:cstheme="minorHAnsi"/>
        </w:rPr>
        <w:t xml:space="preserve"> (HISSDs) for guidance on the training and knowledge recommended to deliver these supports.</w:t>
      </w:r>
    </w:p>
    <w:p w14:paraId="52CD50DD" w14:textId="77777777" w:rsidR="0099570B" w:rsidRPr="00025F76" w:rsidRDefault="00B33566" w:rsidP="006D35A6">
      <w:pPr>
        <w:pStyle w:val="Heading2"/>
      </w:pPr>
      <w:r>
        <w:t>Why are transitions of care important?</w:t>
      </w:r>
    </w:p>
    <w:p w14:paraId="4BC4C3A7" w14:textId="77777777" w:rsidR="00A43072" w:rsidRDefault="0099570B">
      <w:pPr>
        <w:spacing w:before="120" w:after="120" w:line="276" w:lineRule="auto"/>
        <w:rPr>
          <w:bCs/>
        </w:rPr>
      </w:pPr>
      <w:r w:rsidRPr="00025F76">
        <w:rPr>
          <w:bCs/>
        </w:rPr>
        <w:t>Australian people with disability commonly access hospital services</w:t>
      </w:r>
      <w:r w:rsidR="004D4F8A">
        <w:rPr>
          <w:bCs/>
        </w:rPr>
        <w:t>. The Australian Institute of Health and Wellbeing reported that</w:t>
      </w:r>
      <w:r w:rsidR="00A43072">
        <w:rPr>
          <w:bCs/>
        </w:rPr>
        <w:t>:</w:t>
      </w:r>
    </w:p>
    <w:p w14:paraId="35CF0965" w14:textId="2A62BE31" w:rsidR="00A43072" w:rsidRDefault="00271B3C" w:rsidP="00A43072">
      <w:pPr>
        <w:pStyle w:val="Bullet1"/>
      </w:pPr>
      <w:r w:rsidRPr="00025F76">
        <w:t>26%</w:t>
      </w:r>
      <w:r w:rsidR="004D4F8A">
        <w:t xml:space="preserve"> of people with disability</w:t>
      </w:r>
      <w:r w:rsidRPr="00025F76">
        <w:t xml:space="preserve"> visited a hospital emergency department</w:t>
      </w:r>
      <w:r w:rsidR="00A43072">
        <w:t xml:space="preserve"> in 2018</w:t>
      </w:r>
      <w:r w:rsidR="00AD0CE1">
        <w:t>.</w:t>
      </w:r>
    </w:p>
    <w:p w14:paraId="7A760523" w14:textId="29271EEA" w:rsidR="00A43072" w:rsidRDefault="00271B3C" w:rsidP="00A43072">
      <w:pPr>
        <w:pStyle w:val="Bullet1"/>
      </w:pPr>
      <w:r w:rsidRPr="00025F76">
        <w:t>22%</w:t>
      </w:r>
      <w:r w:rsidR="004D4F8A">
        <w:t xml:space="preserve"> of people with disability</w:t>
      </w:r>
      <w:r w:rsidRPr="00025F76">
        <w:t xml:space="preserve"> </w:t>
      </w:r>
      <w:r w:rsidR="00A43072">
        <w:t>were</w:t>
      </w:r>
      <w:r w:rsidRPr="00025F76">
        <w:t xml:space="preserve"> admitted to hospital </w:t>
      </w:r>
      <w:r>
        <w:t>in 201</w:t>
      </w:r>
      <w:r w:rsidR="004D4F8A">
        <w:t>8</w:t>
      </w:r>
      <w:r w:rsidR="00AD0CE1">
        <w:t>.</w:t>
      </w:r>
    </w:p>
    <w:p w14:paraId="09FCA408" w14:textId="10111597" w:rsidR="005442E6" w:rsidRDefault="0099570B">
      <w:pPr>
        <w:spacing w:before="120" w:after="120" w:line="276" w:lineRule="auto"/>
      </w:pPr>
      <w:r w:rsidRPr="00025F76">
        <w:rPr>
          <w:bCs/>
        </w:rPr>
        <w:lastRenderedPageBreak/>
        <w:t xml:space="preserve">Australian reports on the deaths of people with disability </w:t>
      </w:r>
      <w:r w:rsidR="00E70823">
        <w:rPr>
          <w:bCs/>
        </w:rPr>
        <w:t>have identified</w:t>
      </w:r>
      <w:r w:rsidR="00E70823" w:rsidRPr="00025F76">
        <w:rPr>
          <w:bCs/>
        </w:rPr>
        <w:t xml:space="preserve"> </w:t>
      </w:r>
      <w:r w:rsidRPr="00025F76">
        <w:rPr>
          <w:bCs/>
        </w:rPr>
        <w:t xml:space="preserve">serious and life-threatening risks if transitions of care </w:t>
      </w:r>
      <w:r w:rsidR="005442E6">
        <w:rPr>
          <w:bCs/>
        </w:rPr>
        <w:t>between services and hospital</w:t>
      </w:r>
      <w:r w:rsidR="00B33566">
        <w:rPr>
          <w:bCs/>
        </w:rPr>
        <w:t>s</w:t>
      </w:r>
      <w:r w:rsidR="005442E6">
        <w:rPr>
          <w:bCs/>
        </w:rPr>
        <w:t xml:space="preserve"> </w:t>
      </w:r>
      <w:r w:rsidRPr="00025F76">
        <w:rPr>
          <w:bCs/>
        </w:rPr>
        <w:t xml:space="preserve">are mismanaged. </w:t>
      </w:r>
      <w:r w:rsidRPr="00025F76">
        <w:t>Areas of concern include</w:t>
      </w:r>
      <w:r w:rsidR="005442E6">
        <w:t xml:space="preserve"> a</w:t>
      </w:r>
      <w:r w:rsidR="005442E6" w:rsidRPr="005442E6">
        <w:t xml:space="preserve"> lack of clear communication result</w:t>
      </w:r>
      <w:r w:rsidR="005442E6">
        <w:t>ing</w:t>
      </w:r>
      <w:r w:rsidR="005442E6" w:rsidRPr="005442E6">
        <w:t xml:space="preserve"> in</w:t>
      </w:r>
      <w:r w:rsidR="005442E6">
        <w:t>:</w:t>
      </w:r>
    </w:p>
    <w:p w14:paraId="3C2D76F0" w14:textId="05A6543F" w:rsidR="005442E6" w:rsidRPr="006D35A6" w:rsidRDefault="00861687" w:rsidP="006D35A6">
      <w:pPr>
        <w:pStyle w:val="Bullet1"/>
        <w:numPr>
          <w:ilvl w:val="0"/>
          <w:numId w:val="17"/>
        </w:numPr>
        <w:spacing w:before="0" w:after="0" w:line="240" w:lineRule="auto"/>
        <w:rPr>
          <w:color w:val="auto"/>
        </w:rPr>
      </w:pPr>
      <w:r>
        <w:rPr>
          <w:color w:val="auto"/>
        </w:rPr>
        <w:t>M</w:t>
      </w:r>
      <w:r w:rsidR="005442E6" w:rsidRPr="006D35A6">
        <w:rPr>
          <w:color w:val="auto"/>
        </w:rPr>
        <w:t>edication errors</w:t>
      </w:r>
    </w:p>
    <w:p w14:paraId="37389939" w14:textId="511DB520" w:rsidR="005442E6" w:rsidRPr="006D35A6" w:rsidRDefault="00861687" w:rsidP="006D35A6">
      <w:pPr>
        <w:pStyle w:val="Bullet1"/>
        <w:numPr>
          <w:ilvl w:val="0"/>
          <w:numId w:val="17"/>
        </w:numPr>
        <w:spacing w:before="0" w:after="0" w:line="240" w:lineRule="auto"/>
        <w:rPr>
          <w:color w:val="auto"/>
        </w:rPr>
      </w:pPr>
      <w:r>
        <w:rPr>
          <w:color w:val="auto"/>
        </w:rPr>
        <w:t>Fa</w:t>
      </w:r>
      <w:r w:rsidR="005442E6" w:rsidRPr="006D35A6">
        <w:rPr>
          <w:color w:val="auto"/>
        </w:rPr>
        <w:t>ilure to follow up with appropriate specialists</w:t>
      </w:r>
    </w:p>
    <w:p w14:paraId="115AF6DA" w14:textId="5D548ACD" w:rsidR="005442E6" w:rsidRPr="006D35A6" w:rsidRDefault="00861687" w:rsidP="006D35A6">
      <w:pPr>
        <w:pStyle w:val="Bullet1"/>
        <w:numPr>
          <w:ilvl w:val="0"/>
          <w:numId w:val="17"/>
        </w:numPr>
        <w:spacing w:before="0" w:after="0" w:line="240" w:lineRule="auto"/>
        <w:rPr>
          <w:color w:val="auto"/>
        </w:rPr>
      </w:pPr>
      <w:r>
        <w:rPr>
          <w:color w:val="auto"/>
        </w:rPr>
        <w:t>L</w:t>
      </w:r>
      <w:r w:rsidR="005442E6" w:rsidRPr="006D35A6">
        <w:rPr>
          <w:color w:val="auto"/>
        </w:rPr>
        <w:t>ack of necessary support services</w:t>
      </w:r>
      <w:r w:rsidR="00B33566" w:rsidRPr="006D35A6">
        <w:rPr>
          <w:color w:val="auto"/>
        </w:rPr>
        <w:t xml:space="preserve"> in place</w:t>
      </w:r>
      <w:r w:rsidR="005442E6" w:rsidRPr="006D35A6">
        <w:rPr>
          <w:color w:val="auto"/>
        </w:rPr>
        <w:t xml:space="preserve"> </w:t>
      </w:r>
      <w:r w:rsidR="00B33566" w:rsidRPr="006D35A6">
        <w:rPr>
          <w:color w:val="auto"/>
        </w:rPr>
        <w:t xml:space="preserve">after hospital </w:t>
      </w:r>
      <w:r w:rsidR="005442E6" w:rsidRPr="006D35A6">
        <w:rPr>
          <w:color w:val="auto"/>
        </w:rPr>
        <w:t>discharge</w:t>
      </w:r>
    </w:p>
    <w:p w14:paraId="69BCC62F" w14:textId="1DE87AED" w:rsidR="00164AB3" w:rsidRPr="00025F76" w:rsidRDefault="00861687" w:rsidP="006D35A6">
      <w:pPr>
        <w:pStyle w:val="Bullet1"/>
        <w:numPr>
          <w:ilvl w:val="0"/>
          <w:numId w:val="17"/>
        </w:numPr>
        <w:spacing w:before="0" w:after="0" w:line="240" w:lineRule="auto"/>
      </w:pPr>
      <w:r>
        <w:rPr>
          <w:color w:val="auto"/>
        </w:rPr>
        <w:t>L</w:t>
      </w:r>
      <w:r w:rsidR="0099570B" w:rsidRPr="006D35A6">
        <w:rPr>
          <w:color w:val="auto"/>
        </w:rPr>
        <w:t xml:space="preserve">ack of </w:t>
      </w:r>
      <w:proofErr w:type="gramStart"/>
      <w:r w:rsidR="0099570B" w:rsidRPr="006D35A6">
        <w:rPr>
          <w:color w:val="auto"/>
        </w:rPr>
        <w:t>necessary</w:t>
      </w:r>
      <w:proofErr w:type="gramEnd"/>
      <w:r w:rsidR="0099570B" w:rsidRPr="006D35A6">
        <w:rPr>
          <w:color w:val="auto"/>
        </w:rPr>
        <w:t xml:space="preserve"> follow up care after hospital discharge</w:t>
      </w:r>
    </w:p>
    <w:p w14:paraId="0A0BF3BC" w14:textId="0501B704" w:rsidR="0099570B" w:rsidRPr="00025F76" w:rsidRDefault="0099570B" w:rsidP="001429F9">
      <w:r w:rsidRPr="00025F76">
        <w:rPr>
          <w:bCs/>
          <w:color w:val="auto"/>
        </w:rPr>
        <w:t xml:space="preserve">Transitions of care are </w:t>
      </w:r>
      <w:r w:rsidR="00D23735">
        <w:rPr>
          <w:bCs/>
          <w:color w:val="auto"/>
        </w:rPr>
        <w:t>opportunities</w:t>
      </w:r>
      <w:r w:rsidR="00D23735" w:rsidRPr="00025F76">
        <w:rPr>
          <w:bCs/>
          <w:color w:val="auto"/>
        </w:rPr>
        <w:t xml:space="preserve"> </w:t>
      </w:r>
      <w:r w:rsidRPr="00025F76">
        <w:rPr>
          <w:bCs/>
          <w:color w:val="auto"/>
        </w:rPr>
        <w:t>for improving medication safety and reducing avoidable harms</w:t>
      </w:r>
      <w:r w:rsidR="00B33566">
        <w:rPr>
          <w:bCs/>
          <w:color w:val="auto"/>
        </w:rPr>
        <w:t xml:space="preserve"> and death</w:t>
      </w:r>
      <w:r w:rsidR="00164AB3" w:rsidRPr="00025F76">
        <w:rPr>
          <w:color w:val="auto"/>
        </w:rPr>
        <w:t>.</w:t>
      </w:r>
      <w:r w:rsidRPr="00025F76">
        <w:rPr>
          <w:color w:val="auto"/>
        </w:rPr>
        <w:t xml:space="preserve"> </w:t>
      </w:r>
      <w:r w:rsidRPr="00025F76">
        <w:rPr>
          <w:bCs/>
        </w:rPr>
        <w:t xml:space="preserve">Safe transitions of care require clear communication and coordination between the person with disability, their </w:t>
      </w:r>
      <w:r w:rsidR="000808CB">
        <w:rPr>
          <w:bCs/>
        </w:rPr>
        <w:t>support network</w:t>
      </w:r>
      <w:r w:rsidRPr="00025F76">
        <w:rPr>
          <w:bCs/>
        </w:rPr>
        <w:t xml:space="preserve">, health </w:t>
      </w:r>
      <w:r w:rsidR="000808CB">
        <w:rPr>
          <w:bCs/>
        </w:rPr>
        <w:t>professionals</w:t>
      </w:r>
      <w:r w:rsidR="000808CB" w:rsidRPr="00025F76">
        <w:rPr>
          <w:bCs/>
        </w:rPr>
        <w:t xml:space="preserve"> </w:t>
      </w:r>
      <w:r w:rsidRPr="00025F76">
        <w:rPr>
          <w:bCs/>
        </w:rPr>
        <w:t xml:space="preserve">and </w:t>
      </w:r>
      <w:r w:rsidR="000808CB">
        <w:rPr>
          <w:bCs/>
        </w:rPr>
        <w:t>providers</w:t>
      </w:r>
      <w:r w:rsidRPr="00025F76">
        <w:rPr>
          <w:bCs/>
        </w:rPr>
        <w:t>.</w:t>
      </w:r>
      <w:r w:rsidRPr="00025F76">
        <w:rPr>
          <w:b/>
        </w:rPr>
        <w:t xml:space="preserve"> </w:t>
      </w:r>
      <w:r w:rsidR="00271B3C" w:rsidRPr="001429F9">
        <w:t>Clear</w:t>
      </w:r>
      <w:r w:rsidR="00271B3C">
        <w:rPr>
          <w:b/>
        </w:rPr>
        <w:t xml:space="preserve"> </w:t>
      </w:r>
      <w:r w:rsidR="00271B3C">
        <w:t>c</w:t>
      </w:r>
      <w:r w:rsidRPr="00025F76">
        <w:t xml:space="preserve">ommunication and coordination </w:t>
      </w:r>
      <w:proofErr w:type="gramStart"/>
      <w:r w:rsidRPr="00025F76">
        <w:t>helps</w:t>
      </w:r>
      <w:proofErr w:type="gramEnd"/>
      <w:r w:rsidRPr="00025F76">
        <w:t xml:space="preserve"> ensure that critical information about the person’s health needs, potential risks and current health care are not lost during transitions of care.</w:t>
      </w:r>
    </w:p>
    <w:p w14:paraId="2F48215C" w14:textId="77777777" w:rsidR="005F3A98" w:rsidRPr="00025F76" w:rsidRDefault="007B2E4A" w:rsidP="006D35A6">
      <w:pPr>
        <w:pStyle w:val="Heading2"/>
      </w:pPr>
      <w:r>
        <w:t>S</w:t>
      </w:r>
      <w:r w:rsidR="00FF5D9C" w:rsidRPr="00025F76">
        <w:t>upport</w:t>
      </w:r>
      <w:r>
        <w:t>ing</w:t>
      </w:r>
      <w:r w:rsidR="00624438" w:rsidRPr="00025F76">
        <w:t xml:space="preserve"> </w:t>
      </w:r>
      <w:r w:rsidR="00AC6704" w:rsidRPr="00025F76">
        <w:t xml:space="preserve">participants </w:t>
      </w:r>
      <w:r w:rsidR="00861687">
        <w:t>going to hospital</w:t>
      </w:r>
    </w:p>
    <w:p w14:paraId="7D3488A8" w14:textId="5DE6D89B" w:rsidR="00827FE5" w:rsidRDefault="00827FE5" w:rsidP="006D35A6">
      <w:pPr>
        <w:spacing w:after="0"/>
        <w:rPr>
          <w:rFonts w:cstheme="minorHAnsi"/>
        </w:rPr>
      </w:pPr>
      <w:r>
        <w:rPr>
          <w:rFonts w:cstheme="minorHAnsi"/>
        </w:rPr>
        <w:t>Providers should document, communicate and manage a participant</w:t>
      </w:r>
      <w:r w:rsidR="001D69B8">
        <w:rPr>
          <w:rFonts w:cstheme="minorHAnsi"/>
        </w:rPr>
        <w:t>’</w:t>
      </w:r>
      <w:r>
        <w:rPr>
          <w:rFonts w:cstheme="minorHAnsi"/>
        </w:rPr>
        <w:t xml:space="preserve">s transition </w:t>
      </w:r>
      <w:r w:rsidR="00D23735">
        <w:rPr>
          <w:rFonts w:cstheme="minorHAnsi"/>
        </w:rPr>
        <w:t xml:space="preserve">between their home and hospital </w:t>
      </w:r>
      <w:r>
        <w:rPr>
          <w:rFonts w:cstheme="minorHAnsi"/>
        </w:rPr>
        <w:t xml:space="preserve">including </w:t>
      </w:r>
      <w:r w:rsidR="00EC60A3">
        <w:rPr>
          <w:rFonts w:cstheme="minorHAnsi"/>
        </w:rPr>
        <w:t xml:space="preserve">identifying and </w:t>
      </w:r>
      <w:r>
        <w:rPr>
          <w:rFonts w:cstheme="minorHAnsi"/>
        </w:rPr>
        <w:t>managing risks</w:t>
      </w:r>
      <w:r w:rsidR="00EC60A3">
        <w:rPr>
          <w:rFonts w:cstheme="minorHAnsi"/>
        </w:rPr>
        <w:t xml:space="preserve"> that might arise</w:t>
      </w:r>
      <w:r>
        <w:rPr>
          <w:rFonts w:cstheme="minorHAnsi"/>
        </w:rPr>
        <w:t>.</w:t>
      </w:r>
    </w:p>
    <w:p w14:paraId="636B84BF" w14:textId="77777777" w:rsidR="002F6CFC" w:rsidRPr="00827FE5" w:rsidRDefault="00827FE5" w:rsidP="006D35A6">
      <w:pPr>
        <w:spacing w:after="0"/>
        <w:rPr>
          <w:rFonts w:cstheme="minorHAnsi"/>
        </w:rPr>
      </w:pPr>
      <w:r w:rsidRPr="00827FE5">
        <w:t>Providers</w:t>
      </w:r>
      <w:r>
        <w:t xml:space="preserve"> should support participants to p</w:t>
      </w:r>
      <w:r w:rsidR="007C3735" w:rsidRPr="00025F76">
        <w:t xml:space="preserve">repare for </w:t>
      </w:r>
      <w:r w:rsidR="00157C29" w:rsidRPr="00157C29">
        <w:rPr>
          <w:rFonts w:asciiTheme="majorHAnsi" w:hAnsiTheme="majorHAnsi" w:cstheme="majorHAnsi"/>
        </w:rPr>
        <w:t xml:space="preserve">potential hospital admissions </w:t>
      </w:r>
      <w:r w:rsidR="007C3735" w:rsidRPr="00025F76">
        <w:t>by</w:t>
      </w:r>
      <w:r w:rsidR="002F6CFC" w:rsidRPr="00025F76">
        <w:t>:</w:t>
      </w:r>
    </w:p>
    <w:p w14:paraId="2ED08CFF" w14:textId="6905C57E" w:rsidR="00827FE5" w:rsidRPr="008C10A3" w:rsidRDefault="00B508CE" w:rsidP="00A43072">
      <w:pPr>
        <w:pStyle w:val="ListParagraph"/>
        <w:numPr>
          <w:ilvl w:val="0"/>
          <w:numId w:val="40"/>
        </w:numPr>
        <w:rPr>
          <w:rFonts w:cstheme="majorHAnsi"/>
        </w:rPr>
      </w:pPr>
      <w:r>
        <w:rPr>
          <w:rFonts w:asciiTheme="majorHAnsi" w:hAnsiTheme="majorHAnsi" w:cstheme="majorHAnsi"/>
        </w:rPr>
        <w:t>H</w:t>
      </w:r>
      <w:r w:rsidRPr="00025F76">
        <w:rPr>
          <w:rFonts w:asciiTheme="majorHAnsi" w:hAnsiTheme="majorHAnsi" w:cstheme="majorHAnsi"/>
        </w:rPr>
        <w:t>elping participants understand information about their health</w:t>
      </w:r>
      <w:r w:rsidR="00827FE5" w:rsidRPr="00827FE5">
        <w:rPr>
          <w:rFonts w:asciiTheme="majorHAnsi" w:hAnsiTheme="majorHAnsi" w:cstheme="majorHAnsi"/>
        </w:rPr>
        <w:t xml:space="preserve"> </w:t>
      </w:r>
      <w:r w:rsidR="00827FE5">
        <w:rPr>
          <w:rFonts w:asciiTheme="majorHAnsi" w:hAnsiTheme="majorHAnsi" w:cstheme="majorHAnsi"/>
        </w:rPr>
        <w:t>in an accessible for</w:t>
      </w:r>
      <w:r w:rsidR="00985B20">
        <w:rPr>
          <w:rFonts w:asciiTheme="majorHAnsi" w:hAnsiTheme="majorHAnsi" w:cstheme="majorHAnsi"/>
        </w:rPr>
        <w:t>mat. F</w:t>
      </w:r>
      <w:r w:rsidR="00827FE5">
        <w:rPr>
          <w:rFonts w:asciiTheme="majorHAnsi" w:hAnsiTheme="majorHAnsi" w:cstheme="majorHAnsi"/>
        </w:rPr>
        <w:t xml:space="preserve">or example, communicating information verbally, </w:t>
      </w:r>
      <w:r w:rsidR="00827FE5" w:rsidRPr="008C10A3">
        <w:rPr>
          <w:rFonts w:asciiTheme="majorHAnsi" w:hAnsiTheme="majorHAnsi" w:cstheme="majorHAnsi"/>
        </w:rPr>
        <w:t>Easy</w:t>
      </w:r>
      <w:r w:rsidR="00827FE5">
        <w:rPr>
          <w:rFonts w:asciiTheme="majorHAnsi" w:hAnsiTheme="majorHAnsi" w:cstheme="majorHAnsi"/>
        </w:rPr>
        <w:t xml:space="preserve"> Read or visual prompts and provided in </w:t>
      </w:r>
      <w:r w:rsidR="00A43072">
        <w:rPr>
          <w:rFonts w:asciiTheme="majorHAnsi" w:hAnsiTheme="majorHAnsi" w:cstheme="majorHAnsi"/>
        </w:rPr>
        <w:t>a person’s preferred language</w:t>
      </w:r>
      <w:r w:rsidR="00AD0CE1">
        <w:rPr>
          <w:rFonts w:asciiTheme="majorHAnsi" w:hAnsiTheme="majorHAnsi" w:cstheme="majorHAnsi"/>
        </w:rPr>
        <w:t>.</w:t>
      </w:r>
    </w:p>
    <w:p w14:paraId="11BDE4E9" w14:textId="17A10DFD" w:rsidR="00827FE5" w:rsidRPr="001429F9" w:rsidRDefault="00827FE5" w:rsidP="00827FE5">
      <w:pPr>
        <w:pStyle w:val="ListParagraph"/>
        <w:numPr>
          <w:ilvl w:val="0"/>
          <w:numId w:val="18"/>
        </w:numPr>
        <w:spacing w:before="120" w:after="120"/>
        <w:rPr>
          <w:rFonts w:asciiTheme="majorHAnsi" w:hAnsiTheme="majorHAnsi" w:cstheme="majorHAnsi"/>
        </w:rPr>
      </w:pPr>
      <w:r w:rsidRPr="00E426EF">
        <w:rPr>
          <w:rFonts w:asciiTheme="majorHAnsi" w:hAnsiTheme="majorHAnsi" w:cstheme="majorHAnsi"/>
        </w:rPr>
        <w:t>Keeping the participant’s health</w:t>
      </w:r>
      <w:r w:rsidR="00157C29" w:rsidRPr="00157C29">
        <w:rPr>
          <w:rFonts w:asciiTheme="majorHAnsi" w:hAnsiTheme="majorHAnsi" w:cstheme="majorHAnsi"/>
        </w:rPr>
        <w:t xml:space="preserve"> related documentation</w:t>
      </w:r>
      <w:r w:rsidR="00157C29">
        <w:rPr>
          <w:rFonts w:asciiTheme="majorHAnsi" w:hAnsiTheme="majorHAnsi" w:cstheme="majorHAnsi"/>
        </w:rPr>
        <w:t>, such as</w:t>
      </w:r>
      <w:r w:rsidRPr="00E426EF">
        <w:rPr>
          <w:rFonts w:asciiTheme="majorHAnsi" w:hAnsiTheme="majorHAnsi" w:cstheme="majorHAnsi"/>
        </w:rPr>
        <w:t xml:space="preserve"> medication and support plans</w:t>
      </w:r>
      <w:r w:rsidR="00A56902">
        <w:rPr>
          <w:rFonts w:asciiTheme="majorHAnsi" w:hAnsiTheme="majorHAnsi" w:cstheme="majorHAnsi"/>
        </w:rPr>
        <w:t xml:space="preserve">, </w:t>
      </w:r>
      <w:r w:rsidRPr="00E426EF">
        <w:rPr>
          <w:rFonts w:asciiTheme="majorHAnsi" w:hAnsiTheme="majorHAnsi" w:cstheme="majorHAnsi"/>
        </w:rPr>
        <w:t>accurate</w:t>
      </w:r>
      <w:r w:rsidR="00A56902">
        <w:rPr>
          <w:rFonts w:asciiTheme="majorHAnsi" w:hAnsiTheme="majorHAnsi" w:cstheme="majorHAnsi"/>
        </w:rPr>
        <w:t xml:space="preserve"> and </w:t>
      </w:r>
      <w:proofErr w:type="gramStart"/>
      <w:r w:rsidRPr="00E426EF">
        <w:rPr>
          <w:rFonts w:asciiTheme="majorHAnsi" w:hAnsiTheme="majorHAnsi" w:cstheme="majorHAnsi"/>
        </w:rPr>
        <w:t>up-to-date</w:t>
      </w:r>
      <w:proofErr w:type="gramEnd"/>
      <w:r w:rsidRPr="00E426EF">
        <w:rPr>
          <w:rFonts w:asciiTheme="majorHAnsi" w:hAnsiTheme="majorHAnsi" w:cstheme="majorHAnsi"/>
        </w:rPr>
        <w:t xml:space="preserve"> in a format that </w:t>
      </w:r>
      <w:r w:rsidR="00157C29" w:rsidRPr="00157C29">
        <w:rPr>
          <w:rFonts w:asciiTheme="majorHAnsi" w:hAnsiTheme="majorHAnsi" w:cstheme="majorHAnsi"/>
        </w:rPr>
        <w:t>can be readily communicated to hospital staff</w:t>
      </w:r>
      <w:r>
        <w:rPr>
          <w:rFonts w:asciiTheme="majorHAnsi" w:hAnsiTheme="majorHAnsi" w:cstheme="majorHAnsi"/>
        </w:rPr>
        <w:t xml:space="preserve">. See </w:t>
      </w:r>
      <w:hyperlink w:anchor="_Resources_1" w:history="1">
        <w:r w:rsidRPr="00B66D37">
          <w:rPr>
            <w:rStyle w:val="Hyperlink"/>
            <w:rFonts w:asciiTheme="majorHAnsi" w:hAnsiTheme="majorHAnsi" w:cstheme="majorHAnsi"/>
          </w:rPr>
          <w:t>Resources</w:t>
        </w:r>
      </w:hyperlink>
      <w:r>
        <w:rPr>
          <w:rFonts w:asciiTheme="majorHAnsi" w:hAnsiTheme="majorHAnsi" w:cstheme="majorHAnsi"/>
        </w:rPr>
        <w:t xml:space="preserve"> for different options to communicate information during a transition.</w:t>
      </w:r>
    </w:p>
    <w:p w14:paraId="3D03830E" w14:textId="1D7653E2" w:rsidR="00B508CE" w:rsidRPr="00827FE5" w:rsidRDefault="00B508CE" w:rsidP="00827FE5">
      <w:pPr>
        <w:pStyle w:val="ListParagraph"/>
        <w:numPr>
          <w:ilvl w:val="0"/>
          <w:numId w:val="18"/>
        </w:numPr>
        <w:spacing w:before="120" w:after="120"/>
        <w:rPr>
          <w:rFonts w:asciiTheme="majorHAnsi" w:hAnsiTheme="majorHAnsi" w:cstheme="majorHAnsi"/>
        </w:rPr>
      </w:pPr>
      <w:r w:rsidRPr="00827FE5">
        <w:rPr>
          <w:rFonts w:asciiTheme="majorHAnsi" w:hAnsiTheme="majorHAnsi" w:cstheme="majorHAnsi"/>
        </w:rPr>
        <w:t>Wit</w:t>
      </w:r>
      <w:r w:rsidR="00FC6A0B">
        <w:rPr>
          <w:rFonts w:asciiTheme="majorHAnsi" w:hAnsiTheme="majorHAnsi" w:cstheme="majorHAnsi"/>
        </w:rPr>
        <w:t>h the participant’s consent</w:t>
      </w:r>
      <w:r w:rsidRPr="00827FE5">
        <w:rPr>
          <w:rFonts w:asciiTheme="majorHAnsi" w:hAnsiTheme="majorHAnsi" w:cstheme="majorHAnsi"/>
        </w:rPr>
        <w:t>, includ</w:t>
      </w:r>
      <w:r w:rsidR="00E426EF" w:rsidRPr="00827FE5">
        <w:rPr>
          <w:rFonts w:asciiTheme="majorHAnsi" w:hAnsiTheme="majorHAnsi" w:cstheme="majorHAnsi"/>
        </w:rPr>
        <w:t>ing family,</w:t>
      </w:r>
      <w:r w:rsidRPr="00827FE5">
        <w:rPr>
          <w:rFonts w:asciiTheme="majorHAnsi" w:hAnsiTheme="majorHAnsi" w:cstheme="majorHAnsi"/>
        </w:rPr>
        <w:t xml:space="preserve"> supporters and workers who know the person </w:t>
      </w:r>
      <w:r w:rsidR="00FC6A0B">
        <w:rPr>
          <w:rFonts w:asciiTheme="majorHAnsi" w:hAnsiTheme="majorHAnsi" w:cstheme="majorHAnsi"/>
        </w:rPr>
        <w:t>well in the process</w:t>
      </w:r>
      <w:r w:rsidR="00E426EF" w:rsidRPr="00827FE5">
        <w:rPr>
          <w:rFonts w:asciiTheme="majorHAnsi" w:hAnsiTheme="majorHAnsi" w:cstheme="majorHAnsi"/>
        </w:rPr>
        <w:t>.</w:t>
      </w:r>
      <w:r w:rsidR="00FC6A0B">
        <w:rPr>
          <w:rFonts w:asciiTheme="majorHAnsi" w:hAnsiTheme="majorHAnsi" w:cstheme="majorHAnsi"/>
        </w:rPr>
        <w:t xml:space="preserve"> This will help to ensure a participant’s preferences and needs are communicated and understood by everyone involved</w:t>
      </w:r>
      <w:r w:rsidR="00AD0CE1">
        <w:rPr>
          <w:rFonts w:asciiTheme="majorHAnsi" w:hAnsiTheme="majorHAnsi" w:cstheme="majorHAnsi"/>
        </w:rPr>
        <w:t>.</w:t>
      </w:r>
    </w:p>
    <w:p w14:paraId="63148580" w14:textId="26587CDE" w:rsidR="005F3A98" w:rsidRPr="001429F9" w:rsidRDefault="00E426EF" w:rsidP="001429F9">
      <w:pPr>
        <w:spacing w:before="120" w:after="120"/>
        <w:rPr>
          <w:rFonts w:asciiTheme="majorHAnsi" w:hAnsiTheme="majorHAnsi" w:cstheme="majorHAnsi"/>
        </w:rPr>
      </w:pPr>
      <w:r>
        <w:rPr>
          <w:rFonts w:asciiTheme="majorHAnsi" w:hAnsiTheme="majorHAnsi" w:cstheme="majorHAnsi"/>
        </w:rPr>
        <w:t xml:space="preserve">If a hospital admission is planned (for example, a planned procedure or surgery), consider requesting a pre-admission appointment. </w:t>
      </w:r>
      <w:r w:rsidR="00CF5729" w:rsidRPr="00CF5729">
        <w:rPr>
          <w:rFonts w:asciiTheme="majorHAnsi" w:hAnsiTheme="majorHAnsi" w:cstheme="majorHAnsi"/>
        </w:rPr>
        <w:t xml:space="preserve">This gives </w:t>
      </w:r>
      <w:r w:rsidR="00985B20">
        <w:rPr>
          <w:rFonts w:asciiTheme="majorHAnsi" w:hAnsiTheme="majorHAnsi" w:cstheme="majorHAnsi"/>
        </w:rPr>
        <w:t>participants</w:t>
      </w:r>
      <w:r w:rsidR="00985B20" w:rsidRPr="00985B20">
        <w:rPr>
          <w:rFonts w:asciiTheme="majorHAnsi" w:hAnsiTheme="majorHAnsi" w:cstheme="majorHAnsi"/>
        </w:rPr>
        <w:t xml:space="preserve"> </w:t>
      </w:r>
      <w:r w:rsidR="00985B20" w:rsidRPr="00CF5729">
        <w:rPr>
          <w:rFonts w:asciiTheme="majorHAnsi" w:hAnsiTheme="majorHAnsi" w:cstheme="majorHAnsi"/>
        </w:rPr>
        <w:t xml:space="preserve">and family or </w:t>
      </w:r>
      <w:r w:rsidR="00985B20">
        <w:rPr>
          <w:rFonts w:asciiTheme="majorHAnsi" w:hAnsiTheme="majorHAnsi" w:cstheme="majorHAnsi"/>
        </w:rPr>
        <w:t>support</w:t>
      </w:r>
      <w:r w:rsidR="00985B20" w:rsidRPr="00CF5729">
        <w:rPr>
          <w:rFonts w:asciiTheme="majorHAnsi" w:hAnsiTheme="majorHAnsi" w:cstheme="majorHAnsi"/>
        </w:rPr>
        <w:t xml:space="preserve"> workers</w:t>
      </w:r>
      <w:r w:rsidR="00985B20">
        <w:rPr>
          <w:rFonts w:asciiTheme="majorHAnsi" w:hAnsiTheme="majorHAnsi" w:cstheme="majorHAnsi"/>
        </w:rPr>
        <w:t xml:space="preserve">, and </w:t>
      </w:r>
      <w:r w:rsidR="00CF5729" w:rsidRPr="00CF5729">
        <w:rPr>
          <w:rFonts w:asciiTheme="majorHAnsi" w:hAnsiTheme="majorHAnsi" w:cstheme="majorHAnsi"/>
        </w:rPr>
        <w:t xml:space="preserve">hospital staff time to </w:t>
      </w:r>
      <w:r w:rsidR="00EE6A68">
        <w:rPr>
          <w:rFonts w:asciiTheme="majorHAnsi" w:hAnsiTheme="majorHAnsi" w:cstheme="majorHAnsi"/>
        </w:rPr>
        <w:t xml:space="preserve">meet, </w:t>
      </w:r>
      <w:r w:rsidR="00CF5729" w:rsidRPr="00CF5729">
        <w:rPr>
          <w:rFonts w:asciiTheme="majorHAnsi" w:hAnsiTheme="majorHAnsi" w:cstheme="majorHAnsi"/>
        </w:rPr>
        <w:t>discuss and plan for any additional supports that may be needed</w:t>
      </w:r>
      <w:r w:rsidR="00D23735">
        <w:rPr>
          <w:rFonts w:asciiTheme="majorHAnsi" w:hAnsiTheme="majorHAnsi" w:cstheme="majorHAnsi"/>
        </w:rPr>
        <w:t xml:space="preserve"> during the participant’s admission</w:t>
      </w:r>
      <w:r w:rsidR="00CF5729" w:rsidRPr="00CF5729">
        <w:rPr>
          <w:rFonts w:asciiTheme="majorHAnsi" w:hAnsiTheme="majorHAnsi" w:cstheme="majorHAnsi"/>
        </w:rPr>
        <w:t xml:space="preserve">.  </w:t>
      </w:r>
      <w:r>
        <w:rPr>
          <w:rFonts w:asciiTheme="majorHAnsi" w:hAnsiTheme="majorHAnsi" w:cstheme="majorHAnsi"/>
        </w:rPr>
        <w:t>This time</w:t>
      </w:r>
      <w:r w:rsidR="006D35A6">
        <w:rPr>
          <w:rFonts w:asciiTheme="majorHAnsi" w:hAnsiTheme="majorHAnsi" w:cstheme="majorHAnsi"/>
        </w:rPr>
        <w:t xml:space="preserve"> can be used</w:t>
      </w:r>
      <w:r>
        <w:rPr>
          <w:rFonts w:asciiTheme="majorHAnsi" w:hAnsiTheme="majorHAnsi" w:cstheme="majorHAnsi"/>
        </w:rPr>
        <w:t xml:space="preserve"> to discuss any </w:t>
      </w:r>
      <w:r w:rsidR="00CF5729">
        <w:rPr>
          <w:rFonts w:asciiTheme="majorHAnsi" w:hAnsiTheme="majorHAnsi" w:cstheme="majorHAnsi"/>
        </w:rPr>
        <w:t xml:space="preserve">existing </w:t>
      </w:r>
      <w:r>
        <w:rPr>
          <w:rFonts w:asciiTheme="majorHAnsi" w:hAnsiTheme="majorHAnsi" w:cstheme="majorHAnsi"/>
        </w:rPr>
        <w:t>health</w:t>
      </w:r>
      <w:r w:rsidR="00FC6A0B">
        <w:rPr>
          <w:rFonts w:asciiTheme="majorHAnsi" w:hAnsiTheme="majorHAnsi" w:cstheme="majorHAnsi"/>
        </w:rPr>
        <w:t xml:space="preserve"> issues, specific needs</w:t>
      </w:r>
      <w:r>
        <w:rPr>
          <w:rFonts w:asciiTheme="majorHAnsi" w:hAnsiTheme="majorHAnsi" w:cstheme="majorHAnsi"/>
        </w:rPr>
        <w:t xml:space="preserve"> or support plans</w:t>
      </w:r>
      <w:r w:rsidR="00471214">
        <w:rPr>
          <w:rFonts w:asciiTheme="majorHAnsi" w:hAnsiTheme="majorHAnsi" w:cstheme="majorHAnsi"/>
        </w:rPr>
        <w:t>.</w:t>
      </w:r>
      <w:r w:rsidR="00BC755B">
        <w:rPr>
          <w:rFonts w:asciiTheme="majorHAnsi" w:hAnsiTheme="majorHAnsi" w:cstheme="majorHAnsi"/>
        </w:rPr>
        <w:t xml:space="preserve"> </w:t>
      </w:r>
    </w:p>
    <w:p w14:paraId="25527C08" w14:textId="77777777" w:rsidR="00DB5FD7" w:rsidRPr="00827FE5" w:rsidRDefault="00DB5FD7" w:rsidP="00861687">
      <w:pPr>
        <w:pStyle w:val="Heading3"/>
      </w:pPr>
      <w:r w:rsidRPr="00827FE5">
        <w:t>Information to provide to hospital staff</w:t>
      </w:r>
    </w:p>
    <w:p w14:paraId="686D1466" w14:textId="59340715" w:rsidR="00DB5FD7" w:rsidRPr="00025F76" w:rsidRDefault="00FC6A0B" w:rsidP="00DB5FD7">
      <w:pPr>
        <w:spacing w:before="120" w:after="120" w:line="276" w:lineRule="auto"/>
        <w:rPr>
          <w:bCs/>
        </w:rPr>
      </w:pPr>
      <w:r>
        <w:rPr>
          <w:bCs/>
        </w:rPr>
        <w:t xml:space="preserve">Providers who </w:t>
      </w:r>
      <w:r w:rsidR="0075595A" w:rsidRPr="00025F76">
        <w:rPr>
          <w:bCs/>
        </w:rPr>
        <w:t>are</w:t>
      </w:r>
      <w:r w:rsidR="00DB5FD7" w:rsidRPr="00025F76">
        <w:rPr>
          <w:bCs/>
        </w:rPr>
        <w:t xml:space="preserve"> responsib</w:t>
      </w:r>
      <w:r w:rsidR="0075595A" w:rsidRPr="00025F76">
        <w:rPr>
          <w:bCs/>
        </w:rPr>
        <w:t>le</w:t>
      </w:r>
      <w:r w:rsidR="00DB5FD7" w:rsidRPr="00025F76">
        <w:rPr>
          <w:bCs/>
        </w:rPr>
        <w:t xml:space="preserve"> for a participant’s medical records and care, or </w:t>
      </w:r>
      <w:r w:rsidR="0075595A" w:rsidRPr="00025F76">
        <w:rPr>
          <w:bCs/>
        </w:rPr>
        <w:t xml:space="preserve">have </w:t>
      </w:r>
      <w:r w:rsidR="00DB5FD7" w:rsidRPr="00025F76">
        <w:rPr>
          <w:bCs/>
        </w:rPr>
        <w:t>consent from participants</w:t>
      </w:r>
      <w:r w:rsidR="00F12615">
        <w:rPr>
          <w:bCs/>
        </w:rPr>
        <w:t xml:space="preserve"> or</w:t>
      </w:r>
      <w:r>
        <w:rPr>
          <w:bCs/>
        </w:rPr>
        <w:t xml:space="preserve"> guardians to share information, should</w:t>
      </w:r>
      <w:r w:rsidR="00DB5FD7" w:rsidRPr="00025F76">
        <w:rPr>
          <w:bCs/>
        </w:rPr>
        <w:t xml:space="preserve"> make</w:t>
      </w:r>
      <w:r>
        <w:rPr>
          <w:bCs/>
        </w:rPr>
        <w:t xml:space="preserve"> sure the following are </w:t>
      </w:r>
      <w:r w:rsidR="00DB5FD7" w:rsidRPr="00025F76">
        <w:rPr>
          <w:bCs/>
        </w:rPr>
        <w:t>available to hospital staff on admission:</w:t>
      </w:r>
    </w:p>
    <w:p w14:paraId="3BB4708F" w14:textId="74649A3F" w:rsidR="00DB5FD7" w:rsidRPr="00025F76" w:rsidRDefault="00DB5FD7" w:rsidP="00164AB3">
      <w:pPr>
        <w:pStyle w:val="Bullet1"/>
        <w:numPr>
          <w:ilvl w:val="0"/>
          <w:numId w:val="20"/>
        </w:numPr>
        <w:spacing w:before="120" w:after="120" w:line="276" w:lineRule="auto"/>
        <w:contextualSpacing/>
      </w:pPr>
      <w:r w:rsidRPr="00025F76">
        <w:t>List of current medications</w:t>
      </w:r>
      <w:r w:rsidR="00EC60A3">
        <w:t xml:space="preserve"> and dosages</w:t>
      </w:r>
    </w:p>
    <w:p w14:paraId="144F002F" w14:textId="527E5022" w:rsidR="00DB5FD7" w:rsidRPr="00025F76" w:rsidRDefault="00DB5FD7" w:rsidP="00164AB3">
      <w:pPr>
        <w:pStyle w:val="Bullet1"/>
        <w:numPr>
          <w:ilvl w:val="0"/>
          <w:numId w:val="20"/>
        </w:numPr>
        <w:spacing w:before="120" w:after="120" w:line="276" w:lineRule="auto"/>
        <w:contextualSpacing/>
      </w:pPr>
      <w:r w:rsidRPr="00025F76">
        <w:t>Webster packs and other required medications</w:t>
      </w:r>
    </w:p>
    <w:p w14:paraId="35C6C392" w14:textId="52D4FBE5" w:rsidR="00DB5FD7" w:rsidRPr="00025F76" w:rsidRDefault="00DB5FD7" w:rsidP="00164AB3">
      <w:pPr>
        <w:pStyle w:val="Bullet1"/>
        <w:numPr>
          <w:ilvl w:val="0"/>
          <w:numId w:val="20"/>
        </w:numPr>
        <w:spacing w:before="120" w:after="120" w:line="276" w:lineRule="auto"/>
        <w:contextualSpacing/>
      </w:pPr>
      <w:r w:rsidRPr="00025F76">
        <w:t xml:space="preserve">Health </w:t>
      </w:r>
      <w:r w:rsidR="00BC755B">
        <w:t>c</w:t>
      </w:r>
      <w:r w:rsidRPr="00025F76">
        <w:t xml:space="preserve">are </w:t>
      </w:r>
      <w:r w:rsidR="00BC755B">
        <w:t>c</w:t>
      </w:r>
      <w:r w:rsidRPr="00025F76">
        <w:t>ard</w:t>
      </w:r>
    </w:p>
    <w:p w14:paraId="2549903B" w14:textId="4FD06E56" w:rsidR="00DB5FD7" w:rsidRPr="00025F76" w:rsidRDefault="00DB5FD7" w:rsidP="00164AB3">
      <w:pPr>
        <w:pStyle w:val="Bullet1"/>
        <w:numPr>
          <w:ilvl w:val="0"/>
          <w:numId w:val="20"/>
        </w:numPr>
        <w:spacing w:before="120" w:after="120" w:line="276" w:lineRule="auto"/>
        <w:contextualSpacing/>
      </w:pPr>
      <w:r w:rsidRPr="00025F76">
        <w:t xml:space="preserve">Medicare </w:t>
      </w:r>
      <w:r w:rsidR="00BC755B">
        <w:t>c</w:t>
      </w:r>
      <w:r w:rsidRPr="00025F76">
        <w:t>ard</w:t>
      </w:r>
    </w:p>
    <w:p w14:paraId="122EF942" w14:textId="0A25B389" w:rsidR="00BC755B" w:rsidRDefault="00BC755B" w:rsidP="00164AB3">
      <w:pPr>
        <w:pStyle w:val="Bullet1"/>
        <w:numPr>
          <w:ilvl w:val="0"/>
          <w:numId w:val="20"/>
        </w:numPr>
        <w:spacing w:before="120" w:after="120" w:line="276" w:lineRule="auto"/>
        <w:contextualSpacing/>
      </w:pPr>
      <w:r>
        <w:t>Support plans related to wellbeing, such as a b</w:t>
      </w:r>
      <w:r w:rsidR="00DB5FD7" w:rsidRPr="00025F76">
        <w:t xml:space="preserve">ehaviour </w:t>
      </w:r>
      <w:r>
        <w:t>s</w:t>
      </w:r>
      <w:r w:rsidR="00DB5FD7" w:rsidRPr="00025F76">
        <w:t xml:space="preserve">upport </w:t>
      </w:r>
      <w:r>
        <w:t>p</w:t>
      </w:r>
      <w:r w:rsidR="00DB5FD7" w:rsidRPr="00025F76">
        <w:t>lan</w:t>
      </w:r>
      <w:r w:rsidR="00471214">
        <w:t xml:space="preserve"> or</w:t>
      </w:r>
      <w:r>
        <w:t xml:space="preserve"> communication plan</w:t>
      </w:r>
    </w:p>
    <w:p w14:paraId="2F1D19F1" w14:textId="6AD52034" w:rsidR="00DB5FD7" w:rsidRDefault="00BC755B" w:rsidP="00985B20">
      <w:pPr>
        <w:pStyle w:val="Bullet1"/>
        <w:numPr>
          <w:ilvl w:val="0"/>
          <w:numId w:val="20"/>
        </w:numPr>
        <w:spacing w:before="120" w:after="120" w:line="276" w:lineRule="auto"/>
        <w:contextualSpacing/>
      </w:pPr>
      <w:r>
        <w:lastRenderedPageBreak/>
        <w:t>Support plans related to health, such as</w:t>
      </w:r>
      <w:r w:rsidR="00471214">
        <w:t xml:space="preserve"> a mealtime management plan, diabetes management plan</w:t>
      </w:r>
      <w:r w:rsidR="00157C29">
        <w:t>,</w:t>
      </w:r>
      <w:r w:rsidR="00471214">
        <w:t xml:space="preserve"> epilepsy management plan</w:t>
      </w:r>
      <w:r w:rsidR="00985B20">
        <w:t xml:space="preserve"> or </w:t>
      </w:r>
      <w:r w:rsidR="00985B20" w:rsidRPr="00985B20">
        <w:t>emergency medication management plan</w:t>
      </w:r>
    </w:p>
    <w:p w14:paraId="0A78F88A" w14:textId="48BF6DB6" w:rsidR="00DB5FD7" w:rsidRDefault="00BC755B" w:rsidP="00471214">
      <w:pPr>
        <w:pStyle w:val="Bullet1"/>
        <w:numPr>
          <w:ilvl w:val="0"/>
          <w:numId w:val="20"/>
        </w:numPr>
        <w:spacing w:before="120" w:after="120" w:line="276" w:lineRule="auto"/>
        <w:contextualSpacing/>
      </w:pPr>
      <w:r>
        <w:t>Details about any assistive tec</w:t>
      </w:r>
      <w:r w:rsidR="005D1F6C">
        <w:t>hnology or devices, if required</w:t>
      </w:r>
    </w:p>
    <w:p w14:paraId="5DE36C45" w14:textId="77777777" w:rsidR="003135AD" w:rsidRDefault="003135AD" w:rsidP="00F523FF">
      <w:pPr>
        <w:pStyle w:val="Bullet1"/>
        <w:numPr>
          <w:ilvl w:val="0"/>
          <w:numId w:val="0"/>
        </w:numPr>
        <w:spacing w:before="120" w:after="120" w:line="276" w:lineRule="auto"/>
        <w:ind w:left="284" w:hanging="284"/>
        <w:contextualSpacing/>
      </w:pPr>
    </w:p>
    <w:p w14:paraId="78BD7E5C" w14:textId="550057A0" w:rsidR="003135AD" w:rsidRPr="00025F76" w:rsidRDefault="003135AD" w:rsidP="00F523FF">
      <w:pPr>
        <w:pStyle w:val="Bullet1"/>
        <w:numPr>
          <w:ilvl w:val="0"/>
          <w:numId w:val="0"/>
        </w:numPr>
        <w:spacing w:before="120" w:after="120" w:line="276" w:lineRule="auto"/>
        <w:ind w:left="284" w:hanging="284"/>
        <w:contextualSpacing/>
      </w:pPr>
      <w:r>
        <w:t xml:space="preserve">See </w:t>
      </w:r>
      <w:hyperlink w:anchor="_Resources_1" w:history="1">
        <w:r w:rsidRPr="006953D2">
          <w:rPr>
            <w:rStyle w:val="Hyperlink"/>
          </w:rPr>
          <w:t>Resources</w:t>
        </w:r>
      </w:hyperlink>
      <w:r>
        <w:t xml:space="preserve"> for more about what information </w:t>
      </w:r>
      <w:r w:rsidR="005D1F6C">
        <w:t>may be needed by the hospital</w:t>
      </w:r>
      <w:r>
        <w:t>.</w:t>
      </w:r>
    </w:p>
    <w:p w14:paraId="18A593D3" w14:textId="77777777" w:rsidR="007242F2" w:rsidRPr="00025F76" w:rsidRDefault="00157C29" w:rsidP="00164AB3">
      <w:pPr>
        <w:pStyle w:val="Heading2"/>
      </w:pPr>
      <w:r>
        <w:t>S</w:t>
      </w:r>
      <w:r w:rsidRPr="00025F76">
        <w:t>upport</w:t>
      </w:r>
      <w:r>
        <w:t>ing</w:t>
      </w:r>
      <w:r w:rsidRPr="00025F76">
        <w:t xml:space="preserve"> participants </w:t>
      </w:r>
      <w:r w:rsidR="00861687">
        <w:t>going home from hospital</w:t>
      </w:r>
    </w:p>
    <w:p w14:paraId="2324B7A2" w14:textId="77777777" w:rsidR="00DC0242" w:rsidRPr="00025F76" w:rsidRDefault="00DC0242" w:rsidP="00DC0242">
      <w:pPr>
        <w:pStyle w:val="Heading3"/>
      </w:pPr>
      <w:r>
        <w:t>A</w:t>
      </w:r>
      <w:r w:rsidRPr="00025F76">
        <w:t xml:space="preserve">ssess </w:t>
      </w:r>
      <w:r>
        <w:t>provider’s</w:t>
      </w:r>
      <w:r w:rsidRPr="00025F76">
        <w:t xml:space="preserve"> capacity to meet </w:t>
      </w:r>
      <w:r>
        <w:t>the participant’s support needs</w:t>
      </w:r>
    </w:p>
    <w:p w14:paraId="52A57B3F" w14:textId="36815970" w:rsidR="00DC0242" w:rsidRDefault="00DC0242" w:rsidP="00DC0242">
      <w:pPr>
        <w:pStyle w:val="Bullet1"/>
        <w:numPr>
          <w:ilvl w:val="0"/>
          <w:numId w:val="0"/>
        </w:numPr>
        <w:spacing w:before="120" w:after="120" w:line="276" w:lineRule="auto"/>
      </w:pPr>
      <w:r>
        <w:rPr>
          <w:bCs/>
        </w:rPr>
        <w:t xml:space="preserve">Providers should </w:t>
      </w:r>
      <w:r w:rsidRPr="00025F76">
        <w:rPr>
          <w:bCs/>
        </w:rPr>
        <w:t>understand any changes to the person’s ongoing care needs</w:t>
      </w:r>
      <w:r>
        <w:rPr>
          <w:bCs/>
        </w:rPr>
        <w:t xml:space="preserve"> before leaving the hospital. </w:t>
      </w:r>
      <w:r w:rsidRPr="00025F76">
        <w:rPr>
          <w:bCs/>
        </w:rPr>
        <w:t>Work with hospital staff to</w:t>
      </w:r>
      <w:r>
        <w:rPr>
          <w:bCs/>
        </w:rPr>
        <w:t xml:space="preserve"> ensure changes</w:t>
      </w:r>
      <w:r w:rsidR="006953D2">
        <w:rPr>
          <w:bCs/>
        </w:rPr>
        <w:t xml:space="preserve"> to the participant’s care or medication </w:t>
      </w:r>
      <w:r>
        <w:rPr>
          <w:bCs/>
        </w:rPr>
        <w:t xml:space="preserve">are understood. </w:t>
      </w:r>
      <w:r>
        <w:t>Providers can request written information about</w:t>
      </w:r>
      <w:r w:rsidRPr="00025F76">
        <w:t xml:space="preserve"> follow-up care </w:t>
      </w:r>
      <w:r>
        <w:t xml:space="preserve">to avoid miscommunication with the consent of the participant. </w:t>
      </w:r>
    </w:p>
    <w:p w14:paraId="3175FEF9" w14:textId="19CEE460" w:rsidR="00DC0242" w:rsidRPr="00E02352" w:rsidRDefault="00DC0242" w:rsidP="00E02352">
      <w:pPr>
        <w:pStyle w:val="Bullet1"/>
        <w:numPr>
          <w:ilvl w:val="0"/>
          <w:numId w:val="0"/>
        </w:numPr>
        <w:spacing w:before="120" w:after="120" w:line="276" w:lineRule="auto"/>
      </w:pPr>
      <w:r>
        <w:rPr>
          <w:rFonts w:eastAsia="Arial" w:cs="Arial"/>
        </w:rPr>
        <w:t xml:space="preserve">Providers will also need to </w:t>
      </w:r>
      <w:r w:rsidRPr="005D1F6C">
        <w:rPr>
          <w:rFonts w:eastAsia="Arial" w:cs="Arial"/>
        </w:rPr>
        <w:t>engage with</w:t>
      </w:r>
      <w:r w:rsidR="005D1F6C" w:rsidRPr="005D1F6C">
        <w:rPr>
          <w:rFonts w:eastAsia="Arial" w:cs="Arial"/>
        </w:rPr>
        <w:t xml:space="preserve"> hospital staff </w:t>
      </w:r>
      <w:r w:rsidR="005D1F6C">
        <w:rPr>
          <w:rFonts w:eastAsia="Arial" w:cs="Arial"/>
        </w:rPr>
        <w:t>and</w:t>
      </w:r>
      <w:r>
        <w:rPr>
          <w:rFonts w:eastAsia="Arial" w:cs="Arial"/>
        </w:rPr>
        <w:t xml:space="preserve"> undertake a risk assessment to consider if they can provide care safely. For example, new equipment or medication may be needed and staff may need additional training. </w:t>
      </w:r>
      <w:r>
        <w:t xml:space="preserve">Identify any support needs that </w:t>
      </w:r>
      <w:r w:rsidR="00AA14B8">
        <w:t xml:space="preserve">are </w:t>
      </w:r>
      <w:r>
        <w:t>classif</w:t>
      </w:r>
      <w:r w:rsidR="00AA14B8">
        <w:t>ied</w:t>
      </w:r>
      <w:r>
        <w:t xml:space="preserve"> as</w:t>
      </w:r>
      <w:r w:rsidR="00AD0CE1">
        <w:t xml:space="preserve"> ‘high intensity daily personal activities’</w:t>
      </w:r>
      <w:r>
        <w:t xml:space="preserve"> </w:t>
      </w:r>
      <w:r w:rsidR="00AD0CE1">
        <w:t>(</w:t>
      </w:r>
      <w:r>
        <w:t>HIDPA</w:t>
      </w:r>
      <w:r w:rsidR="00AD0CE1">
        <w:t>)</w:t>
      </w:r>
      <w:r>
        <w:t xml:space="preserve">, as they may require additional training in special skills and </w:t>
      </w:r>
      <w:r w:rsidRPr="005D1F6C">
        <w:t>assessment of specific modules</w:t>
      </w:r>
      <w:r>
        <w:t xml:space="preserve"> of the Practice Standards. </w:t>
      </w:r>
      <w:r w:rsidRPr="005D1F6C">
        <w:t>Providers</w:t>
      </w:r>
      <w:r w:rsidR="00AD0CE1">
        <w:t xml:space="preserve"> can</w:t>
      </w:r>
      <w:r w:rsidRPr="005D1F6C">
        <w:t xml:space="preserve"> </w:t>
      </w:r>
      <w:r w:rsidR="005D1F6C">
        <w:t xml:space="preserve">check the </w:t>
      </w:r>
      <w:r w:rsidRPr="005D1F6C">
        <w:t xml:space="preserve">NDIS Commission </w:t>
      </w:r>
      <w:r w:rsidR="005D1F6C">
        <w:t xml:space="preserve">website </w:t>
      </w:r>
      <w:r w:rsidRPr="005D1F6C">
        <w:t xml:space="preserve">for more </w:t>
      </w:r>
      <w:hyperlink r:id="rId14" w:history="1">
        <w:r w:rsidR="005D1F6C" w:rsidRPr="005D1F6C">
          <w:rPr>
            <w:rStyle w:val="Hyperlink"/>
          </w:rPr>
          <w:t>information on registration</w:t>
        </w:r>
      </w:hyperlink>
      <w:r w:rsidRPr="005D1F6C">
        <w:t>.</w:t>
      </w:r>
      <w:r>
        <w:t xml:space="preserve"> For more details on HIDPA skills, see the </w:t>
      </w:r>
      <w:hyperlink r:id="rId15" w:history="1">
        <w:r w:rsidRPr="008D107D">
          <w:rPr>
            <w:rStyle w:val="Hyperlink"/>
          </w:rPr>
          <w:t>High Intensity Support Skills Descriptors</w:t>
        </w:r>
      </w:hyperlink>
      <w:r>
        <w:t>.</w:t>
      </w:r>
    </w:p>
    <w:p w14:paraId="16C35D31" w14:textId="2C7AB840" w:rsidR="00DC0242" w:rsidRPr="001D69B8" w:rsidRDefault="00DC0242" w:rsidP="00E02352">
      <w:pPr>
        <w:spacing w:before="120" w:after="120" w:line="276" w:lineRule="auto"/>
      </w:pPr>
      <w:r w:rsidRPr="00025F76">
        <w:t>If</w:t>
      </w:r>
      <w:r>
        <w:t xml:space="preserve"> a</w:t>
      </w:r>
      <w:r w:rsidRPr="00025F76">
        <w:t xml:space="preserve"> </w:t>
      </w:r>
      <w:r>
        <w:t>provider</w:t>
      </w:r>
      <w:r w:rsidRPr="00025F76">
        <w:t xml:space="preserve"> cannot provide </w:t>
      </w:r>
      <w:r>
        <w:t>supports safely or is not registered to do so</w:t>
      </w:r>
      <w:r w:rsidRPr="00025F76">
        <w:t xml:space="preserve">, </w:t>
      </w:r>
      <w:r>
        <w:t>this</w:t>
      </w:r>
      <w:r w:rsidRPr="00025F76">
        <w:t xml:space="preserve"> must</w:t>
      </w:r>
      <w:r>
        <w:t xml:space="preserve"> be</w:t>
      </w:r>
      <w:r w:rsidRPr="00025F76">
        <w:t xml:space="preserve"> clearly communicate</w:t>
      </w:r>
      <w:r>
        <w:t>d</w:t>
      </w:r>
      <w:r w:rsidRPr="00025F76">
        <w:t xml:space="preserve"> to hospital staff as </w:t>
      </w:r>
      <w:r w:rsidRPr="00025F76">
        <w:rPr>
          <w:color w:val="auto"/>
        </w:rPr>
        <w:t>soon as possible</w:t>
      </w:r>
      <w:r w:rsidRPr="00025F76">
        <w:t>.</w:t>
      </w:r>
      <w:r>
        <w:t xml:space="preserve"> </w:t>
      </w:r>
      <w:r w:rsidRPr="00025F76">
        <w:rPr>
          <w:bCs/>
        </w:rPr>
        <w:t xml:space="preserve">Early and ongoing communication with hospital staff, the participant, and support </w:t>
      </w:r>
      <w:r>
        <w:rPr>
          <w:bCs/>
        </w:rPr>
        <w:t>network</w:t>
      </w:r>
      <w:r w:rsidRPr="00025F76">
        <w:rPr>
          <w:bCs/>
        </w:rPr>
        <w:t xml:space="preserve"> can prevent delays in </w:t>
      </w:r>
      <w:r>
        <w:rPr>
          <w:bCs/>
        </w:rPr>
        <w:t xml:space="preserve">participants </w:t>
      </w:r>
      <w:r w:rsidR="00122393">
        <w:rPr>
          <w:bCs/>
        </w:rPr>
        <w:t>being discharged from</w:t>
      </w:r>
      <w:r w:rsidR="00122393" w:rsidRPr="00025F76">
        <w:rPr>
          <w:bCs/>
        </w:rPr>
        <w:t xml:space="preserve"> </w:t>
      </w:r>
      <w:r w:rsidRPr="00025F76">
        <w:rPr>
          <w:bCs/>
        </w:rPr>
        <w:t>hospital and reduce risk to participants following discharge.</w:t>
      </w:r>
      <w:r w:rsidRPr="00471214">
        <w:t xml:space="preserve"> </w:t>
      </w:r>
    </w:p>
    <w:p w14:paraId="5FDAE642" w14:textId="77777777" w:rsidR="001171CB" w:rsidRPr="00025F76" w:rsidRDefault="00DC0242" w:rsidP="00164AB3">
      <w:pPr>
        <w:pStyle w:val="Heading3"/>
      </w:pPr>
      <w:r>
        <w:t>Information</w:t>
      </w:r>
      <w:r w:rsidRPr="00025F76">
        <w:t xml:space="preserve"> </w:t>
      </w:r>
      <w:r w:rsidR="001171CB" w:rsidRPr="00025F76">
        <w:t>for discharge from the hospital</w:t>
      </w:r>
    </w:p>
    <w:p w14:paraId="6BC05A6D" w14:textId="54C56CE3" w:rsidR="00DC0242" w:rsidRDefault="00E54BD2" w:rsidP="00DC0242">
      <w:pPr>
        <w:spacing w:before="120" w:after="120" w:line="276" w:lineRule="auto"/>
      </w:pPr>
      <w:r w:rsidRPr="00025F76">
        <w:rPr>
          <w:bCs/>
        </w:rPr>
        <w:t>P</w:t>
      </w:r>
      <w:r w:rsidR="00E6274D" w:rsidRPr="00025F76">
        <w:rPr>
          <w:bCs/>
        </w:rPr>
        <w:t>lan</w:t>
      </w:r>
      <w:r w:rsidR="00D917C0" w:rsidRPr="00025F76">
        <w:rPr>
          <w:bCs/>
        </w:rPr>
        <w:t xml:space="preserve"> for</w:t>
      </w:r>
      <w:r w:rsidR="00E6274D" w:rsidRPr="00025F76">
        <w:rPr>
          <w:bCs/>
        </w:rPr>
        <w:t xml:space="preserve"> </w:t>
      </w:r>
      <w:r w:rsidRPr="00025F76">
        <w:rPr>
          <w:bCs/>
        </w:rPr>
        <w:t xml:space="preserve">the </w:t>
      </w:r>
      <w:r w:rsidR="00E6274D" w:rsidRPr="00025F76">
        <w:rPr>
          <w:bCs/>
        </w:rPr>
        <w:t>participant’s</w:t>
      </w:r>
      <w:r w:rsidR="00D917C0" w:rsidRPr="00025F76">
        <w:rPr>
          <w:bCs/>
        </w:rPr>
        <w:t xml:space="preserve"> </w:t>
      </w:r>
      <w:r w:rsidR="00122393">
        <w:rPr>
          <w:bCs/>
        </w:rPr>
        <w:t xml:space="preserve">discharge from </w:t>
      </w:r>
      <w:r w:rsidRPr="00025F76">
        <w:rPr>
          <w:bCs/>
        </w:rPr>
        <w:t xml:space="preserve">hospital </w:t>
      </w:r>
      <w:r w:rsidR="00E6274D" w:rsidRPr="00025F76">
        <w:rPr>
          <w:bCs/>
        </w:rPr>
        <w:t xml:space="preserve">in consultation with </w:t>
      </w:r>
      <w:r w:rsidR="00C91700">
        <w:rPr>
          <w:bCs/>
        </w:rPr>
        <w:t>hospital staff</w:t>
      </w:r>
      <w:r w:rsidR="00231C2F" w:rsidRPr="00025F76">
        <w:rPr>
          <w:bCs/>
        </w:rPr>
        <w:t xml:space="preserve"> as early as possible</w:t>
      </w:r>
      <w:r w:rsidR="00DC0242">
        <w:rPr>
          <w:bCs/>
        </w:rPr>
        <w:t>.</w:t>
      </w:r>
      <w:r w:rsidR="00EE6A68" w:rsidRPr="00EE6A68">
        <w:t xml:space="preserve"> </w:t>
      </w:r>
      <w:r w:rsidR="005D1F6C">
        <w:t>T</w:t>
      </w:r>
      <w:r w:rsidR="00DC0242">
        <w:t>his inf</w:t>
      </w:r>
      <w:r w:rsidR="005D1F6C">
        <w:t>ormation should be made available to</w:t>
      </w:r>
      <w:r w:rsidR="00DC0242">
        <w:t xml:space="preserve"> the participant</w:t>
      </w:r>
      <w:r w:rsidR="00DC0242" w:rsidRPr="00025F76">
        <w:t xml:space="preserve"> in </w:t>
      </w:r>
      <w:r w:rsidR="00DC0242">
        <w:t>an accessible format.</w:t>
      </w:r>
    </w:p>
    <w:p w14:paraId="4F64CDF5" w14:textId="287D008A" w:rsidR="005D1F6C" w:rsidRPr="00025F76" w:rsidRDefault="00D9507C" w:rsidP="005D1F6C">
      <w:pPr>
        <w:spacing w:before="120" w:after="120" w:line="276" w:lineRule="auto"/>
        <w:rPr>
          <w:bCs/>
        </w:rPr>
      </w:pPr>
      <w:r>
        <w:rPr>
          <w:bCs/>
        </w:rPr>
        <w:t>Providers should check with</w:t>
      </w:r>
      <w:r w:rsidR="005D1F6C" w:rsidRPr="005D1F6C">
        <w:rPr>
          <w:bCs/>
        </w:rPr>
        <w:t xml:space="preserve"> health care staff as these documents may be called something different in your local area.</w:t>
      </w:r>
      <w:r>
        <w:rPr>
          <w:bCs/>
        </w:rPr>
        <w:t xml:space="preserve"> Some of this information may be coordinated and communicated through services outside the hospital. </w:t>
      </w:r>
      <w:hyperlink w:anchor="_Support_services_for" w:history="1">
        <w:r w:rsidRPr="00D9507C">
          <w:rPr>
            <w:rStyle w:val="Hyperlink"/>
            <w:bCs/>
          </w:rPr>
          <w:t>See support services for transitions of care below</w:t>
        </w:r>
      </w:hyperlink>
      <w:r>
        <w:rPr>
          <w:bCs/>
        </w:rPr>
        <w:t>.</w:t>
      </w:r>
    </w:p>
    <w:p w14:paraId="4D59E961" w14:textId="322AC24F" w:rsidR="00DC0242" w:rsidRDefault="00DC0242" w:rsidP="00DC0242">
      <w:pPr>
        <w:spacing w:before="120" w:after="120" w:line="276" w:lineRule="auto"/>
        <w:rPr>
          <w:bCs/>
        </w:rPr>
      </w:pPr>
      <w:r>
        <w:t>Documentation</w:t>
      </w:r>
      <w:r w:rsidR="00D9507C">
        <w:t xml:space="preserve"> and information</w:t>
      </w:r>
      <w:r>
        <w:rPr>
          <w:bCs/>
        </w:rPr>
        <w:t xml:space="preserve"> to request from the hospital may include</w:t>
      </w:r>
      <w:r w:rsidRPr="00025F76">
        <w:rPr>
          <w:bCs/>
        </w:rPr>
        <w:t xml:space="preserve">: </w:t>
      </w:r>
    </w:p>
    <w:p w14:paraId="7890F617" w14:textId="5F7CC829" w:rsidR="00DC0242" w:rsidRPr="00025F76" w:rsidRDefault="00DC0242" w:rsidP="00DC0242">
      <w:pPr>
        <w:pStyle w:val="Bullet1"/>
        <w:numPr>
          <w:ilvl w:val="0"/>
          <w:numId w:val="22"/>
        </w:numPr>
        <w:spacing w:before="120" w:after="120" w:line="276" w:lineRule="auto"/>
        <w:contextualSpacing/>
      </w:pPr>
      <w:r>
        <w:t>Discharge summary</w:t>
      </w:r>
      <w:r w:rsidRPr="00025F76">
        <w:t xml:space="preserve">: </w:t>
      </w:r>
      <w:r>
        <w:t xml:space="preserve">a </w:t>
      </w:r>
      <w:r w:rsidRPr="00025F76">
        <w:t>summary of the medical care the person received in hospital</w:t>
      </w:r>
      <w:r>
        <w:t>, any needed follow-up such as outpatient services or Allied Health services and medication</w:t>
      </w:r>
      <w:r w:rsidR="00AD0CE1">
        <w:t>.</w:t>
      </w:r>
    </w:p>
    <w:p w14:paraId="6C3DC22B" w14:textId="5117BC89" w:rsidR="00DC0242" w:rsidRPr="00025F76" w:rsidRDefault="00DC0242" w:rsidP="00DC0242">
      <w:pPr>
        <w:pStyle w:val="Bullet1"/>
        <w:numPr>
          <w:ilvl w:val="0"/>
          <w:numId w:val="22"/>
        </w:numPr>
        <w:spacing w:before="120" w:after="120" w:line="276" w:lineRule="auto"/>
        <w:contextualSpacing/>
      </w:pPr>
      <w:r w:rsidRPr="00025F76">
        <w:t>Care plan</w:t>
      </w:r>
      <w:r>
        <w:t xml:space="preserve"> or discharge plan</w:t>
      </w:r>
      <w:r w:rsidRPr="00025F76">
        <w:t xml:space="preserve">: </w:t>
      </w:r>
      <w:r>
        <w:t xml:space="preserve">a detailed discharge plan for </w:t>
      </w:r>
      <w:r w:rsidRPr="00025F76">
        <w:t>follow-up appointments with medical specialists, care recommendations for the person’s regular health care providers such as their GP, and any other required health or social requirements</w:t>
      </w:r>
      <w:r w:rsidR="00AD0CE1">
        <w:t>.</w:t>
      </w:r>
    </w:p>
    <w:p w14:paraId="184EE888" w14:textId="16A8C656" w:rsidR="00DC0242" w:rsidRDefault="00DC0242" w:rsidP="00DC0242">
      <w:pPr>
        <w:pStyle w:val="Bullet1"/>
        <w:numPr>
          <w:ilvl w:val="0"/>
          <w:numId w:val="22"/>
        </w:numPr>
        <w:spacing w:before="120" w:after="120" w:line="276" w:lineRule="auto"/>
        <w:contextualSpacing/>
      </w:pPr>
      <w:r w:rsidRPr="00025F76">
        <w:t xml:space="preserve">Medication summary: </w:t>
      </w:r>
      <w:r>
        <w:t xml:space="preserve">a </w:t>
      </w:r>
      <w:r w:rsidRPr="00025F76">
        <w:t>list of current medications, including information about any new or changed medications</w:t>
      </w:r>
      <w:r>
        <w:t xml:space="preserve"> and dates for</w:t>
      </w:r>
      <w:r w:rsidR="00D9507C">
        <w:t xml:space="preserve"> the next medication</w:t>
      </w:r>
      <w:r>
        <w:t xml:space="preserve"> review</w:t>
      </w:r>
      <w:r w:rsidR="00AD0CE1">
        <w:t>.</w:t>
      </w:r>
    </w:p>
    <w:p w14:paraId="263B5517" w14:textId="63CDA0AA" w:rsidR="00DC0242" w:rsidRPr="00D9507C" w:rsidRDefault="00DC0242" w:rsidP="00DC0242">
      <w:pPr>
        <w:pStyle w:val="Bullet1"/>
        <w:numPr>
          <w:ilvl w:val="0"/>
          <w:numId w:val="22"/>
        </w:numPr>
        <w:spacing w:before="120" w:after="120" w:line="276" w:lineRule="auto"/>
        <w:contextualSpacing/>
      </w:pPr>
      <w:r w:rsidRPr="00D9507C">
        <w:lastRenderedPageBreak/>
        <w:t>Details about equipment</w:t>
      </w:r>
      <w:r w:rsidR="00D9507C">
        <w:t xml:space="preserve"> or devices</w:t>
      </w:r>
      <w:r w:rsidRPr="00D9507C">
        <w:t xml:space="preserve">, for example, how equipment will be </w:t>
      </w:r>
      <w:r w:rsidR="00D9507C">
        <w:t>hired or purchased, who will be responsible for coordinating training for new equipment and what maintenance will be required</w:t>
      </w:r>
      <w:r w:rsidR="00AD0CE1">
        <w:t>.</w:t>
      </w:r>
    </w:p>
    <w:p w14:paraId="4D3C2939" w14:textId="62998846" w:rsidR="00DC0242" w:rsidRPr="00025F76" w:rsidRDefault="00DC0242">
      <w:pPr>
        <w:pStyle w:val="Bullet1"/>
        <w:numPr>
          <w:ilvl w:val="0"/>
          <w:numId w:val="22"/>
        </w:numPr>
        <w:spacing w:before="120" w:after="120" w:line="276" w:lineRule="auto"/>
        <w:contextualSpacing/>
      </w:pPr>
      <w:r w:rsidRPr="00025F76">
        <w:t>R</w:t>
      </w:r>
      <w:r>
        <w:t>eferrals to outpatient rehabilitation services such as social or support groups and h</w:t>
      </w:r>
      <w:r w:rsidRPr="00025F76">
        <w:t>ome assessments for equipment</w:t>
      </w:r>
      <w:r>
        <w:t xml:space="preserve"> or</w:t>
      </w:r>
      <w:r w:rsidRPr="00025F76">
        <w:t xml:space="preserve"> modifications</w:t>
      </w:r>
      <w:r w:rsidR="00AD0CE1">
        <w:t>.</w:t>
      </w:r>
    </w:p>
    <w:p w14:paraId="18064FB1" w14:textId="77777777" w:rsidR="00A1265A" w:rsidRDefault="00BB3DDD" w:rsidP="001429F9">
      <w:pPr>
        <w:pStyle w:val="Heading2"/>
      </w:pPr>
      <w:bookmarkStart w:id="0" w:name="_Support_services_for"/>
      <w:bookmarkEnd w:id="0"/>
      <w:r>
        <w:t>S</w:t>
      </w:r>
      <w:r w:rsidR="00A1265A">
        <w:t xml:space="preserve">upport </w:t>
      </w:r>
      <w:r>
        <w:t xml:space="preserve">services </w:t>
      </w:r>
      <w:r w:rsidR="00A1265A">
        <w:t>for transitions of care</w:t>
      </w:r>
    </w:p>
    <w:p w14:paraId="452C06ED" w14:textId="15FAA7A2" w:rsidR="00A1265A" w:rsidRDefault="00A1265A" w:rsidP="001429F9">
      <w:r>
        <w:t xml:space="preserve">Depending on the circumstance, there may be services and supports that help with coordinating </w:t>
      </w:r>
      <w:r w:rsidR="005B4D02">
        <w:t xml:space="preserve">the </w:t>
      </w:r>
      <w:r>
        <w:t>transition of care</w:t>
      </w:r>
      <w:r w:rsidR="00BB3DDD">
        <w:t>.</w:t>
      </w:r>
    </w:p>
    <w:p w14:paraId="7497BBF5" w14:textId="74179E15" w:rsidR="00A1265A" w:rsidRDefault="00A1265A" w:rsidP="001429F9">
      <w:r>
        <w:rPr>
          <w:b/>
        </w:rPr>
        <w:t xml:space="preserve">Support </w:t>
      </w:r>
      <w:r w:rsidR="00BB3DDD">
        <w:rPr>
          <w:b/>
        </w:rPr>
        <w:t>c</w:t>
      </w:r>
      <w:r>
        <w:rPr>
          <w:b/>
        </w:rPr>
        <w:t xml:space="preserve">oordinator: </w:t>
      </w:r>
      <w:r>
        <w:t xml:space="preserve">If a participant has </w:t>
      </w:r>
      <w:proofErr w:type="gramStart"/>
      <w:r>
        <w:t>a</w:t>
      </w:r>
      <w:r w:rsidR="00AD0CE1">
        <w:t>n</w:t>
      </w:r>
      <w:proofErr w:type="gramEnd"/>
      <w:r w:rsidR="00AD0CE1">
        <w:t xml:space="preserve"> NDIS-</w:t>
      </w:r>
      <w:r>
        <w:t>funded support coordinator, they can help with things such as organising new equipment and training for staff.</w:t>
      </w:r>
    </w:p>
    <w:p w14:paraId="7C12AA40" w14:textId="112F9221" w:rsidR="00A1265A" w:rsidRDefault="00E76C76" w:rsidP="001429F9">
      <w:r>
        <w:rPr>
          <w:b/>
        </w:rPr>
        <w:t>Case coordinator</w:t>
      </w:r>
      <w:r w:rsidR="00AD0CE1">
        <w:rPr>
          <w:b/>
        </w:rPr>
        <w:t xml:space="preserve"> or social worker</w:t>
      </w:r>
      <w:r w:rsidR="00A1265A">
        <w:rPr>
          <w:b/>
        </w:rPr>
        <w:t xml:space="preserve">: </w:t>
      </w:r>
      <w:r w:rsidR="00A1265A">
        <w:t xml:space="preserve">Some hospitals have </w:t>
      </w:r>
      <w:r w:rsidR="007859D4">
        <w:t xml:space="preserve">dedicated </w:t>
      </w:r>
      <w:r>
        <w:t xml:space="preserve">staff to </w:t>
      </w:r>
      <w:r w:rsidR="007859D4">
        <w:t>help coordinate complex arrangements. Check with your hospital service to see if these supports are available to you.</w:t>
      </w:r>
    </w:p>
    <w:p w14:paraId="731A4A04" w14:textId="0E384A4D" w:rsidR="000C3BEC" w:rsidRPr="000C3BEC" w:rsidRDefault="007859D4" w:rsidP="000C3BEC">
      <w:r>
        <w:rPr>
          <w:b/>
        </w:rPr>
        <w:t>Patient advocacy services:</w:t>
      </w:r>
      <w:r>
        <w:t xml:space="preserve"> Most states have some form of independent patient advocacy service. These services may help to assist in advocating and coordinating care both in hospital and </w:t>
      </w:r>
      <w:r w:rsidR="005B4D02">
        <w:t xml:space="preserve">during </w:t>
      </w:r>
      <w:r>
        <w:t>transition</w:t>
      </w:r>
      <w:r w:rsidR="005B4D02">
        <w:t>s</w:t>
      </w:r>
      <w:r>
        <w:t xml:space="preserve"> </w:t>
      </w:r>
      <w:r w:rsidR="005B4D02">
        <w:t xml:space="preserve">between </w:t>
      </w:r>
      <w:r>
        <w:t>hospital</w:t>
      </w:r>
      <w:r w:rsidR="005B4D02">
        <w:t xml:space="preserve"> and home</w:t>
      </w:r>
      <w:r>
        <w:t xml:space="preserve">. </w:t>
      </w:r>
    </w:p>
    <w:p w14:paraId="52966387" w14:textId="77777777" w:rsidR="00247DAE" w:rsidRDefault="00247DAE" w:rsidP="00861687">
      <w:pPr>
        <w:pStyle w:val="Heading2"/>
      </w:pPr>
      <w:bookmarkStart w:id="1" w:name="_Resources_1"/>
      <w:bookmarkEnd w:id="1"/>
      <w:r>
        <w:t xml:space="preserve">Resources </w:t>
      </w:r>
    </w:p>
    <w:p w14:paraId="6E75176B" w14:textId="7DF22226" w:rsidR="00247DAE" w:rsidRDefault="00247DAE" w:rsidP="00BB3DDD">
      <w:pPr>
        <w:pStyle w:val="Heading3"/>
      </w:pPr>
      <w:r>
        <w:t xml:space="preserve">Record-keeping and </w:t>
      </w:r>
      <w:r w:rsidR="00596488">
        <w:t>communication resources</w:t>
      </w:r>
    </w:p>
    <w:p w14:paraId="1D105ADC" w14:textId="77777777" w:rsidR="00247DAE" w:rsidRDefault="00247DAE" w:rsidP="00F523FF">
      <w:pPr>
        <w:pStyle w:val="Bullet1"/>
      </w:pPr>
      <w:hyperlink r:id="rId16" w:history="1">
        <w:r>
          <w:rPr>
            <w:rStyle w:val="Hyperlink"/>
          </w:rPr>
          <w:t>The A2D Together</w:t>
        </w:r>
      </w:hyperlink>
      <w:r>
        <w:t xml:space="preserve"> is a tool to </w:t>
      </w:r>
      <w:r w:rsidRPr="00967E59">
        <w:t xml:space="preserve">improve the hospital experiences of people with a cognitive disability, their </w:t>
      </w:r>
      <w:proofErr w:type="spellStart"/>
      <w:r w:rsidRPr="00967E59">
        <w:t>carers</w:t>
      </w:r>
      <w:proofErr w:type="spellEnd"/>
      <w:r w:rsidRPr="00967E59">
        <w:t>, familie</w:t>
      </w:r>
      <w:r>
        <w:t>s and disability support staff.</w:t>
      </w:r>
    </w:p>
    <w:p w14:paraId="177A6E7C" w14:textId="606FA085" w:rsidR="00247DAE" w:rsidRDefault="00247DAE" w:rsidP="00F523FF">
      <w:pPr>
        <w:pStyle w:val="Bullet1"/>
      </w:pPr>
      <w:hyperlink r:id="rId17" w:history="1">
        <w:r>
          <w:rPr>
            <w:rStyle w:val="Hyperlink"/>
          </w:rPr>
          <w:t>Hospital Stay Guidelines</w:t>
        </w:r>
      </w:hyperlink>
      <w:r>
        <w:t xml:space="preserve"> includes a </w:t>
      </w:r>
      <w:r w:rsidR="00D46998">
        <w:t>‘</w:t>
      </w:r>
      <w:r>
        <w:t>Going to Hospital Checklist</w:t>
      </w:r>
      <w:r w:rsidR="00D46998">
        <w:t>’</w:t>
      </w:r>
      <w:r>
        <w:t xml:space="preserve"> to help ensure all important information, medication and personal items are packed when going to hospital and information on discharge plans</w:t>
      </w:r>
      <w:r w:rsidR="00D46998">
        <w:t>.</w:t>
      </w:r>
    </w:p>
    <w:p w14:paraId="4EED463D" w14:textId="77777777" w:rsidR="00247DAE" w:rsidRDefault="00BB3DDD" w:rsidP="00F523FF">
      <w:pPr>
        <w:pStyle w:val="Bullet1"/>
      </w:pPr>
      <w:hyperlink r:id="rId18" w:history="1">
        <w:r>
          <w:rPr>
            <w:rStyle w:val="Hyperlink"/>
          </w:rPr>
          <w:t>Manage My Care</w:t>
        </w:r>
      </w:hyperlink>
      <w:r w:rsidR="00247DAE">
        <w:t xml:space="preserve"> is a discharge planning app for use across Western Australia.</w:t>
      </w:r>
    </w:p>
    <w:p w14:paraId="7FAC7F07" w14:textId="77777777" w:rsidR="00DC0242" w:rsidRPr="00596488" w:rsidRDefault="00DC0242" w:rsidP="00F523FF">
      <w:pPr>
        <w:pStyle w:val="Bullet1"/>
        <w:rPr>
          <w:rFonts w:cstheme="minorHAnsi"/>
          <w:sz w:val="24"/>
        </w:rPr>
      </w:pPr>
      <w:hyperlink r:id="rId19" w:history="1">
        <w:r w:rsidRPr="00E76C76">
          <w:rPr>
            <w:rStyle w:val="Hyperlink"/>
            <w:rFonts w:cstheme="minorHAnsi"/>
          </w:rPr>
          <w:t>My Health My Communication</w:t>
        </w:r>
      </w:hyperlink>
      <w:r w:rsidRPr="00E76C76">
        <w:rPr>
          <w:rFonts w:cstheme="minorHAnsi"/>
        </w:rPr>
        <w:t xml:space="preserve"> is a set of resources for recording and communicating important health information with hospital staff.</w:t>
      </w:r>
    </w:p>
    <w:p w14:paraId="0487C877" w14:textId="77777777" w:rsidR="00596488" w:rsidRDefault="00596488" w:rsidP="00596488">
      <w:pPr>
        <w:pStyle w:val="Bullet1"/>
        <w:rPr>
          <w:rStyle w:val="Hyperlink"/>
        </w:rPr>
      </w:pPr>
      <w:hyperlink r:id="rId20" w:history="1">
        <w:r>
          <w:rPr>
            <w:rStyle w:val="Hyperlink"/>
          </w:rPr>
          <w:t>Say Less Show More</w:t>
        </w:r>
      </w:hyperlink>
      <w:r w:rsidRPr="008324C5">
        <w:t xml:space="preserve"> (SLSM) initiative seeks to provide this support with a series of simple photo stories (visuals) explaining the steps involved in common medical procedures.</w:t>
      </w:r>
    </w:p>
    <w:p w14:paraId="6B610849" w14:textId="1507B87E" w:rsidR="00596488" w:rsidRPr="00596488" w:rsidRDefault="00596488" w:rsidP="00596488">
      <w:pPr>
        <w:pStyle w:val="Bullet1"/>
      </w:pPr>
      <w:hyperlink r:id="rId21" w:history="1">
        <w:r>
          <w:rPr>
            <w:rStyle w:val="Hyperlink"/>
          </w:rPr>
          <w:t>Health Services fact sheet for adults - Council for Intellectual Disability</w:t>
        </w:r>
      </w:hyperlink>
      <w:r>
        <w:rPr>
          <w:rStyle w:val="Hyperlink"/>
          <w:u w:val="none"/>
        </w:rPr>
        <w:t xml:space="preserve"> </w:t>
      </w:r>
      <w:r w:rsidRPr="00861687">
        <w:rPr>
          <w:rStyle w:val="Hyperlink"/>
          <w:color w:val="auto"/>
          <w:u w:val="none"/>
        </w:rPr>
        <w:t>is an</w:t>
      </w:r>
      <w:r w:rsidRPr="00861687">
        <w:rPr>
          <w:color w:val="auto"/>
        </w:rPr>
        <w:t xml:space="preserve"> </w:t>
      </w:r>
      <w:r>
        <w:t>Easy Read fact sheet about different health services, allied health professionals and doctors.</w:t>
      </w:r>
    </w:p>
    <w:p w14:paraId="17922CD3" w14:textId="763D061C" w:rsidR="00247DAE" w:rsidRDefault="00247DAE" w:rsidP="00F523FF">
      <w:pPr>
        <w:pStyle w:val="Heading3"/>
      </w:pPr>
      <w:r>
        <w:t>Information</w:t>
      </w:r>
      <w:r w:rsidR="00E76C76">
        <w:t xml:space="preserve"> about accessing health services</w:t>
      </w:r>
      <w:r>
        <w:t xml:space="preserve"> for participants, families and providers</w:t>
      </w:r>
    </w:p>
    <w:p w14:paraId="5DCE691A" w14:textId="761B9683" w:rsidR="00247DAE" w:rsidRDefault="00BB3DDD" w:rsidP="00F523FF">
      <w:pPr>
        <w:pStyle w:val="Bullet1"/>
      </w:pPr>
      <w:hyperlink r:id="rId22" w:history="1">
        <w:r w:rsidRPr="00BB3DDD">
          <w:rPr>
            <w:rStyle w:val="Hyperlink"/>
          </w:rPr>
          <w:t>Building capability in NSW health services for people with intellectual disability: the Essentials</w:t>
        </w:r>
      </w:hyperlink>
      <w:r w:rsidR="00247DAE">
        <w:t xml:space="preserve"> </w:t>
      </w:r>
      <w:r w:rsidR="00247DAE" w:rsidRPr="008D04C5">
        <w:t xml:space="preserve">will guide health services staff and other service providers to better understand and meet the complex and multiple health needs of people with an intellectual disability and their </w:t>
      </w:r>
      <w:proofErr w:type="spellStart"/>
      <w:r w:rsidR="00247DAE" w:rsidRPr="008D04C5">
        <w:t>carers</w:t>
      </w:r>
      <w:proofErr w:type="spellEnd"/>
      <w:r w:rsidR="00247DAE" w:rsidRPr="008D04C5">
        <w:t>.</w:t>
      </w:r>
    </w:p>
    <w:p w14:paraId="52A2EB1A" w14:textId="4C11FFA8" w:rsidR="00247DAE" w:rsidRDefault="00247DAE" w:rsidP="00F523FF">
      <w:pPr>
        <w:pStyle w:val="Bullet1"/>
      </w:pPr>
      <w:hyperlink r:id="rId23" w:history="1">
        <w:r>
          <w:rPr>
            <w:rStyle w:val="Hyperlink"/>
          </w:rPr>
          <w:t>Communicating with your healthcare provider when you are in hospital</w:t>
        </w:r>
      </w:hyperlink>
      <w:r>
        <w:t xml:space="preserve"> is a fact sheet about ways to communicate with your healthcare provider when in hospital</w:t>
      </w:r>
      <w:r w:rsidR="00AF3284">
        <w:t>.</w:t>
      </w:r>
    </w:p>
    <w:p w14:paraId="69899E1B" w14:textId="1A266F74" w:rsidR="00E76C76" w:rsidRDefault="00E76C76" w:rsidP="00F523FF">
      <w:pPr>
        <w:pStyle w:val="Bullet1"/>
      </w:pPr>
      <w:hyperlink r:id="rId24" w:history="1">
        <w:r>
          <w:rPr>
            <w:rStyle w:val="Hyperlink"/>
          </w:rPr>
          <w:t>Hospital inclusion</w:t>
        </w:r>
      </w:hyperlink>
      <w:r>
        <w:t xml:space="preserve"> </w:t>
      </w:r>
      <w:r w:rsidR="00AD0CE1">
        <w:t xml:space="preserve">are </w:t>
      </w:r>
      <w:r>
        <w:t>video resources from Latrobe University for people with intellectual disability and their supporters.</w:t>
      </w:r>
    </w:p>
    <w:p w14:paraId="4F222A6C" w14:textId="77777777" w:rsidR="00247DAE" w:rsidRDefault="00247DAE" w:rsidP="00F523FF">
      <w:pPr>
        <w:pStyle w:val="Bullet1"/>
      </w:pPr>
      <w:hyperlink r:id="rId25" w:history="1">
        <w:r>
          <w:rPr>
            <w:rStyle w:val="Hyperlink"/>
          </w:rPr>
          <w:t>Intellectual Disability Training Videos</w:t>
        </w:r>
      </w:hyperlink>
      <w:r>
        <w:rPr>
          <w:rStyle w:val="Hyperlink"/>
        </w:rPr>
        <w:t xml:space="preserve"> </w:t>
      </w:r>
      <w:r w:rsidR="00AF3284">
        <w:t>is a</w:t>
      </w:r>
      <w:r w:rsidRPr="00165738">
        <w:t xml:space="preserve"> series of </w:t>
      </w:r>
      <w:r>
        <w:t xml:space="preserve">training </w:t>
      </w:r>
      <w:r w:rsidRPr="00165738">
        <w:t>videos designed to help health professionals understand the care needs of a person with intellectual d</w:t>
      </w:r>
      <w:r>
        <w:t>isability.</w:t>
      </w:r>
    </w:p>
    <w:p w14:paraId="6CC2533D" w14:textId="77777777" w:rsidR="00301E05" w:rsidRDefault="00301E05" w:rsidP="00F523FF">
      <w:pPr>
        <w:pStyle w:val="Bullet1"/>
      </w:pPr>
      <w:hyperlink r:id="rId26" w:history="1">
        <w:r>
          <w:rPr>
            <w:rStyle w:val="Hyperlink"/>
          </w:rPr>
          <w:t>A Quick Reference Guide to Hospital Care for People with Disability</w:t>
        </w:r>
      </w:hyperlink>
      <w:r w:rsidRPr="001C0143">
        <w:t xml:space="preserve"> describes the implications a person’s disability may</w:t>
      </w:r>
      <w:r>
        <w:t xml:space="preserve"> have on their stay in hospital from </w:t>
      </w:r>
      <w:r w:rsidRPr="001C0143">
        <w:t>admission, in-patient care, and discharge</w:t>
      </w:r>
      <w:r>
        <w:t>.</w:t>
      </w:r>
    </w:p>
    <w:p w14:paraId="76003B7A" w14:textId="77777777" w:rsidR="00301E05" w:rsidRDefault="00301E05" w:rsidP="00301E05">
      <w:pPr>
        <w:pStyle w:val="Bullet1"/>
      </w:pPr>
      <w:hyperlink r:id="rId27" w:history="1">
        <w:r>
          <w:rPr>
            <w:rStyle w:val="Hyperlink"/>
          </w:rPr>
          <w:t>Guide to Patient and Family Engagement in Hospital Quality and Safety</w:t>
        </w:r>
      </w:hyperlink>
      <w:r>
        <w:t xml:space="preserve"> </w:t>
      </w:r>
      <w:r w:rsidR="00AF3284">
        <w:t xml:space="preserve">outlines how </w:t>
      </w:r>
      <w:r>
        <w:t>to improve communication between patients, families and health professionals in a hospital setting.</w:t>
      </w:r>
    </w:p>
    <w:p w14:paraId="01F69BF4" w14:textId="6E5A97E6" w:rsidR="00301E05" w:rsidRPr="00AF3284" w:rsidRDefault="00301E05" w:rsidP="00E76C76">
      <w:pPr>
        <w:pStyle w:val="Bullet2"/>
        <w:numPr>
          <w:ilvl w:val="1"/>
          <w:numId w:val="41"/>
        </w:numPr>
        <w:rPr>
          <w:color w:val="1B1B1B"/>
          <w:lang w:eastAsia="en-AU"/>
        </w:rPr>
      </w:pPr>
      <w:hyperlink r:id="rId28" w:history="1">
        <w:r w:rsidRPr="00AF3284">
          <w:rPr>
            <w:rStyle w:val="Hyperlink"/>
            <w:rFonts w:eastAsia="Times New Roman"/>
            <w:b/>
            <w:bCs/>
            <w:color w:val="005B94"/>
            <w:lang w:eastAsia="en-AU"/>
          </w:rPr>
          <w:t>Strategy 2: Communicating to Improve Quality</w:t>
        </w:r>
      </w:hyperlink>
      <w:r w:rsidR="00B3078C">
        <w:rPr>
          <w:color w:val="1B1B1B"/>
          <w:lang w:eastAsia="en-AU"/>
        </w:rPr>
        <w:t xml:space="preserve"> </w:t>
      </w:r>
      <w:r w:rsidRPr="00AF3284">
        <w:rPr>
          <w:color w:val="1B1B1B"/>
          <w:lang w:eastAsia="en-AU"/>
        </w:rPr>
        <w:t>helps improve communication among patients, family members, clinicians, and hospital staff from the point of admission</w:t>
      </w:r>
      <w:r w:rsidR="00B3078C">
        <w:rPr>
          <w:color w:val="1B1B1B"/>
          <w:lang w:eastAsia="en-AU"/>
        </w:rPr>
        <w:t>.</w:t>
      </w:r>
    </w:p>
    <w:p w14:paraId="6CC99104" w14:textId="286819DE" w:rsidR="00301E05" w:rsidRPr="00861687" w:rsidRDefault="00301E05" w:rsidP="00E76C76">
      <w:pPr>
        <w:pStyle w:val="Bullet2"/>
        <w:numPr>
          <w:ilvl w:val="1"/>
          <w:numId w:val="41"/>
        </w:numPr>
        <w:rPr>
          <w:color w:val="1B1B1B"/>
          <w:lang w:eastAsia="en-AU"/>
        </w:rPr>
      </w:pPr>
      <w:hyperlink r:id="rId29" w:history="1">
        <w:r w:rsidRPr="00AF3284">
          <w:rPr>
            <w:rStyle w:val="Hyperlink"/>
            <w:rFonts w:eastAsia="Times New Roman"/>
            <w:b/>
            <w:bCs/>
            <w:color w:val="005B94"/>
            <w:lang w:eastAsia="en-AU"/>
          </w:rPr>
          <w:t>Strategy 3: Nurse Bedside Shift Report</w:t>
        </w:r>
      </w:hyperlink>
      <w:r w:rsidR="00B3078C">
        <w:rPr>
          <w:color w:val="1B1B1B"/>
          <w:lang w:eastAsia="en-AU"/>
        </w:rPr>
        <w:t xml:space="preserve"> </w:t>
      </w:r>
      <w:r w:rsidRPr="00861687">
        <w:rPr>
          <w:color w:val="1B1B1B"/>
          <w:lang w:eastAsia="en-AU"/>
        </w:rPr>
        <w:t>supports the safe handoff of care between nurses by involving the patient and family in the change of shift report for nurses.</w:t>
      </w:r>
    </w:p>
    <w:p w14:paraId="0BCD3B32" w14:textId="355A8B02" w:rsidR="00301E05" w:rsidRDefault="00301E05" w:rsidP="00E76C76">
      <w:pPr>
        <w:pStyle w:val="Bullet2"/>
        <w:numPr>
          <w:ilvl w:val="1"/>
          <w:numId w:val="41"/>
        </w:numPr>
      </w:pPr>
      <w:hyperlink r:id="rId30" w:history="1">
        <w:r w:rsidRPr="00AF3284">
          <w:rPr>
            <w:rStyle w:val="Hyperlink"/>
            <w:rFonts w:eastAsia="Times New Roman"/>
            <w:b/>
            <w:bCs/>
            <w:color w:val="005B94"/>
            <w:lang w:eastAsia="en-AU"/>
          </w:rPr>
          <w:t>Strategy 4: IDEAL Discharge Planning</w:t>
        </w:r>
      </w:hyperlink>
      <w:r w:rsidR="00B3078C">
        <w:rPr>
          <w:color w:val="1B1B1B"/>
          <w:lang w:eastAsia="en-AU"/>
        </w:rPr>
        <w:t xml:space="preserve"> </w:t>
      </w:r>
      <w:r w:rsidRPr="00861687">
        <w:rPr>
          <w:color w:val="1B1B1B"/>
          <w:lang w:eastAsia="en-AU"/>
        </w:rPr>
        <w:t>helps reduce preventable readmissions by engaging patients and family members in the transition from hospital to home.</w:t>
      </w:r>
    </w:p>
    <w:p w14:paraId="5B64B791" w14:textId="77777777" w:rsidR="00301E05" w:rsidRDefault="00301E05" w:rsidP="00F523FF">
      <w:pPr>
        <w:pStyle w:val="Bullet1"/>
      </w:pPr>
      <w:hyperlink r:id="rId31" w:history="1">
        <w:r>
          <w:rPr>
            <w:rStyle w:val="Hyperlink"/>
          </w:rPr>
          <w:t>Top Tips for Safe Health Care</w:t>
        </w:r>
      </w:hyperlink>
      <w:r>
        <w:t xml:space="preserve"> is designed to help consumers, their families, carers and other support people get the most out of their health care from a rights perspective.</w:t>
      </w:r>
    </w:p>
    <w:p w14:paraId="41E31DAD" w14:textId="77777777" w:rsidR="00301E05" w:rsidRPr="00301E05" w:rsidRDefault="00301E05" w:rsidP="00F523FF">
      <w:pPr>
        <w:pStyle w:val="Bullet1"/>
        <w:rPr>
          <w:rStyle w:val="Hyperlink"/>
          <w:color w:val="000000" w:themeColor="text1"/>
          <w:u w:val="none"/>
        </w:rPr>
      </w:pPr>
      <w:hyperlink r:id="rId32" w:history="1">
        <w:r>
          <w:rPr>
            <w:rStyle w:val="Hyperlink"/>
          </w:rPr>
          <w:t>User guide for health service organisations providing care for patients with cognitive impairment or at risk of delirium</w:t>
        </w:r>
      </w:hyperlink>
    </w:p>
    <w:p w14:paraId="40F6542F" w14:textId="77777777" w:rsidR="00301E05" w:rsidRDefault="00301E05" w:rsidP="00F523FF">
      <w:pPr>
        <w:pStyle w:val="Bullet3"/>
      </w:pPr>
      <w:r>
        <w:t>Chapter 6</w:t>
      </w:r>
      <w:r w:rsidR="00AF3284">
        <w:t xml:space="preserve">: </w:t>
      </w:r>
      <w:r>
        <w:t xml:space="preserve">Partnering with Consumers Standard includes strategies for effective communication and information on shared decision-making. </w:t>
      </w:r>
    </w:p>
    <w:p w14:paraId="45085CDA" w14:textId="18990142" w:rsidR="00301E05" w:rsidRDefault="00301E05" w:rsidP="00F523FF">
      <w:pPr>
        <w:pStyle w:val="Bullet3"/>
      </w:pPr>
      <w:r>
        <w:t>Chapter 9</w:t>
      </w:r>
      <w:r w:rsidR="00AF3284">
        <w:t xml:space="preserve">: </w:t>
      </w:r>
      <w:r>
        <w:t>Communicating for Safety Standard includes strategies and tools for providers involved in transfers between services and hospitals.</w:t>
      </w:r>
    </w:p>
    <w:p w14:paraId="3580A954" w14:textId="77777777" w:rsidR="00BA448D" w:rsidRPr="00025F76" w:rsidRDefault="00BA448D" w:rsidP="00861687">
      <w:pPr>
        <w:pStyle w:val="Heading2"/>
      </w:pPr>
      <w:r w:rsidRPr="00025F76">
        <w:t>Provider obligations</w:t>
      </w:r>
      <w:r w:rsidR="00224568" w:rsidRPr="00025F76">
        <w:t xml:space="preserve"> related to transitions of care</w:t>
      </w:r>
    </w:p>
    <w:p w14:paraId="23ECD9B4" w14:textId="77777777" w:rsidR="00DA50AD" w:rsidRDefault="00DA50AD" w:rsidP="00861687">
      <w:pPr>
        <w:pStyle w:val="Heading3"/>
      </w:pPr>
      <w:r>
        <w:t xml:space="preserve">Worker Capability </w:t>
      </w:r>
    </w:p>
    <w:p w14:paraId="50688E3B" w14:textId="77777777" w:rsidR="00DA50AD" w:rsidRDefault="00DA50AD" w:rsidP="00861687">
      <w:r>
        <w:t xml:space="preserve">Providers should consider how to increase NDIS workers’ training and skills in line with the </w:t>
      </w:r>
      <w:hyperlink r:id="rId33" w:history="1">
        <w:r>
          <w:rPr>
            <w:rStyle w:val="Hyperlink"/>
            <w:rFonts w:cstheme="minorHAnsi"/>
          </w:rPr>
          <w:t>NDIS Workforce Capability Framework</w:t>
        </w:r>
      </w:hyperlink>
      <w:r w:rsidR="00861687">
        <w:t xml:space="preserve"> and the </w:t>
      </w:r>
      <w:hyperlink r:id="rId34" w:history="1">
        <w:r w:rsidR="000C3BEC" w:rsidRPr="000C3BEC">
          <w:rPr>
            <w:rStyle w:val="Hyperlink"/>
          </w:rPr>
          <w:t>High Intensity Support Skills Descriptors</w:t>
        </w:r>
      </w:hyperlink>
      <w:r w:rsidR="000C3BEC">
        <w:t xml:space="preserve">. </w:t>
      </w:r>
    </w:p>
    <w:p w14:paraId="56253DFB" w14:textId="77777777" w:rsidR="00B6728A" w:rsidRPr="00025F76" w:rsidRDefault="00B6728A" w:rsidP="00861687">
      <w:pPr>
        <w:pStyle w:val="Heading3"/>
      </w:pPr>
      <w:r w:rsidRPr="00025F76">
        <w:t xml:space="preserve">NDIS Code of Conduct </w:t>
      </w:r>
    </w:p>
    <w:p w14:paraId="6DC7AA23" w14:textId="77777777" w:rsidR="002A11F9" w:rsidRDefault="002A11F9" w:rsidP="002A11F9">
      <w:r>
        <w:t xml:space="preserve">Providers and workers must comply with the </w:t>
      </w:r>
      <w:hyperlink r:id="rId35" w:history="1">
        <w:r>
          <w:rPr>
            <w:rStyle w:val="Hyperlink"/>
          </w:rPr>
          <w:t>NDIS Code of Conduct</w:t>
        </w:r>
      </w:hyperlink>
      <w:r>
        <w:t xml:space="preserve"> when providing supports or services to NDIS participants.</w:t>
      </w:r>
    </w:p>
    <w:p w14:paraId="1FD6E665" w14:textId="77777777" w:rsidR="002A11F9" w:rsidRDefault="002A11F9" w:rsidP="002A11F9">
      <w:r>
        <w:t xml:space="preserve">The NDIS Code of Conduct requires all NDIS providers and workers who provide NDIS supports or services to NDIS participants to, among other things: </w:t>
      </w:r>
    </w:p>
    <w:p w14:paraId="125176E7" w14:textId="52BE9662" w:rsidR="002A11F9" w:rsidRDefault="002A11F9" w:rsidP="002A11F9">
      <w:pPr>
        <w:numPr>
          <w:ilvl w:val="0"/>
          <w:numId w:val="32"/>
        </w:numPr>
        <w:suppressAutoHyphens w:val="0"/>
        <w:spacing w:before="120" w:after="120" w:line="240" w:lineRule="auto"/>
      </w:pPr>
      <w:r>
        <w:lastRenderedPageBreak/>
        <w:t>Provide supports and services in a safe and competent manner with care and skill</w:t>
      </w:r>
      <w:r w:rsidR="00EA6E28">
        <w:t>,</w:t>
      </w:r>
    </w:p>
    <w:p w14:paraId="5A4B36F6" w14:textId="77777777" w:rsidR="002A11F9" w:rsidRDefault="002A11F9" w:rsidP="002A11F9">
      <w:pPr>
        <w:numPr>
          <w:ilvl w:val="0"/>
          <w:numId w:val="32"/>
        </w:numPr>
        <w:suppressAutoHyphens w:val="0"/>
        <w:spacing w:before="120" w:after="120" w:line="240" w:lineRule="auto"/>
      </w:pPr>
      <w:r>
        <w:t xml:space="preserve">Promptly take steps to raise and act on concerns about matters that may impact the quality and safety of supports provided to people with disability. </w:t>
      </w:r>
    </w:p>
    <w:p w14:paraId="12885A4E" w14:textId="77777777" w:rsidR="00B6728A" w:rsidRPr="00025F76" w:rsidRDefault="00B6728A" w:rsidP="00861687">
      <w:pPr>
        <w:pStyle w:val="Heading3"/>
      </w:pPr>
      <w:r w:rsidRPr="00025F76">
        <w:t xml:space="preserve">NDIS Practice Standards </w:t>
      </w:r>
    </w:p>
    <w:p w14:paraId="13FD1B22" w14:textId="77777777" w:rsidR="002A11F9" w:rsidRDefault="002A11F9" w:rsidP="002A11F9">
      <w:r>
        <w:t>If you are a registered NDIS provider, you must comply with the</w:t>
      </w:r>
      <w:r w:rsidR="00C83004">
        <w:t xml:space="preserve"> NDIS Practice Standards contained in the</w:t>
      </w:r>
      <w:r>
        <w:t xml:space="preserve"> </w:t>
      </w:r>
      <w:hyperlink r:id="rId36" w:history="1">
        <w:r>
          <w:rPr>
            <w:rStyle w:val="Hyperlink"/>
          </w:rPr>
          <w:t>National Disability Insurance Scheme (Provider Registration and Practice Standards) Rules 2018</w:t>
        </w:r>
      </w:hyperlink>
      <w:r>
        <w:t xml:space="preserve"> as part of your conditions of registration. The NDIS Practice Standards relate to the delivery of safe, quality supports and services, and the management of risks associated with the supports you provide to NDIS participants.</w:t>
      </w:r>
    </w:p>
    <w:p w14:paraId="7006B50D" w14:textId="77777777" w:rsidR="002A11F9" w:rsidRDefault="00987F1A" w:rsidP="002A11F9">
      <w:r>
        <w:t>To achieve compliance with the NDIS Practice Standards</w:t>
      </w:r>
      <w:r w:rsidR="002A11F9">
        <w:t xml:space="preserve">, </w:t>
      </w:r>
      <w:r w:rsidR="00925B34">
        <w:t xml:space="preserve">registered </w:t>
      </w:r>
      <w:r w:rsidR="002A11F9">
        <w:t xml:space="preserve">providers </w:t>
      </w:r>
      <w:r>
        <w:t xml:space="preserve">should </w:t>
      </w:r>
      <w:r w:rsidR="002A11F9">
        <w:t xml:space="preserve">demonstrate compliance with the </w:t>
      </w:r>
      <w:hyperlink r:id="rId37" w:history="1">
        <w:r w:rsidR="002A11F9">
          <w:rPr>
            <w:rStyle w:val="Hyperlink"/>
          </w:rPr>
          <w:t>National Disability Insurance Scheme (Quality Indicators</w:t>
        </w:r>
        <w:r w:rsidR="000C2D57">
          <w:rPr>
            <w:rStyle w:val="Hyperlink"/>
          </w:rPr>
          <w:t xml:space="preserve"> for NDIS Practice Standards</w:t>
        </w:r>
        <w:r w:rsidR="002A11F9">
          <w:rPr>
            <w:rStyle w:val="Hyperlink"/>
          </w:rPr>
          <w:t>) Guidelines 2018</w:t>
        </w:r>
      </w:hyperlink>
      <w:r w:rsidR="002A11F9">
        <w:t xml:space="preserve">. The NDIS Commission’s guidance on the </w:t>
      </w:r>
      <w:hyperlink r:id="rId38" w:history="1">
        <w:r w:rsidR="002A11F9">
          <w:rPr>
            <w:rStyle w:val="Hyperlink"/>
          </w:rPr>
          <w:t>NDIS Practice Standards and Quality Indicators</w:t>
        </w:r>
      </w:hyperlink>
      <w:r w:rsidR="002A11F9">
        <w:t xml:space="preserve"> provides a further resource to assist registered NDIS providers to understand their obligations</w:t>
      </w:r>
      <w:r w:rsidR="000C2D57">
        <w:t xml:space="preserve"> in relation to participants</w:t>
      </w:r>
      <w:r w:rsidR="002A11F9">
        <w:t>.</w:t>
      </w:r>
    </w:p>
    <w:p w14:paraId="4C5C9B6C" w14:textId="77777777" w:rsidR="00C83004" w:rsidRDefault="00C83004" w:rsidP="002A11F9">
      <w:r>
        <w:t xml:space="preserve">The NDIS Practice Standards that are most relevant to this alert include: </w:t>
      </w:r>
    </w:p>
    <w:p w14:paraId="17C36710" w14:textId="77777777"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Risk </w:t>
      </w:r>
      <w:r w:rsidR="00574141" w:rsidRPr="00025F76">
        <w:rPr>
          <w:rFonts w:ascii="Calibri" w:hAnsi="Calibri" w:cs="Calibri"/>
          <w:b/>
          <w:bCs/>
          <w:color w:val="000000"/>
        </w:rPr>
        <w:t>m</w:t>
      </w:r>
      <w:r w:rsidRPr="00025F76">
        <w:rPr>
          <w:rFonts w:ascii="Calibri" w:hAnsi="Calibri" w:cs="Calibri"/>
          <w:b/>
          <w:bCs/>
          <w:color w:val="000000"/>
        </w:rPr>
        <w:t>anagement</w:t>
      </w:r>
      <w:r w:rsidRPr="00025F76">
        <w:rPr>
          <w:rFonts w:ascii="Calibri" w:hAnsi="Calibri" w:cs="Calibri"/>
          <w:color w:val="000000"/>
        </w:rPr>
        <w:t xml:space="preserve">: Risks to participants are identified and managed. </w:t>
      </w:r>
    </w:p>
    <w:p w14:paraId="3E5588B6" w14:textId="77777777"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Quality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 xml:space="preserve">Each participant benefits from a quality management system relevant and proportionate to the size and scale of the provider, which promotes continuous improvement of support delivery. </w:t>
      </w:r>
    </w:p>
    <w:p w14:paraId="726A74EC" w14:textId="77777777"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Information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 xml:space="preserve">Management of each participant’s information ensures it is identifiable, accurately recorded, current and confidential. Each participant’s information is easily accessible to the participant and appropriately utilised by relevant workers. </w:t>
      </w:r>
    </w:p>
    <w:p w14:paraId="79147485" w14:textId="481A62E6" w:rsidR="00B6728A" w:rsidRPr="00025F76"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Incident </w:t>
      </w:r>
      <w:r w:rsidR="00574141" w:rsidRPr="00025F76">
        <w:rPr>
          <w:rFonts w:ascii="Calibri" w:hAnsi="Calibri" w:cs="Calibri"/>
          <w:b/>
          <w:bCs/>
          <w:color w:val="000000"/>
        </w:rPr>
        <w:t>m</w:t>
      </w:r>
      <w:r w:rsidRPr="00025F76">
        <w:rPr>
          <w:rFonts w:ascii="Calibri" w:hAnsi="Calibri" w:cs="Calibri"/>
          <w:b/>
          <w:bCs/>
          <w:color w:val="000000"/>
        </w:rPr>
        <w:t xml:space="preserve">anagement: </w:t>
      </w:r>
      <w:r w:rsidRPr="00025F76">
        <w:rPr>
          <w:rFonts w:ascii="Calibri" w:hAnsi="Calibri" w:cs="Calibri"/>
          <w:color w:val="000000"/>
        </w:rPr>
        <w:t>Each participant is safeguarded by the provider’s incident management system, ensuring that incidents are acknowledged, respond to, well</w:t>
      </w:r>
      <w:r w:rsidR="00EA6E28">
        <w:rPr>
          <w:rFonts w:ascii="Calibri" w:hAnsi="Calibri" w:cs="Calibri"/>
          <w:color w:val="000000"/>
        </w:rPr>
        <w:t xml:space="preserve"> </w:t>
      </w:r>
      <w:r w:rsidRPr="00025F76">
        <w:rPr>
          <w:rFonts w:ascii="Calibri" w:hAnsi="Calibri" w:cs="Calibri"/>
          <w:color w:val="000000"/>
        </w:rPr>
        <w:t xml:space="preserve">managed and learned from. </w:t>
      </w:r>
    </w:p>
    <w:p w14:paraId="20C71D03" w14:textId="77777777" w:rsidR="00A54451" w:rsidRDefault="00A54451" w:rsidP="00A54451">
      <w:pPr>
        <w:pStyle w:val="ListParagraph"/>
        <w:numPr>
          <w:ilvl w:val="0"/>
          <w:numId w:val="27"/>
        </w:numPr>
        <w:autoSpaceDE w:val="0"/>
        <w:autoSpaceDN w:val="0"/>
        <w:adjustRightInd w:val="0"/>
        <w:spacing w:before="120" w:after="120"/>
        <w:rPr>
          <w:rFonts w:ascii="Calibri" w:hAnsi="Calibri" w:cs="Calibri"/>
          <w:color w:val="000000"/>
        </w:rPr>
      </w:pPr>
      <w:r w:rsidRPr="00E6439B">
        <w:rPr>
          <w:rFonts w:ascii="Calibri" w:hAnsi="Calibri" w:cs="Calibri"/>
          <w:b/>
          <w:color w:val="000000"/>
        </w:rPr>
        <w:t>Transitions to and from a provider:</w:t>
      </w:r>
      <w:r w:rsidRPr="002F05BF">
        <w:rPr>
          <w:rFonts w:ascii="Calibri" w:hAnsi="Calibri" w:cs="Calibri"/>
          <w:color w:val="000000"/>
        </w:rPr>
        <w:t xml:space="preserve"> Each participant experiences a planned and coordinated transition to or from the provider.</w:t>
      </w:r>
    </w:p>
    <w:p w14:paraId="11B0B7F6" w14:textId="77777777" w:rsidR="00B6728A" w:rsidRDefault="00B6728A" w:rsidP="0075595A">
      <w:pPr>
        <w:pStyle w:val="ListParagraph"/>
        <w:numPr>
          <w:ilvl w:val="0"/>
          <w:numId w:val="27"/>
        </w:numPr>
        <w:autoSpaceDE w:val="0"/>
        <w:autoSpaceDN w:val="0"/>
        <w:adjustRightInd w:val="0"/>
        <w:spacing w:before="120" w:after="120"/>
        <w:rPr>
          <w:rFonts w:ascii="Calibri" w:hAnsi="Calibri" w:cs="Calibri"/>
          <w:color w:val="000000"/>
        </w:rPr>
      </w:pPr>
      <w:r w:rsidRPr="00025F76">
        <w:rPr>
          <w:rFonts w:ascii="Calibri" w:hAnsi="Calibri" w:cs="Calibri"/>
          <w:b/>
          <w:bCs/>
          <w:color w:val="000000"/>
        </w:rPr>
        <w:t xml:space="preserve">Management of </w:t>
      </w:r>
      <w:r w:rsidR="00574141" w:rsidRPr="00025F76">
        <w:rPr>
          <w:rFonts w:ascii="Calibri" w:hAnsi="Calibri" w:cs="Calibri"/>
          <w:b/>
          <w:bCs/>
          <w:color w:val="000000"/>
        </w:rPr>
        <w:t>m</w:t>
      </w:r>
      <w:r w:rsidRPr="00025F76">
        <w:rPr>
          <w:rFonts w:ascii="Calibri" w:hAnsi="Calibri" w:cs="Calibri"/>
          <w:b/>
          <w:bCs/>
          <w:color w:val="000000"/>
        </w:rPr>
        <w:t xml:space="preserve">edication: </w:t>
      </w:r>
      <w:r w:rsidRPr="00025F76">
        <w:rPr>
          <w:rFonts w:ascii="Calibri" w:hAnsi="Calibri" w:cs="Calibri"/>
          <w:color w:val="000000"/>
        </w:rPr>
        <w:t>Each participant requiring medication is confident their provider administers, stores and monitors the effects of their medication</w:t>
      </w:r>
      <w:r w:rsidR="0075595A" w:rsidRPr="00025F76">
        <w:rPr>
          <w:rFonts w:ascii="Calibri" w:hAnsi="Calibri" w:cs="Calibri"/>
          <w:color w:val="000000"/>
        </w:rPr>
        <w:t>,</w:t>
      </w:r>
      <w:r w:rsidRPr="00025F76">
        <w:rPr>
          <w:rFonts w:ascii="Calibri" w:hAnsi="Calibri" w:cs="Calibri"/>
          <w:color w:val="000000"/>
        </w:rPr>
        <w:t xml:space="preserve"> and works to prevent errors or incidents.</w:t>
      </w:r>
    </w:p>
    <w:p w14:paraId="2BF7FAB1" w14:textId="77777777" w:rsidR="00B8680F" w:rsidRDefault="00B8680F">
      <w:pPr>
        <w:suppressAutoHyphens w:val="0"/>
        <w:spacing w:before="120" w:after="120" w:line="240" w:lineRule="auto"/>
        <w:rPr>
          <w:rFonts w:asciiTheme="majorHAnsi" w:eastAsiaTheme="majorEastAsia" w:hAnsiTheme="majorHAnsi" w:cstheme="majorBidi"/>
          <w:b/>
          <w:color w:val="612C69"/>
          <w:sz w:val="40"/>
          <w:szCs w:val="40"/>
        </w:rPr>
      </w:pPr>
      <w:bookmarkStart w:id="2" w:name="_Resources"/>
      <w:bookmarkEnd w:id="2"/>
      <w:r>
        <w:br w:type="page"/>
      </w:r>
    </w:p>
    <w:p w14:paraId="63590FF8" w14:textId="77777777" w:rsidR="004166F9" w:rsidRPr="00025F76" w:rsidRDefault="004166F9" w:rsidP="00AF3284">
      <w:pPr>
        <w:pStyle w:val="Heading1"/>
      </w:pPr>
      <w:r w:rsidRPr="00025F76">
        <w:lastRenderedPageBreak/>
        <w:t>References</w:t>
      </w:r>
    </w:p>
    <w:p w14:paraId="6AC69BB8" w14:textId="77777777" w:rsidR="005A68BD" w:rsidRDefault="005A68BD" w:rsidP="005A7917">
      <w:pPr>
        <w:spacing w:before="0" w:after="120" w:line="276" w:lineRule="auto"/>
      </w:pPr>
      <w:r w:rsidRPr="00025F76">
        <w:t>Australian Commission on Safety an</w:t>
      </w:r>
      <w:r w:rsidR="00030327">
        <w:t>d Quality in Health Care (2020)</w:t>
      </w:r>
      <w:r w:rsidRPr="00025F76">
        <w:t xml:space="preserve"> </w:t>
      </w:r>
      <w:hyperlink r:id="rId39" w:history="1">
        <w:r w:rsidR="00B8680F">
          <w:rPr>
            <w:rStyle w:val="Hyperlink"/>
            <w:i/>
          </w:rPr>
          <w:t>Australian charter of healthcare rights (second edition)</w:t>
        </w:r>
      </w:hyperlink>
      <w:r w:rsidR="00030327">
        <w:t xml:space="preserve">, Australian Commission on Safety and Quality in Health Care, accessed </w:t>
      </w:r>
      <w:r w:rsidR="00B8680F">
        <w:t>21 September 2023</w:t>
      </w:r>
      <w:r w:rsidR="00030327">
        <w:t>.</w:t>
      </w:r>
    </w:p>
    <w:p w14:paraId="6050E0FF" w14:textId="77777777" w:rsidR="00B8680F" w:rsidRPr="00025F76" w:rsidRDefault="00B8680F" w:rsidP="005A7917">
      <w:pPr>
        <w:spacing w:before="0"/>
        <w:rPr>
          <w:lang w:eastAsia="en-AU"/>
        </w:rPr>
      </w:pPr>
      <w:r>
        <w:rPr>
          <w:lang w:eastAsia="en-AU"/>
        </w:rPr>
        <w:t>[The link targets a landing page, not a PDF].</w:t>
      </w:r>
    </w:p>
    <w:p w14:paraId="19D479EB" w14:textId="77777777" w:rsidR="005A68BD" w:rsidRDefault="005A68BD" w:rsidP="005A7917">
      <w:pPr>
        <w:spacing w:before="0" w:after="120" w:line="276" w:lineRule="auto"/>
      </w:pPr>
      <w:r w:rsidRPr="00025F76">
        <w:t>Australian Commission on Safety an</w:t>
      </w:r>
      <w:r w:rsidR="00422C8A">
        <w:t>d Quality in Health Care (2019)</w:t>
      </w:r>
      <w:r w:rsidRPr="00025F76">
        <w:t xml:space="preserve"> </w:t>
      </w:r>
      <w:hyperlink r:id="rId40" w:history="1">
        <w:r w:rsidR="00B8680F">
          <w:rPr>
            <w:rStyle w:val="Hyperlink"/>
            <w:i/>
          </w:rPr>
          <w:t>National safety and quality health service (NSQHS) standards</w:t>
        </w:r>
      </w:hyperlink>
      <w:r w:rsidR="00422C8A">
        <w:rPr>
          <w:rStyle w:val="Hyperlink"/>
          <w:i/>
        </w:rPr>
        <w:t>,</w:t>
      </w:r>
      <w:r w:rsidR="00030327">
        <w:rPr>
          <w:iCs/>
        </w:rPr>
        <w:t xml:space="preserve"> A</w:t>
      </w:r>
      <w:r w:rsidR="00030327">
        <w:t>ustralian Commission on Safety and Quality in He</w:t>
      </w:r>
      <w:r w:rsidR="00B8680F">
        <w:t>alth Care, accessed 21 September 2023</w:t>
      </w:r>
      <w:r w:rsidR="00030327">
        <w:t>.</w:t>
      </w:r>
    </w:p>
    <w:p w14:paraId="0755F9B3" w14:textId="77777777" w:rsidR="00B8680F" w:rsidRDefault="00B8680F" w:rsidP="005A7917">
      <w:pPr>
        <w:spacing w:before="0"/>
        <w:rPr>
          <w:lang w:eastAsia="en-AU"/>
        </w:rPr>
      </w:pPr>
      <w:r>
        <w:rPr>
          <w:lang w:eastAsia="en-AU"/>
        </w:rPr>
        <w:t>[The link targets a landing page, not a PDF].</w:t>
      </w:r>
    </w:p>
    <w:p w14:paraId="08590CE4" w14:textId="77777777" w:rsidR="009E4D92" w:rsidRPr="00025F76" w:rsidRDefault="009E4D92" w:rsidP="005A7917">
      <w:pPr>
        <w:spacing w:before="0" w:after="120" w:line="276" w:lineRule="auto"/>
      </w:pPr>
      <w:r>
        <w:t>Australian Commission on Safety an</w:t>
      </w:r>
      <w:r w:rsidR="00422C8A">
        <w:t>d Quality in Health Care (2017)</w:t>
      </w:r>
      <w:r>
        <w:t xml:space="preserve"> </w:t>
      </w:r>
      <w:hyperlink r:id="rId41" w:history="1">
        <w:r w:rsidR="00B8680F">
          <w:rPr>
            <w:rStyle w:val="Hyperlink"/>
            <w:i/>
          </w:rPr>
          <w:t>Safety issues at transitions of care</w:t>
        </w:r>
      </w:hyperlink>
      <w:r w:rsidR="00422C8A">
        <w:rPr>
          <w:rStyle w:val="Hyperlink"/>
          <w:i/>
        </w:rPr>
        <w:t xml:space="preserve"> [PDF],</w:t>
      </w:r>
      <w:r>
        <w:t xml:space="preserve"> Australian Commission on Sa</w:t>
      </w:r>
      <w:r w:rsidR="00422C8A">
        <w:t>fety and Qu</w:t>
      </w:r>
      <w:r w:rsidR="00B8680F">
        <w:t>ality in Health Care, accessed 2</w:t>
      </w:r>
      <w:r w:rsidR="00422C8A">
        <w:t xml:space="preserve">1 </w:t>
      </w:r>
      <w:r w:rsidR="00B8680F">
        <w:t>September</w:t>
      </w:r>
      <w:r w:rsidR="00422C8A">
        <w:t xml:space="preserve"> 2023.</w:t>
      </w:r>
    </w:p>
    <w:p w14:paraId="5B503788" w14:textId="072F37B5" w:rsidR="00F94CB0" w:rsidRPr="00025F76" w:rsidRDefault="00F94CB0" w:rsidP="005A7917">
      <w:pPr>
        <w:spacing w:before="0" w:after="120" w:line="276" w:lineRule="auto"/>
      </w:pPr>
      <w:r w:rsidRPr="00025F76">
        <w:t>Australian Institu</w:t>
      </w:r>
      <w:r w:rsidR="00422C8A">
        <w:t>te of Health and Welfare (</w:t>
      </w:r>
      <w:r w:rsidR="004764F0">
        <w:t>2022</w:t>
      </w:r>
      <w:r w:rsidR="00422C8A">
        <w:t>)</w:t>
      </w:r>
      <w:r w:rsidRPr="00025F76">
        <w:t xml:space="preserve"> </w:t>
      </w:r>
      <w:hyperlink r:id="rId42" w:history="1">
        <w:r w:rsidRPr="00025F76">
          <w:rPr>
            <w:rStyle w:val="Hyperlink"/>
            <w:i/>
          </w:rPr>
          <w:t>Access to health services by Australians with disability</w:t>
        </w:r>
      </w:hyperlink>
      <w:r w:rsidR="00422C8A">
        <w:rPr>
          <w:i/>
        </w:rPr>
        <w:t xml:space="preserve">, </w:t>
      </w:r>
      <w:r w:rsidR="00422C8A">
        <w:t xml:space="preserve">Australian Institute of </w:t>
      </w:r>
      <w:r w:rsidR="00B8680F">
        <w:t>Health and Welfare, accessed 21 September</w:t>
      </w:r>
      <w:r w:rsidR="00422C8A">
        <w:t xml:space="preserve"> 2023.</w:t>
      </w:r>
    </w:p>
    <w:p w14:paraId="2F6F38CB" w14:textId="77777777" w:rsidR="00422C8A" w:rsidRPr="00422C8A" w:rsidRDefault="005A68BD" w:rsidP="005A7917">
      <w:pPr>
        <w:spacing w:before="0" w:after="120" w:line="276" w:lineRule="auto"/>
      </w:pPr>
      <w:r w:rsidRPr="00025F76">
        <w:t>NDIS Quality</w:t>
      </w:r>
      <w:r w:rsidR="00422C8A">
        <w:t xml:space="preserve"> &amp; Safeguards Commission (2020)</w:t>
      </w:r>
      <w:r w:rsidRPr="00025F76">
        <w:t xml:space="preserve"> </w:t>
      </w:r>
      <w:hyperlink r:id="rId43" w:history="1">
        <w:r w:rsidR="00B8680F">
          <w:rPr>
            <w:rStyle w:val="Hyperlink"/>
            <w:i/>
          </w:rPr>
          <w:t>NDIS practice standards and quality indicators</w:t>
        </w:r>
      </w:hyperlink>
      <w:r w:rsidR="00422C8A">
        <w:rPr>
          <w:i/>
        </w:rPr>
        <w:t>, NDIS Quality and Safeguards Commission,</w:t>
      </w:r>
      <w:r w:rsidR="00422C8A" w:rsidRPr="00422C8A">
        <w:t xml:space="preserve"> accessed </w:t>
      </w:r>
      <w:r w:rsidR="00B8680F">
        <w:t>25 September</w:t>
      </w:r>
      <w:r w:rsidR="00422C8A" w:rsidRPr="00422C8A">
        <w:t xml:space="preserve"> 2023. </w:t>
      </w:r>
    </w:p>
    <w:p w14:paraId="58E29C29" w14:textId="77777777" w:rsidR="005A68BD" w:rsidRPr="00422C8A" w:rsidRDefault="00422C8A" w:rsidP="005A7917">
      <w:pPr>
        <w:spacing w:before="0" w:after="120" w:line="276" w:lineRule="auto"/>
      </w:pPr>
      <w:r w:rsidRPr="00422C8A">
        <w:t>[The</w:t>
      </w:r>
      <w:r w:rsidR="005A68BD" w:rsidRPr="00422C8A">
        <w:t xml:space="preserve"> </w:t>
      </w:r>
      <w:r w:rsidRPr="00422C8A">
        <w:t>link targets a landing page, not a PDF.]</w:t>
      </w:r>
    </w:p>
    <w:p w14:paraId="088DB7A0" w14:textId="77777777" w:rsidR="001E5690" w:rsidRDefault="001E5690" w:rsidP="005A7917">
      <w:pPr>
        <w:spacing w:before="0" w:after="120" w:line="276" w:lineRule="auto"/>
        <w:rPr>
          <w:szCs w:val="22"/>
        </w:rPr>
      </w:pPr>
      <w:r w:rsidRPr="00025F76">
        <w:t>NSW</w:t>
      </w:r>
      <w:r w:rsidR="00DB513F">
        <w:t xml:space="preserve"> (New South Wales)</w:t>
      </w:r>
      <w:r w:rsidRPr="00025F76">
        <w:t xml:space="preserve"> </w:t>
      </w:r>
      <w:r w:rsidR="00F61F7A" w:rsidRPr="00025F76">
        <w:t>Agency for Clinical Innovation</w:t>
      </w:r>
      <w:r w:rsidR="00422C8A">
        <w:t xml:space="preserve"> (2017)</w:t>
      </w:r>
      <w:r w:rsidRPr="00025F76">
        <w:rPr>
          <w:i/>
        </w:rPr>
        <w:t xml:space="preserve"> </w:t>
      </w:r>
      <w:hyperlink r:id="rId44" w:history="1">
        <w:r w:rsidR="00B8680F">
          <w:rPr>
            <w:rStyle w:val="Hyperlink"/>
            <w:i/>
            <w:szCs w:val="22"/>
          </w:rPr>
          <w:t>Building capability in NSW health services for people with intellectual disability: The essentials</w:t>
        </w:r>
      </w:hyperlink>
      <w:r w:rsidR="00422C8A">
        <w:rPr>
          <w:i/>
          <w:szCs w:val="22"/>
        </w:rPr>
        <w:t xml:space="preserve">, </w:t>
      </w:r>
      <w:r w:rsidR="00DB513F">
        <w:rPr>
          <w:szCs w:val="22"/>
        </w:rPr>
        <w:t>NSW Agency for Clinical I</w:t>
      </w:r>
      <w:r w:rsidR="00B8680F">
        <w:rPr>
          <w:szCs w:val="22"/>
        </w:rPr>
        <w:t>nnovation, accessed 25 September 2023</w:t>
      </w:r>
      <w:r w:rsidR="00DB513F">
        <w:rPr>
          <w:szCs w:val="22"/>
        </w:rPr>
        <w:t>.</w:t>
      </w:r>
      <w:r w:rsidRPr="00025F76">
        <w:rPr>
          <w:szCs w:val="22"/>
        </w:rPr>
        <w:t xml:space="preserve"> </w:t>
      </w:r>
    </w:p>
    <w:p w14:paraId="3FCA29BA" w14:textId="77777777" w:rsidR="00B8680F" w:rsidRPr="00B8680F" w:rsidRDefault="00B8680F" w:rsidP="005A7917">
      <w:pPr>
        <w:spacing w:before="0" w:after="120" w:line="276" w:lineRule="auto"/>
      </w:pPr>
      <w:r w:rsidRPr="00422C8A">
        <w:t>[The link targets a landing page, not a PDF.]</w:t>
      </w:r>
    </w:p>
    <w:p w14:paraId="49AF8BAD" w14:textId="77777777" w:rsidR="00DD501B" w:rsidRPr="00DB513F" w:rsidRDefault="00DB513F" w:rsidP="005A7917">
      <w:pPr>
        <w:spacing w:before="0" w:after="120" w:line="276" w:lineRule="auto"/>
        <w:rPr>
          <w:szCs w:val="22"/>
        </w:rPr>
      </w:pPr>
      <w:r>
        <w:rPr>
          <w:szCs w:val="22"/>
        </w:rPr>
        <w:t>NSW (New South Wales) Health (2017)</w:t>
      </w:r>
      <w:r w:rsidR="00DD501B" w:rsidRPr="00025F76">
        <w:rPr>
          <w:szCs w:val="22"/>
        </w:rPr>
        <w:t xml:space="preserve"> </w:t>
      </w:r>
      <w:hyperlink r:id="rId45" w:history="1">
        <w:r w:rsidR="00B8680F">
          <w:rPr>
            <w:rStyle w:val="Hyperlink"/>
            <w:i/>
            <w:szCs w:val="22"/>
          </w:rPr>
          <w:t>Responding to needs of people with disability during hospitalisation [PDF]</w:t>
        </w:r>
      </w:hyperlink>
      <w:r>
        <w:rPr>
          <w:i/>
          <w:szCs w:val="22"/>
        </w:rPr>
        <w:t xml:space="preserve">, </w:t>
      </w:r>
      <w:r>
        <w:rPr>
          <w:szCs w:val="22"/>
        </w:rPr>
        <w:t xml:space="preserve">NSW Health, accessed </w:t>
      </w:r>
      <w:r w:rsidR="00B8680F">
        <w:rPr>
          <w:szCs w:val="22"/>
        </w:rPr>
        <w:t>25 September 2023</w:t>
      </w:r>
      <w:r>
        <w:rPr>
          <w:szCs w:val="22"/>
        </w:rPr>
        <w:t xml:space="preserve">. </w:t>
      </w:r>
    </w:p>
    <w:p w14:paraId="6E8E5425" w14:textId="77777777" w:rsidR="001E5690" w:rsidRPr="00025F76" w:rsidRDefault="001E5690" w:rsidP="005A7917">
      <w:pPr>
        <w:spacing w:before="0" w:after="120" w:line="276" w:lineRule="auto"/>
        <w:rPr>
          <w:szCs w:val="22"/>
        </w:rPr>
      </w:pPr>
      <w:r w:rsidRPr="00025F76">
        <w:rPr>
          <w:szCs w:val="22"/>
        </w:rPr>
        <w:t>NSW</w:t>
      </w:r>
      <w:r w:rsidR="00DB513F">
        <w:rPr>
          <w:szCs w:val="22"/>
        </w:rPr>
        <w:t xml:space="preserve"> (New South Wales) Ministry of Health (2013)</w:t>
      </w:r>
      <w:r w:rsidRPr="00025F76">
        <w:rPr>
          <w:szCs w:val="22"/>
        </w:rPr>
        <w:t xml:space="preserve"> </w:t>
      </w:r>
      <w:hyperlink r:id="rId46" w:history="1">
        <w:r w:rsidR="00B8680F">
          <w:rPr>
            <w:rStyle w:val="Hyperlink"/>
            <w:i/>
            <w:szCs w:val="22"/>
          </w:rPr>
          <w:t>NSW Health &amp; Ageing and Disability and Home Care (ADHC) Joint Guideline [PDF]</w:t>
        </w:r>
      </w:hyperlink>
      <w:r w:rsidR="00DB513F">
        <w:rPr>
          <w:rStyle w:val="Hyperlink"/>
          <w:i/>
          <w:szCs w:val="22"/>
        </w:rPr>
        <w:t>,</w:t>
      </w:r>
      <w:r w:rsidRPr="00025F76">
        <w:rPr>
          <w:szCs w:val="22"/>
        </w:rPr>
        <w:t xml:space="preserve"> </w:t>
      </w:r>
      <w:r w:rsidR="00DB513F">
        <w:rPr>
          <w:szCs w:val="22"/>
        </w:rPr>
        <w:t xml:space="preserve">NSW Ministry of Health, accessed </w:t>
      </w:r>
      <w:r w:rsidR="00B8680F">
        <w:rPr>
          <w:szCs w:val="22"/>
        </w:rPr>
        <w:t>23 September</w:t>
      </w:r>
      <w:r w:rsidR="00DB513F">
        <w:rPr>
          <w:szCs w:val="22"/>
        </w:rPr>
        <w:t xml:space="preserve"> 2023.</w:t>
      </w:r>
    </w:p>
    <w:p w14:paraId="653F09A6" w14:textId="77777777" w:rsidR="00CB4A38" w:rsidRPr="00025F76" w:rsidRDefault="00DB513F" w:rsidP="005A7917">
      <w:pPr>
        <w:spacing w:before="0" w:after="120" w:line="276" w:lineRule="auto"/>
        <w:rPr>
          <w:rStyle w:val="Hyperlink"/>
          <w:bCs/>
          <w:szCs w:val="22"/>
        </w:rPr>
      </w:pPr>
      <w:proofErr w:type="spellStart"/>
      <w:r>
        <w:rPr>
          <w:szCs w:val="22"/>
        </w:rPr>
        <w:t>Trollor</w:t>
      </w:r>
      <w:proofErr w:type="spellEnd"/>
      <w:r>
        <w:rPr>
          <w:szCs w:val="22"/>
        </w:rPr>
        <w:t xml:space="preserve"> J and Salomon C (2019)</w:t>
      </w:r>
      <w:r w:rsidR="00CB4A38" w:rsidRPr="00025F76">
        <w:rPr>
          <w:szCs w:val="22"/>
        </w:rPr>
        <w:t xml:space="preserve"> </w:t>
      </w:r>
      <w:hyperlink r:id="rId47" w:history="1">
        <w:r w:rsidR="00CB4A38" w:rsidRPr="00025F76">
          <w:rPr>
            <w:rStyle w:val="Hyperlink"/>
            <w:i/>
            <w:szCs w:val="22"/>
          </w:rPr>
          <w:t>A scoping review of causes and contributors to deaths of people with disability in Australia: Findings</w:t>
        </w:r>
      </w:hyperlink>
      <w:r>
        <w:rPr>
          <w:rStyle w:val="Hyperlink"/>
          <w:i/>
          <w:szCs w:val="22"/>
        </w:rPr>
        <w:t>,</w:t>
      </w:r>
      <w:r w:rsidR="00CB4A38" w:rsidRPr="00025F76">
        <w:rPr>
          <w:szCs w:val="22"/>
        </w:rPr>
        <w:t xml:space="preserve"> Faculty of Medicine, The Department of Developmental Disability Neuropsychiatry 3DN.</w:t>
      </w:r>
      <w:r w:rsidR="00CB4A38" w:rsidRPr="00025F76">
        <w:rPr>
          <w:b/>
          <w:szCs w:val="22"/>
        </w:rPr>
        <w:t xml:space="preserve"> </w:t>
      </w:r>
    </w:p>
    <w:p w14:paraId="3E620909" w14:textId="77777777" w:rsidR="00DB513F" w:rsidRPr="00025F76" w:rsidRDefault="00DB513F" w:rsidP="005A7917">
      <w:pPr>
        <w:spacing w:before="0" w:after="120" w:line="276" w:lineRule="auto"/>
        <w:rPr>
          <w:szCs w:val="22"/>
        </w:rPr>
      </w:pPr>
      <w:r>
        <w:rPr>
          <w:szCs w:val="22"/>
        </w:rPr>
        <w:t>Office of the Public Advocate, Queensland (2016)</w:t>
      </w:r>
      <w:r w:rsidR="0032576D" w:rsidRPr="00025F76">
        <w:rPr>
          <w:szCs w:val="22"/>
        </w:rPr>
        <w:t xml:space="preserve"> </w:t>
      </w:r>
      <w:hyperlink r:id="rId48" w:history="1">
        <w:r w:rsidR="0032576D" w:rsidRPr="00DB513F">
          <w:rPr>
            <w:rStyle w:val="Hyperlink"/>
            <w:i/>
            <w:szCs w:val="22"/>
          </w:rPr>
          <w:t>Upholding the right to life and health: A review of the deaths in care of people with disability in Queensland. A systematic advocacy report</w:t>
        </w:r>
      </w:hyperlink>
      <w:r>
        <w:rPr>
          <w:rStyle w:val="Hyperlink"/>
          <w:szCs w:val="22"/>
        </w:rPr>
        <w:t xml:space="preserve"> [PDF],</w:t>
      </w:r>
      <w:r w:rsidR="0032576D" w:rsidRPr="00025F76">
        <w:rPr>
          <w:szCs w:val="22"/>
        </w:rPr>
        <w:t xml:space="preserve"> Department of Justice and Attorney-G</w:t>
      </w:r>
      <w:r>
        <w:rPr>
          <w:szCs w:val="22"/>
        </w:rPr>
        <w:t>eneral, The State of</w:t>
      </w:r>
      <w:r w:rsidR="00B8680F">
        <w:rPr>
          <w:szCs w:val="22"/>
        </w:rPr>
        <w:t xml:space="preserve"> Queensland, accessed 25 September 2023</w:t>
      </w:r>
      <w:r>
        <w:rPr>
          <w:szCs w:val="22"/>
        </w:rPr>
        <w:t>.</w:t>
      </w:r>
    </w:p>
    <w:p w14:paraId="52016F0B" w14:textId="0DBC53F9" w:rsidR="005A7917" w:rsidRDefault="005A7917" w:rsidP="005A7917">
      <w:pPr>
        <w:spacing w:before="0" w:after="120" w:line="276" w:lineRule="auto"/>
        <w:rPr>
          <w:rFonts w:cs="Arial"/>
          <w:iCs/>
          <w:color w:val="000000"/>
          <w:szCs w:val="22"/>
        </w:rPr>
      </w:pPr>
      <w:r>
        <w:rPr>
          <w:szCs w:val="22"/>
        </w:rPr>
        <w:t>United Nations (</w:t>
      </w:r>
      <w:proofErr w:type="spellStart"/>
      <w:r>
        <w:rPr>
          <w:szCs w:val="22"/>
        </w:rPr>
        <w:t>n.d</w:t>
      </w:r>
      <w:proofErr w:type="spellEnd"/>
      <w:r w:rsidRPr="00025F76">
        <w:rPr>
          <w:szCs w:val="22"/>
        </w:rPr>
        <w:t xml:space="preserve">) </w:t>
      </w:r>
      <w:hyperlink r:id="rId49" w:history="1">
        <w:r>
          <w:rPr>
            <w:rStyle w:val="Hyperlink"/>
            <w:rFonts w:cs="Arial"/>
            <w:i/>
            <w:szCs w:val="22"/>
          </w:rPr>
          <w:t>Article 25 – Health in the convention on the rights of persons with disabilities (UNCRPD)</w:t>
        </w:r>
      </w:hyperlink>
      <w:r>
        <w:rPr>
          <w:rFonts w:cs="Arial"/>
          <w:iCs/>
          <w:color w:val="000000"/>
          <w:szCs w:val="22"/>
        </w:rPr>
        <w:t>, United Nations, accessed 25 September 2023.</w:t>
      </w:r>
    </w:p>
    <w:p w14:paraId="0CEE3A26" w14:textId="088F31CA" w:rsidR="00D71445" w:rsidRPr="00025F76" w:rsidRDefault="00D71445" w:rsidP="005A7917">
      <w:pPr>
        <w:spacing w:before="0" w:after="120" w:line="276" w:lineRule="auto"/>
        <w:rPr>
          <w:rStyle w:val="Hyperlink"/>
          <w:bCs/>
          <w:szCs w:val="22"/>
        </w:rPr>
      </w:pPr>
      <w:r>
        <w:rPr>
          <w:rFonts w:cs="Arial"/>
          <w:iCs/>
          <w:color w:val="000000"/>
          <w:szCs w:val="22"/>
        </w:rPr>
        <w:t>United Nations Human Rights: Office of the high commissioner (</w:t>
      </w:r>
      <w:proofErr w:type="spellStart"/>
      <w:r>
        <w:rPr>
          <w:rFonts w:cs="Arial"/>
          <w:iCs/>
          <w:color w:val="000000"/>
          <w:szCs w:val="22"/>
        </w:rPr>
        <w:t>n.d</w:t>
      </w:r>
      <w:proofErr w:type="spellEnd"/>
      <w:r>
        <w:rPr>
          <w:rFonts w:cs="Arial"/>
          <w:iCs/>
          <w:color w:val="000000"/>
          <w:szCs w:val="22"/>
        </w:rPr>
        <w:t xml:space="preserve">) </w:t>
      </w:r>
      <w:hyperlink r:id="rId50" w:history="1">
        <w:r w:rsidRPr="00D71445">
          <w:rPr>
            <w:rStyle w:val="Hyperlink"/>
            <w:i/>
          </w:rPr>
          <w:t>The right to health: key aspects and common misconceptions</w:t>
        </w:r>
      </w:hyperlink>
      <w:r>
        <w:t>, accessed 20 February 2024.</w:t>
      </w:r>
    </w:p>
    <w:p w14:paraId="1C0DCB7F" w14:textId="77777777" w:rsidR="001E5690" w:rsidRPr="00025F76" w:rsidRDefault="001E5690" w:rsidP="005A7917">
      <w:pPr>
        <w:spacing w:before="0" w:after="120" w:line="276" w:lineRule="auto"/>
        <w:rPr>
          <w:szCs w:val="22"/>
        </w:rPr>
      </w:pPr>
      <w:r w:rsidRPr="00025F76">
        <w:rPr>
          <w:szCs w:val="22"/>
        </w:rPr>
        <w:lastRenderedPageBreak/>
        <w:t>Western Austral</w:t>
      </w:r>
      <w:r w:rsidR="00DB513F">
        <w:rPr>
          <w:szCs w:val="22"/>
        </w:rPr>
        <w:t>ian Department of Health (2016)</w:t>
      </w:r>
      <w:r w:rsidRPr="00025F76">
        <w:rPr>
          <w:szCs w:val="22"/>
        </w:rPr>
        <w:t xml:space="preserve"> </w:t>
      </w:r>
      <w:hyperlink r:id="rId51" w:history="1">
        <w:r w:rsidR="00B8680F">
          <w:rPr>
            <w:rStyle w:val="Hyperlink"/>
            <w:i/>
            <w:szCs w:val="22"/>
          </w:rPr>
          <w:t>Hospital stay guideline for hospitals and disability service organisations</w:t>
        </w:r>
      </w:hyperlink>
      <w:r w:rsidR="00DB513F" w:rsidRPr="00DB513F">
        <w:rPr>
          <w:rStyle w:val="Hyperlink"/>
          <w:szCs w:val="22"/>
        </w:rPr>
        <w:t xml:space="preserve"> [PDF]</w:t>
      </w:r>
      <w:r w:rsidR="00DB513F">
        <w:rPr>
          <w:szCs w:val="22"/>
        </w:rPr>
        <w:t>,</w:t>
      </w:r>
      <w:r w:rsidRPr="00025F76">
        <w:rPr>
          <w:szCs w:val="22"/>
        </w:rPr>
        <w:t xml:space="preserve"> Perth: Health Networks Directorate, Western A</w:t>
      </w:r>
      <w:r w:rsidR="00DB513F">
        <w:rPr>
          <w:szCs w:val="22"/>
        </w:rPr>
        <w:t>ustralian Department of Health, accessed 31 July 2023.</w:t>
      </w:r>
    </w:p>
    <w:p w14:paraId="58447A16" w14:textId="77777777" w:rsidR="00CB4A38" w:rsidRPr="00732F78" w:rsidRDefault="00CB4A38" w:rsidP="005A7917">
      <w:pPr>
        <w:spacing w:before="0" w:after="120" w:line="276" w:lineRule="auto"/>
        <w:rPr>
          <w:szCs w:val="22"/>
        </w:rPr>
      </w:pPr>
      <w:r w:rsidRPr="00025F76">
        <w:rPr>
          <w:szCs w:val="22"/>
        </w:rPr>
        <w:t>World Health Organisatio</w:t>
      </w:r>
      <w:r w:rsidR="00DB513F">
        <w:rPr>
          <w:szCs w:val="22"/>
        </w:rPr>
        <w:t>n (2019)</w:t>
      </w:r>
      <w:r w:rsidRPr="00025F76">
        <w:rPr>
          <w:szCs w:val="22"/>
        </w:rPr>
        <w:t xml:space="preserve"> </w:t>
      </w:r>
      <w:hyperlink r:id="rId52" w:history="1">
        <w:r w:rsidR="005A7917">
          <w:rPr>
            <w:rStyle w:val="Hyperlink"/>
            <w:i/>
            <w:szCs w:val="22"/>
          </w:rPr>
          <w:t>Medication safety in transitions of care</w:t>
        </w:r>
      </w:hyperlink>
      <w:r w:rsidR="00732F78" w:rsidRPr="00732F78">
        <w:rPr>
          <w:szCs w:val="22"/>
        </w:rPr>
        <w:t>,</w:t>
      </w:r>
      <w:r w:rsidR="00732F78">
        <w:rPr>
          <w:szCs w:val="22"/>
        </w:rPr>
        <w:t xml:space="preserve"> </w:t>
      </w:r>
      <w:r w:rsidR="00732F78" w:rsidRPr="00732F78">
        <w:rPr>
          <w:szCs w:val="22"/>
        </w:rPr>
        <w:t xml:space="preserve">World Health Organisation, accessed </w:t>
      </w:r>
      <w:r w:rsidR="005A7917">
        <w:rPr>
          <w:szCs w:val="22"/>
        </w:rPr>
        <w:t>25 September 2023</w:t>
      </w:r>
      <w:r w:rsidR="00732F78" w:rsidRPr="00732F78">
        <w:rPr>
          <w:szCs w:val="22"/>
        </w:rPr>
        <w:t>.</w:t>
      </w:r>
    </w:p>
    <w:p w14:paraId="560C8B9C" w14:textId="77777777" w:rsidR="00732F78" w:rsidRPr="00732F78" w:rsidRDefault="00732F78" w:rsidP="005A7917">
      <w:pPr>
        <w:spacing w:before="0" w:after="120" w:line="276" w:lineRule="auto"/>
        <w:rPr>
          <w:szCs w:val="22"/>
        </w:rPr>
      </w:pPr>
      <w:r w:rsidRPr="00732F78">
        <w:rPr>
          <w:szCs w:val="22"/>
        </w:rPr>
        <w:t>[The link targets a landing page, not a PDF.]</w:t>
      </w:r>
    </w:p>
    <w:p w14:paraId="3A54D5E9" w14:textId="77777777" w:rsidR="00732F78" w:rsidRPr="00732F78" w:rsidRDefault="00F1656F" w:rsidP="005A7917">
      <w:pPr>
        <w:spacing w:before="0" w:after="120" w:line="276" w:lineRule="auto"/>
        <w:rPr>
          <w:szCs w:val="22"/>
        </w:rPr>
      </w:pPr>
      <w:r w:rsidRPr="00025F76">
        <w:rPr>
          <w:szCs w:val="22"/>
        </w:rPr>
        <w:t xml:space="preserve">World Health Organisation (2016). </w:t>
      </w:r>
      <w:hyperlink r:id="rId53" w:history="1">
        <w:r w:rsidR="005A7917">
          <w:rPr>
            <w:rStyle w:val="Hyperlink"/>
            <w:i/>
            <w:szCs w:val="22"/>
          </w:rPr>
          <w:t>Transitions of care: Technical series on safer primary care</w:t>
        </w:r>
      </w:hyperlink>
      <w:r w:rsidR="00732F78">
        <w:rPr>
          <w:rStyle w:val="Hyperlink"/>
          <w:i/>
          <w:szCs w:val="22"/>
        </w:rPr>
        <w:t>,</w:t>
      </w:r>
      <w:r w:rsidRPr="00025F76">
        <w:rPr>
          <w:szCs w:val="22"/>
        </w:rPr>
        <w:t xml:space="preserve"> </w:t>
      </w:r>
      <w:r w:rsidR="00732F78" w:rsidRPr="00732F78">
        <w:rPr>
          <w:szCs w:val="22"/>
        </w:rPr>
        <w:t xml:space="preserve">World </w:t>
      </w:r>
      <w:r w:rsidR="005A7917">
        <w:rPr>
          <w:szCs w:val="22"/>
        </w:rPr>
        <w:t>Health Organisation, accessed 25 September</w:t>
      </w:r>
      <w:r w:rsidR="00732F78" w:rsidRPr="00732F78">
        <w:rPr>
          <w:szCs w:val="22"/>
        </w:rPr>
        <w:t xml:space="preserve"> 2023.</w:t>
      </w:r>
    </w:p>
    <w:p w14:paraId="639F173F" w14:textId="77777777" w:rsidR="00226514" w:rsidRPr="00B8680F" w:rsidRDefault="00732F78" w:rsidP="005A7917">
      <w:pPr>
        <w:spacing w:before="0" w:after="120" w:line="276" w:lineRule="auto"/>
        <w:rPr>
          <w:szCs w:val="22"/>
        </w:rPr>
      </w:pPr>
      <w:r w:rsidRPr="00732F78">
        <w:rPr>
          <w:szCs w:val="22"/>
        </w:rPr>
        <w:t>[The link targets a landing page, not a PDF.]</w:t>
      </w:r>
    </w:p>
    <w:sectPr w:rsidR="00226514" w:rsidRPr="00B8680F" w:rsidSect="00CB1A94">
      <w:headerReference w:type="default" r:id="rId54"/>
      <w:footerReference w:type="default" r:id="rId55"/>
      <w:headerReference w:type="first" r:id="rId56"/>
      <w:footerReference w:type="first" r:id="rId57"/>
      <w:type w:val="continuous"/>
      <w:pgSz w:w="11906" w:h="16838" w:code="9"/>
      <w:pgMar w:top="1440" w:right="1440" w:bottom="1440" w:left="1440" w:header="284" w:footer="39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9899A" w14:textId="77777777" w:rsidR="00D91D94" w:rsidRDefault="00D91D94" w:rsidP="008E21DE">
      <w:pPr>
        <w:spacing w:before="0" w:after="0"/>
      </w:pPr>
      <w:r>
        <w:separator/>
      </w:r>
    </w:p>
  </w:endnote>
  <w:endnote w:type="continuationSeparator" w:id="0">
    <w:p w14:paraId="28A1542C" w14:textId="77777777" w:rsidR="00D91D94" w:rsidRDefault="00D91D94"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5ACB" w14:textId="027A627B" w:rsidR="00A1265A" w:rsidRPr="00226514" w:rsidRDefault="00A1265A" w:rsidP="00226514">
    <w:pPr>
      <w:pStyle w:val="Footer"/>
      <w:pBdr>
        <w:top w:val="single" w:sz="4" w:space="1" w:color="auto"/>
      </w:pBdr>
      <w:jc w:val="both"/>
    </w:pPr>
    <w:r>
      <w:t xml:space="preserve">Practice Alert: Transitions of care between </w:t>
    </w:r>
    <w:r w:rsidR="00E76C76">
      <w:t>home</w:t>
    </w:r>
    <w:r>
      <w:t xml:space="preserve"> and hospitals</w:t>
    </w:r>
    <w:r>
      <w:tab/>
      <w:t xml:space="preserve">Page </w:t>
    </w:r>
    <w:r>
      <w:fldChar w:fldCharType="begin"/>
    </w:r>
    <w:r>
      <w:instrText xml:space="preserve"> PAGE   \* MERGEFORMAT </w:instrText>
    </w:r>
    <w:r>
      <w:fldChar w:fldCharType="separate"/>
    </w:r>
    <w:r w:rsidR="004764F0">
      <w:rPr>
        <w:noProof/>
      </w:rPr>
      <w:t>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A98FA" w14:textId="5864415A" w:rsidR="00A1265A" w:rsidRPr="00226514" w:rsidRDefault="00A1265A" w:rsidP="00226514">
    <w:pPr>
      <w:pStyle w:val="Footer"/>
      <w:pBdr>
        <w:top w:val="single" w:sz="4" w:space="1" w:color="auto"/>
      </w:pBdr>
      <w:jc w:val="both"/>
    </w:pPr>
    <w:r>
      <w:t xml:space="preserve">Practice Alert: Transitions of care between </w:t>
    </w:r>
    <w:r w:rsidR="00E76C76">
      <w:t>home</w:t>
    </w:r>
    <w:r>
      <w:t xml:space="preserve"> and hospitals</w:t>
    </w:r>
    <w:r>
      <w:tab/>
      <w:t xml:space="preserve">Page </w:t>
    </w:r>
    <w:r>
      <w:fldChar w:fldCharType="begin"/>
    </w:r>
    <w:r>
      <w:instrText xml:space="preserve"> PAGE   \* MERGEFORMAT </w:instrText>
    </w:r>
    <w:r>
      <w:fldChar w:fldCharType="separate"/>
    </w:r>
    <w:r w:rsidR="004764F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2494F" w14:textId="77777777" w:rsidR="00D91D94" w:rsidRDefault="00D91D94" w:rsidP="008E21DE">
      <w:pPr>
        <w:spacing w:before="0" w:after="0"/>
      </w:pPr>
      <w:r>
        <w:separator/>
      </w:r>
    </w:p>
  </w:footnote>
  <w:footnote w:type="continuationSeparator" w:id="0">
    <w:p w14:paraId="0965B685" w14:textId="77777777" w:rsidR="00D91D94" w:rsidRDefault="00D91D94"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BD2BE" w14:textId="77777777" w:rsidR="00A1265A" w:rsidRDefault="00A1265A">
    <w:pPr>
      <w:pStyle w:val="Header"/>
    </w:pPr>
  </w:p>
  <w:p w14:paraId="6EC08CD3" w14:textId="77777777" w:rsidR="00A1265A" w:rsidRDefault="00A1265A">
    <w:pPr>
      <w:pStyle w:val="Header"/>
    </w:pPr>
    <w:r>
      <w:rPr>
        <w:b w:val="0"/>
        <w:bCs/>
        <w:noProof/>
        <w:lang w:eastAsia="en-AU"/>
      </w:rPr>
      <mc:AlternateContent>
        <mc:Choice Requires="wps">
          <w:drawing>
            <wp:inline distT="0" distB="0" distL="0" distR="0" wp14:anchorId="38E4F727" wp14:editId="42EA6DD5">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ED215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02108" w14:textId="77777777" w:rsidR="00A1265A" w:rsidRDefault="00A1265A">
    <w:pPr>
      <w:pStyle w:val="Header"/>
    </w:pPr>
    <w:r>
      <w:rPr>
        <w:noProof/>
        <w:lang w:eastAsia="en-AU"/>
      </w:rPr>
      <w:ptab w:relativeTo="margin" w:alignment="left" w:leader="none"/>
    </w:r>
    <w:r>
      <w:rPr>
        <w:noProof/>
        <w:lang w:eastAsia="en-AU"/>
      </w:rPr>
      <w:drawing>
        <wp:inline distT="0" distB="0" distL="0" distR="0" wp14:anchorId="368455FA" wp14:editId="0DE32A3F">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F40C3"/>
    <w:multiLevelType w:val="hybridMultilevel"/>
    <w:tmpl w:val="8DAC85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25361A5"/>
    <w:multiLevelType w:val="hybridMultilevel"/>
    <w:tmpl w:val="C8A4B738"/>
    <w:lvl w:ilvl="0" w:tplc="2A6CE9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845AB3"/>
    <w:multiLevelType w:val="hybridMultilevel"/>
    <w:tmpl w:val="58D66736"/>
    <w:lvl w:ilvl="0" w:tplc="224642D0">
      <w:numFmt w:val="bullet"/>
      <w:lvlText w:val="•"/>
      <w:lvlJc w:val="left"/>
      <w:pPr>
        <w:ind w:left="720" w:hanging="360"/>
      </w:pPr>
      <w:rPr>
        <w:rFonts w:ascii="Calibri" w:eastAsia="Times New Roman" w:hAnsi="Calibri" w:cs="Calibri" w:hint="default"/>
        <w:sz w:val="2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E2080F"/>
    <w:multiLevelType w:val="hybridMultilevel"/>
    <w:tmpl w:val="B114DF06"/>
    <w:lvl w:ilvl="0" w:tplc="35FEC1EC">
      <w:start w:val="1"/>
      <w:numFmt w:val="bullet"/>
      <w:lvlText w:val=""/>
      <w:lvlJc w:val="left"/>
      <w:pPr>
        <w:ind w:left="862" w:hanging="360"/>
      </w:pPr>
      <w:rPr>
        <w:rFonts w:ascii="Symbol" w:hAnsi="Symbol" w:hint="default"/>
        <w:color w:val="962C8B" w:themeColor="accent2"/>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5977467"/>
    <w:multiLevelType w:val="hybridMultilevel"/>
    <w:tmpl w:val="D28606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B9978E6"/>
    <w:multiLevelType w:val="multilevel"/>
    <w:tmpl w:val="CBE46C06"/>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2833463"/>
    <w:multiLevelType w:val="hybridMultilevel"/>
    <w:tmpl w:val="5BCAB3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3B63980"/>
    <w:multiLevelType w:val="hybridMultilevel"/>
    <w:tmpl w:val="2CBA37E8"/>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3F3AD3"/>
    <w:multiLevelType w:val="hybridMultilevel"/>
    <w:tmpl w:val="ECFADD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1E4445"/>
    <w:multiLevelType w:val="hybridMultilevel"/>
    <w:tmpl w:val="7C02C624"/>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F545FEE"/>
    <w:multiLevelType w:val="hybridMultilevel"/>
    <w:tmpl w:val="F95A9E3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6" w15:restartNumberingAfterBreak="0">
    <w:nsid w:val="32604AE2"/>
    <w:multiLevelType w:val="hybridMultilevel"/>
    <w:tmpl w:val="2F2401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F93E07"/>
    <w:multiLevelType w:val="hybridMultilevel"/>
    <w:tmpl w:val="A8C06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1B32BC"/>
    <w:multiLevelType w:val="hybridMultilevel"/>
    <w:tmpl w:val="19C8936C"/>
    <w:lvl w:ilvl="0" w:tplc="35FEC1EC">
      <w:start w:val="1"/>
      <w:numFmt w:val="bullet"/>
      <w:lvlText w:val=""/>
      <w:lvlJc w:val="left"/>
      <w:pPr>
        <w:ind w:left="720" w:hanging="360"/>
      </w:pPr>
      <w:rPr>
        <w:rFonts w:ascii="Symbol" w:hAnsi="Symbol" w:hint="default"/>
        <w:color w:val="962C8B" w:themeColor="accen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BD742F"/>
    <w:multiLevelType w:val="hybridMultilevel"/>
    <w:tmpl w:val="E3B40ACC"/>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534513E"/>
    <w:multiLevelType w:val="hybridMultilevel"/>
    <w:tmpl w:val="F9A831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15:restartNumberingAfterBreak="0">
    <w:nsid w:val="36C96B5A"/>
    <w:multiLevelType w:val="multilevel"/>
    <w:tmpl w:val="5AC4A87C"/>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962C8B" w:themeColor="accent2"/>
      </w:rPr>
    </w:lvl>
    <w:lvl w:ilvl="2">
      <w:start w:val="1"/>
      <w:numFmt w:val="bullet"/>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2" w15:restartNumberingAfterBreak="0">
    <w:nsid w:val="3C554D59"/>
    <w:multiLevelType w:val="hybridMultilevel"/>
    <w:tmpl w:val="2198064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E0A47ED"/>
    <w:multiLevelType w:val="hybridMultilevel"/>
    <w:tmpl w:val="38C2B40E"/>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BB0378"/>
    <w:multiLevelType w:val="hybridMultilevel"/>
    <w:tmpl w:val="8A3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6" w15:restartNumberingAfterBreak="0">
    <w:nsid w:val="4437478C"/>
    <w:multiLevelType w:val="hybridMultilevel"/>
    <w:tmpl w:val="0A8ACE82"/>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D707CB"/>
    <w:multiLevelType w:val="hybridMultilevel"/>
    <w:tmpl w:val="49328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8615703"/>
    <w:multiLevelType w:val="multilevel"/>
    <w:tmpl w:val="803CF862"/>
    <w:numStyleLink w:val="List1Numbered"/>
  </w:abstractNum>
  <w:abstractNum w:abstractNumId="31" w15:restartNumberingAfterBreak="0">
    <w:nsid w:val="5B547454"/>
    <w:multiLevelType w:val="hybridMultilevel"/>
    <w:tmpl w:val="07768C80"/>
    <w:lvl w:ilvl="0" w:tplc="35FEC1EC">
      <w:start w:val="1"/>
      <w:numFmt w:val="bullet"/>
      <w:lvlText w:val=""/>
      <w:lvlJc w:val="left"/>
      <w:pPr>
        <w:ind w:left="360" w:hanging="360"/>
      </w:pPr>
      <w:rPr>
        <w:rFonts w:ascii="Symbol" w:hAnsi="Symbol" w:hint="default"/>
        <w:color w:val="962C8B" w:themeColor="accen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1391290"/>
    <w:multiLevelType w:val="hybridMultilevel"/>
    <w:tmpl w:val="B7E684CC"/>
    <w:lvl w:ilvl="0" w:tplc="35FEC1EC">
      <w:start w:val="1"/>
      <w:numFmt w:val="bullet"/>
      <w:lvlText w:val=""/>
      <w:lvlJc w:val="left"/>
      <w:pPr>
        <w:ind w:left="1077" w:hanging="360"/>
      </w:pPr>
      <w:rPr>
        <w:rFonts w:ascii="Symbol" w:hAnsi="Symbol" w:hint="default"/>
        <w:color w:val="962C8B" w:themeColor="accent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671A2C21"/>
    <w:multiLevelType w:val="hybridMultilevel"/>
    <w:tmpl w:val="62A82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AD0EFA"/>
    <w:multiLevelType w:val="hybridMultilevel"/>
    <w:tmpl w:val="96F25BB2"/>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D4F423B"/>
    <w:multiLevelType w:val="multilevel"/>
    <w:tmpl w:val="4A7CCC2C"/>
    <w:numStyleLink w:val="DefaultBullets"/>
  </w:abstractNum>
  <w:abstractNum w:abstractNumId="36" w15:restartNumberingAfterBreak="0">
    <w:nsid w:val="707C09CB"/>
    <w:multiLevelType w:val="hybridMultilevel"/>
    <w:tmpl w:val="CE08A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2AA286C"/>
    <w:multiLevelType w:val="hybridMultilevel"/>
    <w:tmpl w:val="DB5CECAA"/>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9" w15:restartNumberingAfterBreak="0">
    <w:nsid w:val="790B67C4"/>
    <w:multiLevelType w:val="multilevel"/>
    <w:tmpl w:val="FE688822"/>
    <w:numStyleLink w:val="BoxedBullets"/>
  </w:abstractNum>
  <w:abstractNum w:abstractNumId="40" w15:restartNumberingAfterBreak="0">
    <w:nsid w:val="7948237E"/>
    <w:multiLevelType w:val="hybridMultilevel"/>
    <w:tmpl w:val="8832547C"/>
    <w:lvl w:ilvl="0" w:tplc="35FEC1EC">
      <w:start w:val="1"/>
      <w:numFmt w:val="bullet"/>
      <w:lvlText w:val=""/>
      <w:lvlJc w:val="left"/>
      <w:pPr>
        <w:ind w:left="720" w:hanging="360"/>
      </w:pPr>
      <w:rPr>
        <w:rFonts w:ascii="Symbol" w:hAnsi="Symbol" w:hint="default"/>
        <w:color w:val="962C8B"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82030680">
    <w:abstractNumId w:val="4"/>
  </w:num>
  <w:num w:numId="2" w16cid:durableId="1600914770">
    <w:abstractNumId w:val="27"/>
  </w:num>
  <w:num w:numId="3" w16cid:durableId="1953245706">
    <w:abstractNumId w:val="39"/>
  </w:num>
  <w:num w:numId="4" w16cid:durableId="1678849591">
    <w:abstractNumId w:val="25"/>
  </w:num>
  <w:num w:numId="5" w16cid:durableId="1438716439">
    <w:abstractNumId w:val="9"/>
  </w:num>
  <w:num w:numId="6" w16cid:durableId="1821462510">
    <w:abstractNumId w:val="7"/>
  </w:num>
  <w:num w:numId="7" w16cid:durableId="425343545">
    <w:abstractNumId w:val="30"/>
  </w:num>
  <w:num w:numId="8" w16cid:durableId="2011180501">
    <w:abstractNumId w:val="29"/>
  </w:num>
  <w:num w:numId="9" w16cid:durableId="1122304185">
    <w:abstractNumId w:val="10"/>
  </w:num>
  <w:num w:numId="10" w16cid:durableId="557711542">
    <w:abstractNumId w:val="38"/>
  </w:num>
  <w:num w:numId="11" w16cid:durableId="1647006827">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12" w16cid:durableId="2068719189">
    <w:abstractNumId w:val="2"/>
  </w:num>
  <w:num w:numId="13" w16cid:durableId="2009478480">
    <w:abstractNumId w:val="11"/>
  </w:num>
  <w:num w:numId="14" w16cid:durableId="1289120569">
    <w:abstractNumId w:val="15"/>
  </w:num>
  <w:num w:numId="15" w16cid:durableId="175654473">
    <w:abstractNumId w:val="36"/>
  </w:num>
  <w:num w:numId="16" w16cid:durableId="1691030581">
    <w:abstractNumId w:val="6"/>
  </w:num>
  <w:num w:numId="17" w16cid:durableId="19553247">
    <w:abstractNumId w:val="3"/>
  </w:num>
  <w:num w:numId="18" w16cid:durableId="161356215">
    <w:abstractNumId w:val="40"/>
  </w:num>
  <w:num w:numId="19" w16cid:durableId="543979948">
    <w:abstractNumId w:val="23"/>
  </w:num>
  <w:num w:numId="20" w16cid:durableId="1928923984">
    <w:abstractNumId w:val="12"/>
  </w:num>
  <w:num w:numId="21" w16cid:durableId="1336299163">
    <w:abstractNumId w:val="22"/>
  </w:num>
  <w:num w:numId="22" w16cid:durableId="13767987">
    <w:abstractNumId w:val="34"/>
  </w:num>
  <w:num w:numId="23" w16cid:durableId="989290250">
    <w:abstractNumId w:val="13"/>
  </w:num>
  <w:num w:numId="24" w16cid:durableId="1250500189">
    <w:abstractNumId w:val="32"/>
  </w:num>
  <w:num w:numId="25" w16cid:durableId="654181870">
    <w:abstractNumId w:val="19"/>
  </w:num>
  <w:num w:numId="26" w16cid:durableId="630398859">
    <w:abstractNumId w:val="14"/>
  </w:num>
  <w:num w:numId="27" w16cid:durableId="267347930">
    <w:abstractNumId w:val="37"/>
  </w:num>
  <w:num w:numId="28" w16cid:durableId="251358571">
    <w:abstractNumId w:val="24"/>
  </w:num>
  <w:num w:numId="29" w16cid:durableId="918947773">
    <w:abstractNumId w:val="0"/>
  </w:num>
  <w:num w:numId="30" w16cid:durableId="1019238680">
    <w:abstractNumId w:val="16"/>
  </w:num>
  <w:num w:numId="31" w16cid:durableId="1380203241">
    <w:abstractNumId w:val="20"/>
  </w:num>
  <w:num w:numId="32" w16cid:durableId="624388660">
    <w:abstractNumId w:val="18"/>
  </w:num>
  <w:num w:numId="33" w16cid:durableId="952201933">
    <w:abstractNumId w:val="17"/>
  </w:num>
  <w:num w:numId="34" w16cid:durableId="1468543445">
    <w:abstractNumId w:val="33"/>
  </w:num>
  <w:num w:numId="35" w16cid:durableId="159346422">
    <w:abstractNumId w:val="35"/>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lvlOverride w:ilvl="3">
      <w:lvl w:ilvl="3">
        <w:start w:val="1"/>
        <w:numFmt w:val="decimal"/>
        <w:lvlText w:val="(%4)"/>
        <w:lvlJc w:val="left"/>
        <w:pPr>
          <w:ind w:left="1136"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lef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left"/>
        <w:pPr>
          <w:ind w:left="2556" w:hanging="284"/>
        </w:pPr>
        <w:rPr>
          <w:rFonts w:hint="default"/>
        </w:rPr>
      </w:lvl>
    </w:lvlOverride>
  </w:num>
  <w:num w:numId="36" w16cid:durableId="1878589590">
    <w:abstractNumId w:val="28"/>
  </w:num>
  <w:num w:numId="37" w16cid:durableId="1395159350">
    <w:abstractNumId w:val="5"/>
  </w:num>
  <w:num w:numId="38" w16cid:durableId="1823501456">
    <w:abstractNumId w:val="8"/>
  </w:num>
  <w:num w:numId="39" w16cid:durableId="637760145">
    <w:abstractNumId w:val="31"/>
  </w:num>
  <w:num w:numId="40" w16cid:durableId="708991447">
    <w:abstractNumId w:val="26"/>
  </w:num>
  <w:num w:numId="41" w16cid:durableId="1925186371">
    <w:abstractNumId w:val="21"/>
  </w:num>
  <w:num w:numId="42" w16cid:durableId="1308978600">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4C021A3-6F5B-4421-98C8-092D22BD9B47}"/>
    <w:docVar w:name="dgnword-eventsink" w:val="693060280"/>
    <w:docVar w:name="dgnword-lastRevisionsView" w:val="0"/>
  </w:docVars>
  <w:rsids>
    <w:rsidRoot w:val="00BA5605"/>
    <w:rsid w:val="000104D6"/>
    <w:rsid w:val="000141B0"/>
    <w:rsid w:val="00025F76"/>
    <w:rsid w:val="00030327"/>
    <w:rsid w:val="00030CF7"/>
    <w:rsid w:val="0003714D"/>
    <w:rsid w:val="00042C09"/>
    <w:rsid w:val="00043D08"/>
    <w:rsid w:val="00062C4D"/>
    <w:rsid w:val="00074E9E"/>
    <w:rsid w:val="0007714B"/>
    <w:rsid w:val="00080615"/>
    <w:rsid w:val="000808CB"/>
    <w:rsid w:val="000927C4"/>
    <w:rsid w:val="000A1495"/>
    <w:rsid w:val="000C252F"/>
    <w:rsid w:val="000C2D57"/>
    <w:rsid w:val="000C3353"/>
    <w:rsid w:val="000C3BEC"/>
    <w:rsid w:val="000D0D4A"/>
    <w:rsid w:val="000E07F9"/>
    <w:rsid w:val="000E1AB3"/>
    <w:rsid w:val="000E3CF5"/>
    <w:rsid w:val="000F2A3B"/>
    <w:rsid w:val="000F3A54"/>
    <w:rsid w:val="000F48FC"/>
    <w:rsid w:val="0011161F"/>
    <w:rsid w:val="00113B13"/>
    <w:rsid w:val="00114FE9"/>
    <w:rsid w:val="00115117"/>
    <w:rsid w:val="001171CB"/>
    <w:rsid w:val="00122393"/>
    <w:rsid w:val="00123535"/>
    <w:rsid w:val="00140F21"/>
    <w:rsid w:val="001429F9"/>
    <w:rsid w:val="00145E9C"/>
    <w:rsid w:val="00150162"/>
    <w:rsid w:val="0015481B"/>
    <w:rsid w:val="00157C29"/>
    <w:rsid w:val="00164AB3"/>
    <w:rsid w:val="00165738"/>
    <w:rsid w:val="00182709"/>
    <w:rsid w:val="0018626E"/>
    <w:rsid w:val="001866F1"/>
    <w:rsid w:val="0018742F"/>
    <w:rsid w:val="00193670"/>
    <w:rsid w:val="00197DB7"/>
    <w:rsid w:val="001A4A89"/>
    <w:rsid w:val="001C0143"/>
    <w:rsid w:val="001C10BA"/>
    <w:rsid w:val="001D00D1"/>
    <w:rsid w:val="001D69B8"/>
    <w:rsid w:val="001E2AB6"/>
    <w:rsid w:val="001E5690"/>
    <w:rsid w:val="001F05CC"/>
    <w:rsid w:val="001F32C6"/>
    <w:rsid w:val="00201052"/>
    <w:rsid w:val="00210CF1"/>
    <w:rsid w:val="00224568"/>
    <w:rsid w:val="00224AB3"/>
    <w:rsid w:val="00226514"/>
    <w:rsid w:val="00231AAC"/>
    <w:rsid w:val="00231C2F"/>
    <w:rsid w:val="00231DE4"/>
    <w:rsid w:val="002369A3"/>
    <w:rsid w:val="00240880"/>
    <w:rsid w:val="00247DAE"/>
    <w:rsid w:val="0026708F"/>
    <w:rsid w:val="00271B3C"/>
    <w:rsid w:val="002804D3"/>
    <w:rsid w:val="00280B7F"/>
    <w:rsid w:val="002811BC"/>
    <w:rsid w:val="00284807"/>
    <w:rsid w:val="002A11F9"/>
    <w:rsid w:val="002C6B33"/>
    <w:rsid w:val="002E4FD3"/>
    <w:rsid w:val="002F05BF"/>
    <w:rsid w:val="002F3020"/>
    <w:rsid w:val="002F6CFC"/>
    <w:rsid w:val="00301E05"/>
    <w:rsid w:val="00302503"/>
    <w:rsid w:val="003035B7"/>
    <w:rsid w:val="00307F30"/>
    <w:rsid w:val="003135AD"/>
    <w:rsid w:val="003176C0"/>
    <w:rsid w:val="00321D17"/>
    <w:rsid w:val="0032576D"/>
    <w:rsid w:val="00326E71"/>
    <w:rsid w:val="00334AFF"/>
    <w:rsid w:val="00335AC2"/>
    <w:rsid w:val="00342EFF"/>
    <w:rsid w:val="003449A0"/>
    <w:rsid w:val="00357205"/>
    <w:rsid w:val="00362AB6"/>
    <w:rsid w:val="003A74B0"/>
    <w:rsid w:val="003B3ED7"/>
    <w:rsid w:val="003C00A3"/>
    <w:rsid w:val="003C0471"/>
    <w:rsid w:val="003F29B8"/>
    <w:rsid w:val="003F5E59"/>
    <w:rsid w:val="00401301"/>
    <w:rsid w:val="0041333F"/>
    <w:rsid w:val="004154E2"/>
    <w:rsid w:val="004166F9"/>
    <w:rsid w:val="00420DAC"/>
    <w:rsid w:val="004225B2"/>
    <w:rsid w:val="00422C8A"/>
    <w:rsid w:val="00433323"/>
    <w:rsid w:val="00440088"/>
    <w:rsid w:val="00457B58"/>
    <w:rsid w:val="00460AE7"/>
    <w:rsid w:val="00461264"/>
    <w:rsid w:val="00461DE3"/>
    <w:rsid w:val="00466D9B"/>
    <w:rsid w:val="004700E9"/>
    <w:rsid w:val="00471214"/>
    <w:rsid w:val="00474AFB"/>
    <w:rsid w:val="004764F0"/>
    <w:rsid w:val="00490CA9"/>
    <w:rsid w:val="00493977"/>
    <w:rsid w:val="004A12F5"/>
    <w:rsid w:val="004A3A3A"/>
    <w:rsid w:val="004B045A"/>
    <w:rsid w:val="004B15AA"/>
    <w:rsid w:val="004C311D"/>
    <w:rsid w:val="004D4273"/>
    <w:rsid w:val="004D4F8A"/>
    <w:rsid w:val="004E35ED"/>
    <w:rsid w:val="004F01CD"/>
    <w:rsid w:val="004F347E"/>
    <w:rsid w:val="00501BE1"/>
    <w:rsid w:val="00514B98"/>
    <w:rsid w:val="00514C3D"/>
    <w:rsid w:val="00522D4E"/>
    <w:rsid w:val="0052419E"/>
    <w:rsid w:val="005244B4"/>
    <w:rsid w:val="00526F9F"/>
    <w:rsid w:val="00533679"/>
    <w:rsid w:val="00533E40"/>
    <w:rsid w:val="00534D53"/>
    <w:rsid w:val="00534FCE"/>
    <w:rsid w:val="005442E6"/>
    <w:rsid w:val="00553631"/>
    <w:rsid w:val="00562AB0"/>
    <w:rsid w:val="0057088D"/>
    <w:rsid w:val="00574141"/>
    <w:rsid w:val="0058181B"/>
    <w:rsid w:val="005932F6"/>
    <w:rsid w:val="00596488"/>
    <w:rsid w:val="005A68BD"/>
    <w:rsid w:val="005A7917"/>
    <w:rsid w:val="005B053D"/>
    <w:rsid w:val="005B4D02"/>
    <w:rsid w:val="005D14DC"/>
    <w:rsid w:val="005D1F6C"/>
    <w:rsid w:val="005D644C"/>
    <w:rsid w:val="005F3A98"/>
    <w:rsid w:val="00601EC1"/>
    <w:rsid w:val="00612896"/>
    <w:rsid w:val="00624438"/>
    <w:rsid w:val="00625854"/>
    <w:rsid w:val="00645D15"/>
    <w:rsid w:val="00651348"/>
    <w:rsid w:val="00652BDE"/>
    <w:rsid w:val="00680A20"/>
    <w:rsid w:val="00680F04"/>
    <w:rsid w:val="00682104"/>
    <w:rsid w:val="006953D2"/>
    <w:rsid w:val="006A14CE"/>
    <w:rsid w:val="006A1DE4"/>
    <w:rsid w:val="006A6479"/>
    <w:rsid w:val="006B4D34"/>
    <w:rsid w:val="006C4A7B"/>
    <w:rsid w:val="006D35A6"/>
    <w:rsid w:val="006D660F"/>
    <w:rsid w:val="006D6D91"/>
    <w:rsid w:val="006E6B20"/>
    <w:rsid w:val="007242F2"/>
    <w:rsid w:val="00732F78"/>
    <w:rsid w:val="007500F1"/>
    <w:rsid w:val="00751D0C"/>
    <w:rsid w:val="00755141"/>
    <w:rsid w:val="0075595A"/>
    <w:rsid w:val="007608D7"/>
    <w:rsid w:val="00764D93"/>
    <w:rsid w:val="00773EE4"/>
    <w:rsid w:val="0078103B"/>
    <w:rsid w:val="007859D4"/>
    <w:rsid w:val="00787F39"/>
    <w:rsid w:val="007A6E0F"/>
    <w:rsid w:val="007A7C97"/>
    <w:rsid w:val="007B11B5"/>
    <w:rsid w:val="007B2E4A"/>
    <w:rsid w:val="007B7382"/>
    <w:rsid w:val="007C07CA"/>
    <w:rsid w:val="007C3735"/>
    <w:rsid w:val="007D26C4"/>
    <w:rsid w:val="007E40D7"/>
    <w:rsid w:val="00801825"/>
    <w:rsid w:val="00827648"/>
    <w:rsid w:val="008277EE"/>
    <w:rsid w:val="00827FE5"/>
    <w:rsid w:val="008324C5"/>
    <w:rsid w:val="008401B6"/>
    <w:rsid w:val="00861687"/>
    <w:rsid w:val="00863305"/>
    <w:rsid w:val="008806FF"/>
    <w:rsid w:val="00884508"/>
    <w:rsid w:val="008850F8"/>
    <w:rsid w:val="0089775B"/>
    <w:rsid w:val="008A649A"/>
    <w:rsid w:val="008B7938"/>
    <w:rsid w:val="008C3752"/>
    <w:rsid w:val="008C4793"/>
    <w:rsid w:val="008D04C5"/>
    <w:rsid w:val="008D107D"/>
    <w:rsid w:val="008E21DE"/>
    <w:rsid w:val="008E2509"/>
    <w:rsid w:val="008E47BB"/>
    <w:rsid w:val="008E7791"/>
    <w:rsid w:val="0090040A"/>
    <w:rsid w:val="009061BF"/>
    <w:rsid w:val="00906AA7"/>
    <w:rsid w:val="00925B34"/>
    <w:rsid w:val="0092679E"/>
    <w:rsid w:val="00930616"/>
    <w:rsid w:val="00943185"/>
    <w:rsid w:val="009467B1"/>
    <w:rsid w:val="009539C8"/>
    <w:rsid w:val="00967E59"/>
    <w:rsid w:val="00970A65"/>
    <w:rsid w:val="00975C4B"/>
    <w:rsid w:val="00985452"/>
    <w:rsid w:val="00985B20"/>
    <w:rsid w:val="00987E1A"/>
    <w:rsid w:val="00987F1A"/>
    <w:rsid w:val="0099570B"/>
    <w:rsid w:val="0099713E"/>
    <w:rsid w:val="009A56C9"/>
    <w:rsid w:val="009B1FF7"/>
    <w:rsid w:val="009C01B7"/>
    <w:rsid w:val="009D06E2"/>
    <w:rsid w:val="009D0A02"/>
    <w:rsid w:val="009D0F36"/>
    <w:rsid w:val="009D4674"/>
    <w:rsid w:val="009E4158"/>
    <w:rsid w:val="009E4D92"/>
    <w:rsid w:val="009E4EA5"/>
    <w:rsid w:val="009E6D79"/>
    <w:rsid w:val="009F2514"/>
    <w:rsid w:val="009F4B57"/>
    <w:rsid w:val="009F4EAA"/>
    <w:rsid w:val="00A0452A"/>
    <w:rsid w:val="00A07E4A"/>
    <w:rsid w:val="00A1265A"/>
    <w:rsid w:val="00A375C0"/>
    <w:rsid w:val="00A43072"/>
    <w:rsid w:val="00A54451"/>
    <w:rsid w:val="00A55381"/>
    <w:rsid w:val="00A56902"/>
    <w:rsid w:val="00A60009"/>
    <w:rsid w:val="00A61EC3"/>
    <w:rsid w:val="00A65308"/>
    <w:rsid w:val="00A67190"/>
    <w:rsid w:val="00A70A66"/>
    <w:rsid w:val="00A94882"/>
    <w:rsid w:val="00AA094B"/>
    <w:rsid w:val="00AA14B8"/>
    <w:rsid w:val="00AB12D5"/>
    <w:rsid w:val="00AC1278"/>
    <w:rsid w:val="00AC6704"/>
    <w:rsid w:val="00AD0CE1"/>
    <w:rsid w:val="00AD4C66"/>
    <w:rsid w:val="00AD735D"/>
    <w:rsid w:val="00AE0DB1"/>
    <w:rsid w:val="00AF0899"/>
    <w:rsid w:val="00AF3284"/>
    <w:rsid w:val="00B00FA2"/>
    <w:rsid w:val="00B01634"/>
    <w:rsid w:val="00B12AF9"/>
    <w:rsid w:val="00B16680"/>
    <w:rsid w:val="00B232D9"/>
    <w:rsid w:val="00B2798D"/>
    <w:rsid w:val="00B3078C"/>
    <w:rsid w:val="00B33566"/>
    <w:rsid w:val="00B40CC8"/>
    <w:rsid w:val="00B508CE"/>
    <w:rsid w:val="00B533BE"/>
    <w:rsid w:val="00B603C0"/>
    <w:rsid w:val="00B65906"/>
    <w:rsid w:val="00B66D37"/>
    <w:rsid w:val="00B6728A"/>
    <w:rsid w:val="00B70E1D"/>
    <w:rsid w:val="00B736A5"/>
    <w:rsid w:val="00B7399B"/>
    <w:rsid w:val="00B83AB4"/>
    <w:rsid w:val="00B8680F"/>
    <w:rsid w:val="00BA448D"/>
    <w:rsid w:val="00BA4D0A"/>
    <w:rsid w:val="00BA4FF9"/>
    <w:rsid w:val="00BA5605"/>
    <w:rsid w:val="00BB3DDD"/>
    <w:rsid w:val="00BC11EA"/>
    <w:rsid w:val="00BC3BA1"/>
    <w:rsid w:val="00BC755B"/>
    <w:rsid w:val="00BD16D9"/>
    <w:rsid w:val="00BE045C"/>
    <w:rsid w:val="00BE5F7F"/>
    <w:rsid w:val="00C0421C"/>
    <w:rsid w:val="00C043F6"/>
    <w:rsid w:val="00C10202"/>
    <w:rsid w:val="00C107A2"/>
    <w:rsid w:val="00C130C9"/>
    <w:rsid w:val="00C21944"/>
    <w:rsid w:val="00C2698C"/>
    <w:rsid w:val="00C3442E"/>
    <w:rsid w:val="00C4132D"/>
    <w:rsid w:val="00C47CDF"/>
    <w:rsid w:val="00C52C59"/>
    <w:rsid w:val="00C62A1E"/>
    <w:rsid w:val="00C62A98"/>
    <w:rsid w:val="00C81875"/>
    <w:rsid w:val="00C83004"/>
    <w:rsid w:val="00C90DF2"/>
    <w:rsid w:val="00C91700"/>
    <w:rsid w:val="00CA1D27"/>
    <w:rsid w:val="00CA2323"/>
    <w:rsid w:val="00CB1A94"/>
    <w:rsid w:val="00CB4A38"/>
    <w:rsid w:val="00CB51FB"/>
    <w:rsid w:val="00CB64BD"/>
    <w:rsid w:val="00CB65DB"/>
    <w:rsid w:val="00CC2FD1"/>
    <w:rsid w:val="00CE217F"/>
    <w:rsid w:val="00CE65D4"/>
    <w:rsid w:val="00CE6778"/>
    <w:rsid w:val="00CF5729"/>
    <w:rsid w:val="00D00A85"/>
    <w:rsid w:val="00D01DE4"/>
    <w:rsid w:val="00D04306"/>
    <w:rsid w:val="00D0560A"/>
    <w:rsid w:val="00D174D0"/>
    <w:rsid w:val="00D23735"/>
    <w:rsid w:val="00D27554"/>
    <w:rsid w:val="00D44F54"/>
    <w:rsid w:val="00D46998"/>
    <w:rsid w:val="00D63B6D"/>
    <w:rsid w:val="00D71445"/>
    <w:rsid w:val="00D71A41"/>
    <w:rsid w:val="00D87255"/>
    <w:rsid w:val="00D917C0"/>
    <w:rsid w:val="00D91D94"/>
    <w:rsid w:val="00D943BB"/>
    <w:rsid w:val="00D9507C"/>
    <w:rsid w:val="00D96C4A"/>
    <w:rsid w:val="00DA00BB"/>
    <w:rsid w:val="00DA50AD"/>
    <w:rsid w:val="00DA55E0"/>
    <w:rsid w:val="00DB513F"/>
    <w:rsid w:val="00DB5FD7"/>
    <w:rsid w:val="00DC0242"/>
    <w:rsid w:val="00DD501B"/>
    <w:rsid w:val="00DD7EB5"/>
    <w:rsid w:val="00DE4226"/>
    <w:rsid w:val="00DE53D0"/>
    <w:rsid w:val="00DE5650"/>
    <w:rsid w:val="00DF3D38"/>
    <w:rsid w:val="00DF41A8"/>
    <w:rsid w:val="00DF74BA"/>
    <w:rsid w:val="00E02352"/>
    <w:rsid w:val="00E07420"/>
    <w:rsid w:val="00E15D01"/>
    <w:rsid w:val="00E243C4"/>
    <w:rsid w:val="00E260AC"/>
    <w:rsid w:val="00E3267A"/>
    <w:rsid w:val="00E33C76"/>
    <w:rsid w:val="00E40290"/>
    <w:rsid w:val="00E41BCB"/>
    <w:rsid w:val="00E426EF"/>
    <w:rsid w:val="00E54BD2"/>
    <w:rsid w:val="00E6274D"/>
    <w:rsid w:val="00E6493E"/>
    <w:rsid w:val="00E70823"/>
    <w:rsid w:val="00E763BA"/>
    <w:rsid w:val="00E76C76"/>
    <w:rsid w:val="00EA6E28"/>
    <w:rsid w:val="00EC47DF"/>
    <w:rsid w:val="00EC60A3"/>
    <w:rsid w:val="00EC61C4"/>
    <w:rsid w:val="00EC6A54"/>
    <w:rsid w:val="00EE6A68"/>
    <w:rsid w:val="00EE737C"/>
    <w:rsid w:val="00EF4074"/>
    <w:rsid w:val="00EF48E6"/>
    <w:rsid w:val="00F10316"/>
    <w:rsid w:val="00F12615"/>
    <w:rsid w:val="00F16108"/>
    <w:rsid w:val="00F1656F"/>
    <w:rsid w:val="00F234F8"/>
    <w:rsid w:val="00F33379"/>
    <w:rsid w:val="00F410F9"/>
    <w:rsid w:val="00F41613"/>
    <w:rsid w:val="00F47667"/>
    <w:rsid w:val="00F523FF"/>
    <w:rsid w:val="00F5615D"/>
    <w:rsid w:val="00F561F7"/>
    <w:rsid w:val="00F569C8"/>
    <w:rsid w:val="00F56AAB"/>
    <w:rsid w:val="00F61F7A"/>
    <w:rsid w:val="00F71C1B"/>
    <w:rsid w:val="00F74B9A"/>
    <w:rsid w:val="00F9318C"/>
    <w:rsid w:val="00F94B10"/>
    <w:rsid w:val="00F94CB0"/>
    <w:rsid w:val="00F96FFE"/>
    <w:rsid w:val="00FA1436"/>
    <w:rsid w:val="00FA3AB2"/>
    <w:rsid w:val="00FB2D49"/>
    <w:rsid w:val="00FB3251"/>
    <w:rsid w:val="00FC080A"/>
    <w:rsid w:val="00FC6A0B"/>
    <w:rsid w:val="00FD247E"/>
    <w:rsid w:val="00FD64E0"/>
    <w:rsid w:val="00FD6638"/>
    <w:rsid w:val="00FD66D7"/>
    <w:rsid w:val="00FE28AE"/>
    <w:rsid w:val="00FE637F"/>
    <w:rsid w:val="00FE7295"/>
    <w:rsid w:val="00FF3271"/>
    <w:rsid w:val="00FF5D9C"/>
    <w:rsid w:val="00FF7699"/>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2E274"/>
  <w15:chartTrackingRefBased/>
  <w15:docId w15:val="{5EC0145D-EF69-492F-9D8D-765D7BC7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0"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514"/>
    <w:pPr>
      <w:suppressAutoHyphens/>
      <w:spacing w:before="200" w:after="200" w:line="280" w:lineRule="atLeast"/>
    </w:pPr>
    <w:rPr>
      <w:sz w:val="22"/>
    </w:rPr>
  </w:style>
  <w:style w:type="paragraph" w:styleId="Heading1">
    <w:name w:val="heading 1"/>
    <w:basedOn w:val="Normal"/>
    <w:next w:val="Normal"/>
    <w:link w:val="Heading1Char"/>
    <w:uiPriority w:val="1"/>
    <w:qFormat/>
    <w:rsid w:val="00B16680"/>
    <w:pPr>
      <w:keepNext/>
      <w:keepLines/>
      <w:spacing w:before="240" w:after="120" w:line="240"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1171CB"/>
    <w:pPr>
      <w:keepNext/>
      <w:keepLines/>
      <w:spacing w:before="240" w:after="120" w:line="240" w:lineRule="auto"/>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B16680"/>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1171CB"/>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qFormat/>
    <w:rsid w:val="00BA5605"/>
    <w:pPr>
      <w:suppressAutoHyphens w:val="0"/>
      <w:spacing w:before="0" w:line="276" w:lineRule="auto"/>
      <w:ind w:left="720"/>
      <w:contextualSpacing/>
    </w:pPr>
    <w:rPr>
      <w:rFonts w:ascii="Arial" w:hAnsi="Arial"/>
      <w:color w:val="auto"/>
      <w:szCs w:val="22"/>
    </w:rPr>
  </w:style>
  <w:style w:type="character" w:customStyle="1" w:styleId="NoSpacingChar">
    <w:name w:val="No Spacing Char"/>
    <w:basedOn w:val="DefaultParagraphFont"/>
    <w:link w:val="NoSpacing"/>
    <w:uiPriority w:val="1"/>
    <w:rsid w:val="009E4158"/>
  </w:style>
  <w:style w:type="paragraph" w:customStyle="1" w:styleId="Default">
    <w:name w:val="Default"/>
    <w:rsid w:val="009E4158"/>
    <w:pPr>
      <w:autoSpaceDE w:val="0"/>
      <w:autoSpaceDN w:val="0"/>
      <w:adjustRightInd w:val="0"/>
      <w:spacing w:before="0" w:after="0"/>
    </w:pPr>
    <w:rPr>
      <w:rFonts w:ascii="Symbol" w:hAnsi="Symbol" w:cs="Symbol"/>
      <w:color w:val="000000"/>
      <w:sz w:val="24"/>
      <w:szCs w:val="24"/>
    </w:rPr>
  </w:style>
  <w:style w:type="character" w:styleId="CommentReference">
    <w:name w:val="annotation reference"/>
    <w:basedOn w:val="DefaultParagraphFont"/>
    <w:uiPriority w:val="99"/>
    <w:semiHidden/>
    <w:unhideWhenUsed/>
    <w:rsid w:val="00342EFF"/>
    <w:rPr>
      <w:sz w:val="16"/>
      <w:szCs w:val="16"/>
    </w:rPr>
  </w:style>
  <w:style w:type="paragraph" w:styleId="CommentText">
    <w:name w:val="annotation text"/>
    <w:basedOn w:val="Normal"/>
    <w:link w:val="CommentTextChar"/>
    <w:uiPriority w:val="99"/>
    <w:unhideWhenUsed/>
    <w:rsid w:val="00342EFF"/>
    <w:pPr>
      <w:spacing w:line="240" w:lineRule="auto"/>
    </w:pPr>
    <w:rPr>
      <w:sz w:val="20"/>
    </w:rPr>
  </w:style>
  <w:style w:type="character" w:customStyle="1" w:styleId="CommentTextChar">
    <w:name w:val="Comment Text Char"/>
    <w:basedOn w:val="DefaultParagraphFont"/>
    <w:link w:val="CommentText"/>
    <w:uiPriority w:val="99"/>
    <w:rsid w:val="00342EFF"/>
  </w:style>
  <w:style w:type="paragraph" w:styleId="CommentSubject">
    <w:name w:val="annotation subject"/>
    <w:basedOn w:val="CommentText"/>
    <w:next w:val="CommentText"/>
    <w:link w:val="CommentSubjectChar"/>
    <w:uiPriority w:val="99"/>
    <w:semiHidden/>
    <w:unhideWhenUsed/>
    <w:rsid w:val="00342EFF"/>
    <w:rPr>
      <w:b/>
      <w:bCs/>
    </w:rPr>
  </w:style>
  <w:style w:type="character" w:customStyle="1" w:styleId="CommentSubjectChar">
    <w:name w:val="Comment Subject Char"/>
    <w:basedOn w:val="CommentTextChar"/>
    <w:link w:val="CommentSubject"/>
    <w:uiPriority w:val="99"/>
    <w:semiHidden/>
    <w:rsid w:val="00342EFF"/>
    <w:rPr>
      <w:b/>
      <w:bCs/>
    </w:rPr>
  </w:style>
  <w:style w:type="paragraph" w:styleId="BalloonText">
    <w:name w:val="Balloon Text"/>
    <w:basedOn w:val="Normal"/>
    <w:link w:val="BalloonTextChar"/>
    <w:uiPriority w:val="99"/>
    <w:semiHidden/>
    <w:unhideWhenUsed/>
    <w:rsid w:val="00342EF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EFF"/>
    <w:rPr>
      <w:rFonts w:ascii="Segoe UI" w:hAnsi="Segoe UI" w:cs="Segoe UI"/>
      <w:sz w:val="18"/>
      <w:szCs w:val="18"/>
    </w:rPr>
  </w:style>
  <w:style w:type="paragraph" w:customStyle="1" w:styleId="Body">
    <w:name w:val="Body"/>
    <w:basedOn w:val="Normal"/>
    <w:next w:val="Normal"/>
    <w:qFormat/>
    <w:rsid w:val="00BA448D"/>
    <w:pPr>
      <w:pBdr>
        <w:top w:val="nil"/>
        <w:left w:val="nil"/>
        <w:bottom w:val="nil"/>
        <w:right w:val="nil"/>
        <w:between w:val="nil"/>
        <w:bar w:val="nil"/>
      </w:pBdr>
      <w:suppressAutoHyphens w:val="0"/>
      <w:spacing w:before="120" w:after="240" w:line="240" w:lineRule="auto"/>
      <w:ind w:right="-35"/>
    </w:pPr>
    <w:rPr>
      <w:rFonts w:ascii="Calibri" w:eastAsia="Arial Unicode MS" w:hAnsi="Calibri"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BA448D"/>
    <w:pPr>
      <w:keepNext/>
      <w:pBdr>
        <w:top w:val="single" w:sz="48" w:space="6" w:color="5F2E74" w:themeColor="text2"/>
      </w:pBdr>
      <w:suppressAutoHyphens w:val="0"/>
      <w:spacing w:before="360" w:line="240" w:lineRule="auto"/>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styleId="Revision">
    <w:name w:val="Revision"/>
    <w:hidden/>
    <w:uiPriority w:val="99"/>
    <w:semiHidden/>
    <w:rsid w:val="00D87255"/>
    <w:pPr>
      <w:spacing w:before="0" w:after="0"/>
    </w:pPr>
    <w:rPr>
      <w:sz w:val="22"/>
    </w:rPr>
  </w:style>
  <w:style w:type="paragraph" w:customStyle="1" w:styleId="1Documentnameh1">
    <w:name w:val="1. Document name h1"/>
    <w:qFormat/>
    <w:rsid w:val="00226514"/>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226514"/>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226514"/>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226514"/>
    <w:pPr>
      <w:keepNext/>
      <w:pBdr>
        <w:top w:val="single" w:sz="8" w:space="10" w:color="FBF7FD"/>
        <w:left w:val="single" w:sz="8" w:space="10" w:color="FBF7FD"/>
        <w:bottom w:val="single" w:sz="8" w:space="10" w:color="FBF7FD"/>
        <w:right w:val="single" w:sz="8" w:space="10" w:color="FBF7FD"/>
      </w:pBdr>
      <w:shd w:val="clear" w:color="auto" w:fill="F7F0FA"/>
      <w:suppressAutoHyphens w:val="0"/>
      <w:spacing w:before="0" w:line="240" w:lineRule="auto"/>
      <w:ind w:right="-35"/>
      <w:outlineLvl w:val="1"/>
    </w:pPr>
    <w:rPr>
      <w:rFonts w:ascii="Calibri" w:eastAsia="Arial Unicode MS" w:hAnsi="Calibri"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226514"/>
    <w:pPr>
      <w:numPr>
        <w:numId w:val="16"/>
      </w:numPr>
      <w:pBdr>
        <w:top w:val="single" w:sz="8" w:space="10" w:color="FBF7FD"/>
        <w:left w:val="single" w:sz="8" w:space="10" w:color="FBF7FD"/>
        <w:bottom w:val="single" w:sz="8" w:space="10" w:color="FBF7FD"/>
        <w:right w:val="single" w:sz="8" w:space="10" w:color="FBF7FD"/>
      </w:pBdr>
      <w:shd w:val="clear" w:color="auto" w:fill="F7F0FA"/>
      <w:suppressAutoHyphens w:val="0"/>
      <w:spacing w:before="120" w:after="240" w:line="240" w:lineRule="auto"/>
      <w:ind w:left="284" w:right="-35" w:hanging="284"/>
    </w:pPr>
    <w:rPr>
      <w:rFonts w:ascii="Calibri" w:eastAsia="Arial Unicode MS" w:hAnsi="Calibri"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226514"/>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226514"/>
    <w:pPr>
      <w:spacing w:after="120"/>
    </w:pPr>
  </w:style>
  <w:style w:type="character" w:customStyle="1" w:styleId="BodyTextChar">
    <w:name w:val="Body Text Char"/>
    <w:basedOn w:val="DefaultParagraphFont"/>
    <w:link w:val="BodyText"/>
    <w:uiPriority w:val="99"/>
    <w:semiHidden/>
    <w:rsid w:val="00226514"/>
    <w:rPr>
      <w:sz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locked/>
    <w:rsid w:val="00827FE5"/>
    <w:rPr>
      <w:rFonts w:ascii="Arial" w:hAnsi="Arial"/>
      <w:color w:val="auto"/>
      <w:sz w:val="22"/>
      <w:szCs w:val="22"/>
    </w:rPr>
  </w:style>
  <w:style w:type="character" w:customStyle="1" w:styleId="None">
    <w:name w:val="None"/>
    <w:rsid w:val="00827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990519">
      <w:bodyDiv w:val="1"/>
      <w:marLeft w:val="0"/>
      <w:marRight w:val="0"/>
      <w:marTop w:val="0"/>
      <w:marBottom w:val="0"/>
      <w:divBdr>
        <w:top w:val="none" w:sz="0" w:space="0" w:color="auto"/>
        <w:left w:val="none" w:sz="0" w:space="0" w:color="auto"/>
        <w:bottom w:val="none" w:sz="0" w:space="0" w:color="auto"/>
        <w:right w:val="none" w:sz="0" w:space="0" w:color="auto"/>
      </w:divBdr>
    </w:div>
    <w:div w:id="40131083">
      <w:bodyDiv w:val="1"/>
      <w:marLeft w:val="0"/>
      <w:marRight w:val="0"/>
      <w:marTop w:val="0"/>
      <w:marBottom w:val="0"/>
      <w:divBdr>
        <w:top w:val="none" w:sz="0" w:space="0" w:color="auto"/>
        <w:left w:val="none" w:sz="0" w:space="0" w:color="auto"/>
        <w:bottom w:val="none" w:sz="0" w:space="0" w:color="auto"/>
        <w:right w:val="none" w:sz="0" w:space="0" w:color="auto"/>
      </w:divBdr>
    </w:div>
    <w:div w:id="215972346">
      <w:bodyDiv w:val="1"/>
      <w:marLeft w:val="0"/>
      <w:marRight w:val="0"/>
      <w:marTop w:val="0"/>
      <w:marBottom w:val="0"/>
      <w:divBdr>
        <w:top w:val="none" w:sz="0" w:space="0" w:color="auto"/>
        <w:left w:val="none" w:sz="0" w:space="0" w:color="auto"/>
        <w:bottom w:val="none" w:sz="0" w:space="0" w:color="auto"/>
        <w:right w:val="none" w:sz="0" w:space="0" w:color="auto"/>
      </w:divBdr>
    </w:div>
    <w:div w:id="361589784">
      <w:bodyDiv w:val="1"/>
      <w:marLeft w:val="0"/>
      <w:marRight w:val="0"/>
      <w:marTop w:val="0"/>
      <w:marBottom w:val="0"/>
      <w:divBdr>
        <w:top w:val="none" w:sz="0" w:space="0" w:color="auto"/>
        <w:left w:val="none" w:sz="0" w:space="0" w:color="auto"/>
        <w:bottom w:val="none" w:sz="0" w:space="0" w:color="auto"/>
        <w:right w:val="none" w:sz="0" w:space="0" w:color="auto"/>
      </w:divBdr>
    </w:div>
    <w:div w:id="435833154">
      <w:bodyDiv w:val="1"/>
      <w:marLeft w:val="0"/>
      <w:marRight w:val="0"/>
      <w:marTop w:val="0"/>
      <w:marBottom w:val="0"/>
      <w:divBdr>
        <w:top w:val="none" w:sz="0" w:space="0" w:color="auto"/>
        <w:left w:val="none" w:sz="0" w:space="0" w:color="auto"/>
        <w:bottom w:val="none" w:sz="0" w:space="0" w:color="auto"/>
        <w:right w:val="none" w:sz="0" w:space="0" w:color="auto"/>
      </w:divBdr>
    </w:div>
    <w:div w:id="832716274">
      <w:bodyDiv w:val="1"/>
      <w:marLeft w:val="0"/>
      <w:marRight w:val="0"/>
      <w:marTop w:val="0"/>
      <w:marBottom w:val="0"/>
      <w:divBdr>
        <w:top w:val="none" w:sz="0" w:space="0" w:color="auto"/>
        <w:left w:val="none" w:sz="0" w:space="0" w:color="auto"/>
        <w:bottom w:val="none" w:sz="0" w:space="0" w:color="auto"/>
        <w:right w:val="none" w:sz="0" w:space="0" w:color="auto"/>
      </w:divBdr>
    </w:div>
    <w:div w:id="843668823">
      <w:bodyDiv w:val="1"/>
      <w:marLeft w:val="0"/>
      <w:marRight w:val="0"/>
      <w:marTop w:val="0"/>
      <w:marBottom w:val="0"/>
      <w:divBdr>
        <w:top w:val="none" w:sz="0" w:space="0" w:color="auto"/>
        <w:left w:val="none" w:sz="0" w:space="0" w:color="auto"/>
        <w:bottom w:val="none" w:sz="0" w:space="0" w:color="auto"/>
        <w:right w:val="none" w:sz="0" w:space="0" w:color="auto"/>
      </w:divBdr>
    </w:div>
    <w:div w:id="954556913">
      <w:bodyDiv w:val="1"/>
      <w:marLeft w:val="0"/>
      <w:marRight w:val="0"/>
      <w:marTop w:val="0"/>
      <w:marBottom w:val="0"/>
      <w:divBdr>
        <w:top w:val="none" w:sz="0" w:space="0" w:color="auto"/>
        <w:left w:val="none" w:sz="0" w:space="0" w:color="auto"/>
        <w:bottom w:val="none" w:sz="0" w:space="0" w:color="auto"/>
        <w:right w:val="none" w:sz="0" w:space="0" w:color="auto"/>
      </w:divBdr>
    </w:div>
    <w:div w:id="1030765712">
      <w:bodyDiv w:val="1"/>
      <w:marLeft w:val="0"/>
      <w:marRight w:val="0"/>
      <w:marTop w:val="0"/>
      <w:marBottom w:val="0"/>
      <w:divBdr>
        <w:top w:val="none" w:sz="0" w:space="0" w:color="auto"/>
        <w:left w:val="none" w:sz="0" w:space="0" w:color="auto"/>
        <w:bottom w:val="none" w:sz="0" w:space="0" w:color="auto"/>
        <w:right w:val="none" w:sz="0" w:space="0" w:color="auto"/>
      </w:divBdr>
    </w:div>
    <w:div w:id="1047216446">
      <w:bodyDiv w:val="1"/>
      <w:marLeft w:val="0"/>
      <w:marRight w:val="0"/>
      <w:marTop w:val="0"/>
      <w:marBottom w:val="0"/>
      <w:divBdr>
        <w:top w:val="none" w:sz="0" w:space="0" w:color="auto"/>
        <w:left w:val="none" w:sz="0" w:space="0" w:color="auto"/>
        <w:bottom w:val="none" w:sz="0" w:space="0" w:color="auto"/>
        <w:right w:val="none" w:sz="0" w:space="0" w:color="auto"/>
      </w:divBdr>
    </w:div>
    <w:div w:id="1201748845">
      <w:bodyDiv w:val="1"/>
      <w:marLeft w:val="0"/>
      <w:marRight w:val="0"/>
      <w:marTop w:val="0"/>
      <w:marBottom w:val="0"/>
      <w:divBdr>
        <w:top w:val="none" w:sz="0" w:space="0" w:color="auto"/>
        <w:left w:val="none" w:sz="0" w:space="0" w:color="auto"/>
        <w:bottom w:val="none" w:sz="0" w:space="0" w:color="auto"/>
        <w:right w:val="none" w:sz="0" w:space="0" w:color="auto"/>
      </w:divBdr>
    </w:div>
    <w:div w:id="1323385431">
      <w:bodyDiv w:val="1"/>
      <w:marLeft w:val="0"/>
      <w:marRight w:val="0"/>
      <w:marTop w:val="0"/>
      <w:marBottom w:val="0"/>
      <w:divBdr>
        <w:top w:val="none" w:sz="0" w:space="0" w:color="auto"/>
        <w:left w:val="none" w:sz="0" w:space="0" w:color="auto"/>
        <w:bottom w:val="none" w:sz="0" w:space="0" w:color="auto"/>
        <w:right w:val="none" w:sz="0" w:space="0" w:color="auto"/>
      </w:divBdr>
    </w:div>
    <w:div w:id="1343430710">
      <w:bodyDiv w:val="1"/>
      <w:marLeft w:val="0"/>
      <w:marRight w:val="0"/>
      <w:marTop w:val="0"/>
      <w:marBottom w:val="0"/>
      <w:divBdr>
        <w:top w:val="none" w:sz="0" w:space="0" w:color="auto"/>
        <w:left w:val="none" w:sz="0" w:space="0" w:color="auto"/>
        <w:bottom w:val="none" w:sz="0" w:space="0" w:color="auto"/>
        <w:right w:val="none" w:sz="0" w:space="0" w:color="auto"/>
      </w:divBdr>
    </w:div>
    <w:div w:id="1842895279">
      <w:bodyDiv w:val="1"/>
      <w:marLeft w:val="0"/>
      <w:marRight w:val="0"/>
      <w:marTop w:val="0"/>
      <w:marBottom w:val="0"/>
      <w:divBdr>
        <w:top w:val="none" w:sz="0" w:space="0" w:color="auto"/>
        <w:left w:val="none" w:sz="0" w:space="0" w:color="auto"/>
        <w:bottom w:val="none" w:sz="0" w:space="0" w:color="auto"/>
        <w:right w:val="none" w:sz="0" w:space="0" w:color="auto"/>
      </w:divBdr>
    </w:div>
    <w:div w:id="1975017934">
      <w:bodyDiv w:val="1"/>
      <w:marLeft w:val="0"/>
      <w:marRight w:val="0"/>
      <w:marTop w:val="0"/>
      <w:marBottom w:val="0"/>
      <w:divBdr>
        <w:top w:val="none" w:sz="0" w:space="0" w:color="auto"/>
        <w:left w:val="none" w:sz="0" w:space="0" w:color="auto"/>
        <w:bottom w:val="none" w:sz="0" w:space="0" w:color="auto"/>
        <w:right w:val="none" w:sz="0" w:space="0" w:color="auto"/>
      </w:divBdr>
    </w:div>
    <w:div w:id="1999532999">
      <w:bodyDiv w:val="1"/>
      <w:marLeft w:val="0"/>
      <w:marRight w:val="0"/>
      <w:marTop w:val="0"/>
      <w:marBottom w:val="0"/>
      <w:divBdr>
        <w:top w:val="none" w:sz="0" w:space="0" w:color="auto"/>
        <w:left w:val="none" w:sz="0" w:space="0" w:color="auto"/>
        <w:bottom w:val="none" w:sz="0" w:space="0" w:color="auto"/>
        <w:right w:val="none" w:sz="0" w:space="0" w:color="auto"/>
      </w:divBdr>
    </w:div>
    <w:div w:id="201603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commission.gov.au/sites/default/files/2023-01/Revised%20High%20Intensity%20Support%20Skills%20Descriptors%20Dec%2022%20%28Accessible%20Version%29%20PDF.pdf" TargetMode="External"/><Relationship Id="rId18" Type="http://schemas.openxmlformats.org/officeDocument/2006/relationships/hyperlink" Target="https://www.healthywa.wa.gov.au/managemycare" TargetMode="External"/><Relationship Id="rId26" Type="http://schemas.openxmlformats.org/officeDocument/2006/relationships/hyperlink" Target="https://cddh.monashhealth.org/wp-content/uploads/2017/01/hospital-care.pdf" TargetMode="External"/><Relationship Id="rId39" Type="http://schemas.openxmlformats.org/officeDocument/2006/relationships/hyperlink" Target="https://www.safetyandquality.gov.au/publications-and-resources/resource-library/australian-charter-healthcare-rights-second-edition-a4-accessible" TargetMode="External"/><Relationship Id="rId21" Type="http://schemas.openxmlformats.org/officeDocument/2006/relationships/hyperlink" Target="https://cid.org.au/resource/health-services-fact-sheet/" TargetMode="External"/><Relationship Id="rId34" Type="http://schemas.openxmlformats.org/officeDocument/2006/relationships/hyperlink" Target="https://www.ndiscommission.gov.au/sites/default/files/2023-01/Revised%20High%20Intensity%20Support%20Skills%20Descriptors%20Dec%2022%20%28Accessible%20Version%29%20PDF.pdf" TargetMode="External"/><Relationship Id="rId42" Type="http://schemas.openxmlformats.org/officeDocument/2006/relationships/hyperlink" Target="https://www.aihw.gov.au/reports/disability/people-with-disability-in-australia/contents/health/access-to-health-services" TargetMode="External"/><Relationship Id="rId47" Type="http://schemas.openxmlformats.org/officeDocument/2006/relationships/hyperlink" Target="https://www.ndiscommission.gov.au/document/1881" TargetMode="External"/><Relationship Id="rId50" Type="http://schemas.openxmlformats.org/officeDocument/2006/relationships/hyperlink" Target="https://www.ohchr.org/en/health/right-health-key-aspects-and-common-misconceptions" TargetMode="External"/><Relationship Id="rId55"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commission.gov.au/providers/registered-ndis-providers/provider-obligations-and-requirements/ndis-practice-standards-1" TargetMode="External"/><Relationship Id="rId17" Type="http://schemas.openxmlformats.org/officeDocument/2006/relationships/hyperlink" Target="https://ww2.health.wa.gov.au/~/media/Corp/Documents/Health-for/Health-Networks/Disability/Hospital-Stay-Guidelines-Part-1.pdf" TargetMode="External"/><Relationship Id="rId25" Type="http://schemas.openxmlformats.org/officeDocument/2006/relationships/hyperlink" Target="https://aci.health.nsw.gov.au/resources/intellectual-disability/intellectual_disability_training/id-training-videos" TargetMode="External"/><Relationship Id="rId33" Type="http://schemas.openxmlformats.org/officeDocument/2006/relationships/hyperlink" Target="https://workforcecapability.ndiscommission.gov.au/framework" TargetMode="External"/><Relationship Id="rId38" Type="http://schemas.openxmlformats.org/officeDocument/2006/relationships/hyperlink" Target="https://www.ndiscommission.gov.au/document/986" TargetMode="External"/><Relationship Id="rId46" Type="http://schemas.openxmlformats.org/officeDocument/2006/relationships/hyperlink" Target="https://www1.health.nsw.gov.au/pds/ActivePDSDocuments/GL2013_001.pdf"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a2d.healthcare/" TargetMode="External"/><Relationship Id="rId20" Type="http://schemas.openxmlformats.org/officeDocument/2006/relationships/hyperlink" Target="https://aci.health.nsw.gov.au/resources/intellectual-disability/hospitalisation/say-less-show-more" TargetMode="External"/><Relationship Id="rId29" Type="http://schemas.openxmlformats.org/officeDocument/2006/relationships/hyperlink" Target="https://www.ahrq.gov/patient-safety/patients-families/engagingfamilies/strategy3/index.html" TargetMode="External"/><Relationship Id="rId41" Type="http://schemas.openxmlformats.org/officeDocument/2006/relationships/hyperlink" Target="https://www.safetyandquality.gov.au/sites/default/files/migrated/Safety-issues-at-transitions-of-care-consultation-report.pdf"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latrobe.edu.au/news/announcements/2023/hospital-inclusion" TargetMode="External"/><Relationship Id="rId32" Type="http://schemas.openxmlformats.org/officeDocument/2006/relationships/hyperlink" Target="https://www.safetyandquality.gov.au/sites/default/files/2019-06/sq19-027_acsqhc_cognitive_user_guide_accessible_pdf.pdf" TargetMode="External"/><Relationship Id="rId37" Type="http://schemas.openxmlformats.org/officeDocument/2006/relationships/hyperlink" Target="https://www.legislation.gov.au/Details/F2021C01130" TargetMode="External"/><Relationship Id="rId40" Type="http://schemas.openxmlformats.org/officeDocument/2006/relationships/hyperlink" Target="https://www.safetyandquality.gov.au/standards/nsqhs-standards" TargetMode="External"/><Relationship Id="rId45" Type="http://schemas.openxmlformats.org/officeDocument/2006/relationships/hyperlink" Target="https://www1.health.nsw.gov.au/pds/ActivePDSDocuments/PD2017_001.pdf" TargetMode="External"/><Relationship Id="rId53" Type="http://schemas.openxmlformats.org/officeDocument/2006/relationships/hyperlink" Target="https://www.who.int/publications/i/item/9789241511599"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ndiscommission.gov.au/sites/default/files/2023-01/Revised%20High%20Intensity%20Support%20Skills%20Descriptors%20Dec%2022%20%28Accessible%20Version%29%20PDF.pdf" TargetMode="External"/><Relationship Id="rId23" Type="http://schemas.openxmlformats.org/officeDocument/2006/relationships/hyperlink" Target="https://www.safetyandquality.gov.au/publications-and-resources/resource-library/communicating-your-healthcare-provider-when-you-are-hospital-information-sheet-consumers" TargetMode="External"/><Relationship Id="rId28" Type="http://schemas.openxmlformats.org/officeDocument/2006/relationships/hyperlink" Target="https://www.ahrq.gov/patient-safety/patients-families/engagingfamilies/strategy2/index.html" TargetMode="External"/><Relationship Id="rId36" Type="http://schemas.openxmlformats.org/officeDocument/2006/relationships/hyperlink" Target="https://www.legislation.gov.au/Details/F2021C01137" TargetMode="External"/><Relationship Id="rId49" Type="http://schemas.openxmlformats.org/officeDocument/2006/relationships/hyperlink" Target="https://www.un.org/development/desa/disabilities/convention-on-the-rights-of-persons-with-disabilities/article-25-health.html" TargetMode="External"/><Relationship Id="rId57"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myhealthmycommunication.com.au/" TargetMode="External"/><Relationship Id="rId31" Type="http://schemas.openxmlformats.org/officeDocument/2006/relationships/hyperlink" Target="https://www.safetyandquality.gov.au/sites/default/files/migrated/Top-tips-safe-care_web-version.pdf" TargetMode="External"/><Relationship Id="rId44" Type="http://schemas.openxmlformats.org/officeDocument/2006/relationships/hyperlink" Target="https://www.aci.health.nsw.gov.au/resources/intellectual-disability/id-essentials/resources/the-essentials" TargetMode="External"/><Relationship Id="rId52" Type="http://schemas.openxmlformats.org/officeDocument/2006/relationships/hyperlink" Target="https://www.who.int/publications/i/item/WHO-UHC-SDS-2019.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commission.gov.au/providers/becoming-registered-provider/registration-requirements-process-and-timeline" TargetMode="External"/><Relationship Id="rId22" Type="http://schemas.openxmlformats.org/officeDocument/2006/relationships/hyperlink" Target="https://aci.health.nsw.gov.au/resources/intellectual-disability/id-essentials" TargetMode="External"/><Relationship Id="rId27" Type="http://schemas.openxmlformats.org/officeDocument/2006/relationships/hyperlink" Target="https://www.ahrq.gov/patient-safety/patients-families/engagingfamilies/index.html" TargetMode="External"/><Relationship Id="rId30" Type="http://schemas.openxmlformats.org/officeDocument/2006/relationships/hyperlink" Target="https://www.ahrq.gov/patient-safety/patients-families/engagingfamilies/strategy4/index.html" TargetMode="External"/><Relationship Id="rId35" Type="http://schemas.openxmlformats.org/officeDocument/2006/relationships/hyperlink" Target="https://www.ndiscommission.gov.au/providers/ndis-code-conduct" TargetMode="External"/><Relationship Id="rId43" Type="http://schemas.openxmlformats.org/officeDocument/2006/relationships/hyperlink" Target="https://www.ndiscommission.gov.au/document/986" TargetMode="External"/><Relationship Id="rId48" Type="http://schemas.openxmlformats.org/officeDocument/2006/relationships/hyperlink" Target="https://www.justice.qld.gov.au/__data/assets/pdf_file/0009/584577/review-of-the-deaths-in-care-of-people-with-disability-in-qld-report-recommendations.pdf"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2.health.wa.gov.au/~/media/Files/Corporate/general%20documents/Health%20Networks/Disability/PDF/Hospital-Stay-Guideline.pdf" TargetMode="Externa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prinfnas002n\Apps\msoffice\2016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4ea60a-8982-4d31-a7e8-1f8b71976754" xsi:nil="true"/>
    <Notes xmlns="dceef2fa-8a21-4012-a13e-c56cb8b42e2d" xsi:nil="true"/>
    <lcf76f155ced4ddcb4097134ff3c332f xmlns="dceef2fa-8a21-4012-a13e-c56cb8b42e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B2F229EEEB4B4D83045F0A871580C7" ma:contentTypeVersion="16" ma:contentTypeDescription="Create a new document." ma:contentTypeScope="" ma:versionID="fe16d583bbe5f16084740ed392c15503">
  <xsd:schema xmlns:xsd="http://www.w3.org/2001/XMLSchema" xmlns:xs="http://www.w3.org/2001/XMLSchema" xmlns:p="http://schemas.microsoft.com/office/2006/metadata/properties" xmlns:ns2="dceef2fa-8a21-4012-a13e-c56cb8b42e2d" xmlns:ns3="2e4ea60a-8982-4d31-a7e8-1f8b71976754" targetNamespace="http://schemas.microsoft.com/office/2006/metadata/properties" ma:root="true" ma:fieldsID="474906a8146cdf73ff649b9092ae20db" ns2:_="" ns3:_="">
    <xsd:import namespace="dceef2fa-8a21-4012-a13e-c56cb8b42e2d"/>
    <xsd:import namespace="2e4ea60a-8982-4d31-a7e8-1f8b719767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ef2fa-8a21-4012-a13e-c56cb8b4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645b856-4cdd-4a87-aa29-9b4c24b6db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ea60a-8982-4d31-a7e8-1f8b7197675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c23be-633a-4bca-8a28-cd2b05d541fb}" ma:internalName="TaxCatchAll" ma:showField="CatchAllData" ma:web="2e4ea60a-8982-4d31-a7e8-1f8b7197675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94D0C-EE3E-442E-88B3-4B2FED01B759}">
  <ds:schemaRefs>
    <ds:schemaRef ds:uri="http://schemas.microsoft.com/sharepoint/v3/contenttype/forms"/>
  </ds:schemaRefs>
</ds:datastoreItem>
</file>

<file path=customXml/itemProps2.xml><?xml version="1.0" encoding="utf-8"?>
<ds:datastoreItem xmlns:ds="http://schemas.openxmlformats.org/officeDocument/2006/customXml" ds:itemID="{942DD94B-AEF5-4424-9347-A2441B5EE2DD}">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2e4ea60a-8982-4d31-a7e8-1f8b71976754"/>
    <ds:schemaRef ds:uri="dceef2fa-8a21-4012-a13e-c56cb8b42e2d"/>
    <ds:schemaRef ds:uri="http://www.w3.org/XML/1998/namespace"/>
  </ds:schemaRefs>
</ds:datastoreItem>
</file>

<file path=customXml/itemProps3.xml><?xml version="1.0" encoding="utf-8"?>
<ds:datastoreItem xmlns:ds="http://schemas.openxmlformats.org/officeDocument/2006/customXml" ds:itemID="{8C1022F5-851A-43BA-9DE6-3AA1C29C59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ef2fa-8a21-4012-a13e-c56cb8b42e2d"/>
    <ds:schemaRef ds:uri="2e4ea60a-8982-4d31-a7e8-1f8b7197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EE849-6FD8-44BB-B3CD-B7E53072B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3</TotalTime>
  <Pages>8</Pages>
  <Words>3201</Words>
  <Characters>18860</Characters>
  <Application>Microsoft Office Word</Application>
  <DocSecurity>0</DocSecurity>
  <Lines>309</Lines>
  <Paragraphs>172</Paragraphs>
  <ScaleCrop>false</ScaleCrop>
  <HeadingPairs>
    <vt:vector size="2" baseType="variant">
      <vt:variant>
        <vt:lpstr>Title</vt:lpstr>
      </vt:variant>
      <vt:variant>
        <vt:i4>1</vt:i4>
      </vt:variant>
    </vt:vector>
  </HeadingPairs>
  <TitlesOfParts>
    <vt:vector size="1" baseType="lpstr">
      <vt:lpstr>Practice Alert: Transitions of care between disability services and hospitals</vt:lpstr>
    </vt:vector>
  </TitlesOfParts>
  <Company/>
  <LinksUpToDate>false</LinksUpToDate>
  <CharactersWithSpaces>21889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Alert: Transitions of care between disability services and hospitals</dc:title>
  <dc:subject/>
  <dc:creator>NDIS Quality and Safeguards Commission</dc:creator>
  <cp:keywords>[SEC=OFFICIAL]</cp:keywords>
  <dc:description/>
  <cp:lastModifiedBy>MCDOUGALL, Rachel</cp:lastModifiedBy>
  <cp:revision>2</cp:revision>
  <dcterms:created xsi:type="dcterms:W3CDTF">2025-01-14T04:49:00Z</dcterms:created>
  <dcterms:modified xsi:type="dcterms:W3CDTF">2025-01-14T04:49:00Z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A7B7888343AB4C5A95DFB4EC29AE9982</vt:lpwstr>
  </property>
  <property fmtid="{D5CDD505-2E9C-101B-9397-08002B2CF9AE}" pid="9" name="PM_ProtectiveMarkingValue_Footer">
    <vt:lpwstr>OFFICIAL</vt:lpwstr>
  </property>
  <property fmtid="{D5CDD505-2E9C-101B-9397-08002B2CF9AE}" pid="10" name="PM_Originator_Hash_SHA1">
    <vt:lpwstr>AA132583E5C7BBC40228B933FB6F931EC4CC7B32</vt:lpwstr>
  </property>
  <property fmtid="{D5CDD505-2E9C-101B-9397-08002B2CF9AE}" pid="11" name="PM_OriginationTimeStamp">
    <vt:lpwstr>2024-02-26T04:56:46Z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0F8411348A75BDCB02E36671EF360282</vt:lpwstr>
  </property>
  <property fmtid="{D5CDD505-2E9C-101B-9397-08002B2CF9AE}" pid="21" name="PM_Hash_Salt">
    <vt:lpwstr>5DE95DD5D2E9E5609F6C66105556AC18</vt:lpwstr>
  </property>
  <property fmtid="{D5CDD505-2E9C-101B-9397-08002B2CF9AE}" pid="22" name="PM_Hash_SHA1">
    <vt:lpwstr>49290604116596873E309BD12D39148BFCF35C48</vt:lpwstr>
  </property>
  <property fmtid="{D5CDD505-2E9C-101B-9397-08002B2CF9AE}" pid="23" name="PM_OriginatorUserAccountName_SHA256">
    <vt:lpwstr>3FBE206DA4716569D963D13447D51133943879CEDE82676AA044D730379DCE7F</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PMHMAC">
    <vt:lpwstr>v=2022.1;a=SHA256;h=D5358B467B843356D5C1FA018FA7A135212E2067703305D36EE9EBFC9966848C</vt:lpwstr>
  </property>
  <property fmtid="{D5CDD505-2E9C-101B-9397-08002B2CF9AE}" pid="28" name="MSIP_Label_eb34d90b-fc41-464d-af60-f74d721d0790_SetDate">
    <vt:lpwstr>2024-02-26T04:56:46Z</vt:lpwstr>
  </property>
  <property fmtid="{D5CDD505-2E9C-101B-9397-08002B2CF9AE}" pid="29" name="MSIP_Label_eb34d90b-fc41-464d-af60-f74d721d0790_Name">
    <vt:lpwstr>OFFICIAL</vt:lpwstr>
  </property>
  <property fmtid="{D5CDD505-2E9C-101B-9397-08002B2CF9AE}" pid="30" name="MSIP_Label_eb34d90b-fc41-464d-af60-f74d721d0790_SiteId">
    <vt:lpwstr>61e36dd1-ca6e-4d61-aa0a-2b4eb88317a3</vt:lpwstr>
  </property>
  <property fmtid="{D5CDD505-2E9C-101B-9397-08002B2CF9AE}" pid="31" name="MSIP_Label_eb34d90b-fc41-464d-af60-f74d721d0790_ContentBits">
    <vt:lpwstr>0</vt:lpwstr>
  </property>
  <property fmtid="{D5CDD505-2E9C-101B-9397-08002B2CF9AE}" pid="32" name="MSIP_Label_eb34d90b-fc41-464d-af60-f74d721d0790_Enabled">
    <vt:lpwstr>true</vt:lpwstr>
  </property>
  <property fmtid="{D5CDD505-2E9C-101B-9397-08002B2CF9AE}" pid="33" name="MSIP_Label_eb34d90b-fc41-464d-af60-f74d721d0790_Method">
    <vt:lpwstr>Privileged</vt:lpwstr>
  </property>
  <property fmtid="{D5CDD505-2E9C-101B-9397-08002B2CF9AE}" pid="34" name="MSIP_Label_eb34d90b-fc41-464d-af60-f74d721d0790_ActionId">
    <vt:lpwstr>dbf7266602a04706814e973e68c88d67</vt:lpwstr>
  </property>
  <property fmtid="{D5CDD505-2E9C-101B-9397-08002B2CF9AE}" pid="35" name="PMUuid">
    <vt:lpwstr>v=2022.2;d=gov.au;g=46DD6D7C-8107-577B-BC6E-F348953B2E44</vt:lpwstr>
  </property>
  <property fmtid="{D5CDD505-2E9C-101B-9397-08002B2CF9AE}" pid="36" name="ContentTypeId">
    <vt:lpwstr>0x010100DFB2F229EEEB4B4D83045F0A871580C7</vt:lpwstr>
  </property>
  <property fmtid="{D5CDD505-2E9C-101B-9397-08002B2CF9AE}" pid="37" name="MediaServiceImageTags">
    <vt:lpwstr/>
  </property>
</Properties>
</file>