
<file path=[Content_Types].xml><?xml version="1.0" encoding="utf-8"?>
<Types xmlns="http://schemas.openxmlformats.org/package/2006/content-types">
  <Default Extension="gif" ContentType="image/gi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D0FA2" w14:textId="77777777" w:rsidR="009E5FA8" w:rsidRPr="008F0C38" w:rsidRDefault="009E5FA8" w:rsidP="009E5FA8">
      <w:pPr>
        <w:pStyle w:val="4Titledescription"/>
        <w:rPr>
          <w:lang w:val="en-AU"/>
        </w:rPr>
      </w:pPr>
      <w:r w:rsidRPr="008F0C38">
        <w:rPr>
          <w:noProof/>
          <w:lang w:val="en-AU"/>
        </w:rPr>
        <w:drawing>
          <wp:inline distT="0" distB="0" distL="0" distR="0" wp14:anchorId="6093AE26" wp14:editId="1C8CC71E">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14:paraId="065D9B1D" w14:textId="77777777" w:rsidR="009E5FA8" w:rsidRPr="008F0C38" w:rsidRDefault="009E5FA8" w:rsidP="009E5FA8">
      <w:pPr>
        <w:pStyle w:val="1Documentnameh1"/>
      </w:pPr>
      <w:r w:rsidRPr="008F0C38">
        <w:t>Practice Alert</w:t>
      </w:r>
    </w:p>
    <w:p w14:paraId="50145252" w14:textId="3C3CF548" w:rsidR="009E5FA8" w:rsidRPr="008F0C38" w:rsidRDefault="00654A84" w:rsidP="009E5FA8">
      <w:pPr>
        <w:pStyle w:val="3Titleh3"/>
        <w:rPr>
          <w:lang w:val="en-AU"/>
        </w:rPr>
      </w:pPr>
      <w:r>
        <w:rPr>
          <w:lang w:val="en-AU"/>
        </w:rPr>
        <w:t>Regular</w:t>
      </w:r>
      <w:r w:rsidRPr="008F0C38">
        <w:rPr>
          <w:lang w:val="en-AU"/>
        </w:rPr>
        <w:t xml:space="preserve"> </w:t>
      </w:r>
      <w:r w:rsidR="00871319">
        <w:rPr>
          <w:lang w:val="en-AU"/>
        </w:rPr>
        <w:t xml:space="preserve">access to </w:t>
      </w:r>
      <w:r w:rsidR="004D3DC8" w:rsidRPr="008F0C38">
        <w:rPr>
          <w:lang w:val="en-AU"/>
        </w:rPr>
        <w:t>health</w:t>
      </w:r>
      <w:r w:rsidR="00D338A3">
        <w:rPr>
          <w:lang w:val="en-AU"/>
        </w:rPr>
        <w:t xml:space="preserve"> </w:t>
      </w:r>
      <w:r w:rsidR="00377B6A">
        <w:rPr>
          <w:lang w:val="en-AU"/>
        </w:rPr>
        <w:t xml:space="preserve">care </w:t>
      </w:r>
    </w:p>
    <w:p w14:paraId="36A6E2C4" w14:textId="1B604D01" w:rsidR="009E5FA8" w:rsidRPr="008F0C38" w:rsidRDefault="008C2CE5" w:rsidP="009E5FA8">
      <w:pPr>
        <w:pStyle w:val="4Titledescription"/>
        <w:rPr>
          <w:lang w:val="en-AU"/>
        </w:rPr>
      </w:pPr>
      <w:r>
        <w:rPr>
          <w:lang w:val="en-AU"/>
        </w:rPr>
        <w:t>January</w:t>
      </w:r>
      <w:r w:rsidR="00EB7CC3" w:rsidRPr="008F0C38">
        <w:rPr>
          <w:lang w:val="en-AU"/>
        </w:rPr>
        <w:t xml:space="preserve"> </w:t>
      </w:r>
      <w:r w:rsidR="009E5FA8" w:rsidRPr="008F0C38">
        <w:rPr>
          <w:lang w:val="en-AU"/>
        </w:rPr>
        <w:t>202</w:t>
      </w:r>
      <w:r>
        <w:rPr>
          <w:lang w:val="en-AU"/>
        </w:rPr>
        <w:t>5</w:t>
      </w:r>
    </w:p>
    <w:p w14:paraId="76920323" w14:textId="77777777" w:rsidR="009E5FA8" w:rsidRPr="008F0C38" w:rsidRDefault="009E5FA8" w:rsidP="009359E9">
      <w:pPr>
        <w:pStyle w:val="5AboutHeadingh4"/>
        <w:spacing w:before="240" w:after="240"/>
        <w:ind w:right="-34"/>
        <w:rPr>
          <w:lang w:val="en-AU"/>
        </w:rPr>
      </w:pPr>
      <w:r w:rsidRPr="008F0C38">
        <w:rPr>
          <w:lang w:val="en-AU"/>
        </w:rPr>
        <w:t>Key points</w:t>
      </w:r>
    </w:p>
    <w:p w14:paraId="5A8F3A58" w14:textId="12302AEE" w:rsidR="0076078B" w:rsidRDefault="0076078B" w:rsidP="009E7ECE">
      <w:pPr>
        <w:pStyle w:val="6Aboutbullet"/>
        <w:spacing w:before="240"/>
        <w:ind w:right="-34"/>
        <w:rPr>
          <w:lang w:val="en-AU"/>
        </w:rPr>
      </w:pPr>
      <w:r w:rsidRPr="008F0C38">
        <w:rPr>
          <w:lang w:val="en-AU"/>
        </w:rPr>
        <w:t xml:space="preserve">Participants have a right to maintain </w:t>
      </w:r>
      <w:r w:rsidR="00FF0532">
        <w:rPr>
          <w:lang w:val="en-AU"/>
        </w:rPr>
        <w:t>good</w:t>
      </w:r>
      <w:r w:rsidRPr="008F0C38">
        <w:rPr>
          <w:lang w:val="en-AU"/>
        </w:rPr>
        <w:t xml:space="preserve"> physical, oral and mental health</w:t>
      </w:r>
      <w:r w:rsidR="00C54738">
        <w:rPr>
          <w:lang w:val="en-AU"/>
        </w:rPr>
        <w:t>.</w:t>
      </w:r>
    </w:p>
    <w:p w14:paraId="43BE19B6" w14:textId="3A6465E6" w:rsidR="009E7ECE" w:rsidRPr="008F0C38" w:rsidRDefault="00FF0532" w:rsidP="009E7ECE">
      <w:pPr>
        <w:pStyle w:val="6Aboutbullet"/>
        <w:spacing w:before="240"/>
        <w:ind w:right="-34"/>
        <w:rPr>
          <w:lang w:val="en-AU"/>
        </w:rPr>
      </w:pPr>
      <w:r>
        <w:rPr>
          <w:lang w:val="en-AU"/>
        </w:rPr>
        <w:t>People with disabilit</w:t>
      </w:r>
      <w:r w:rsidR="00A02BCC">
        <w:rPr>
          <w:lang w:val="en-AU"/>
        </w:rPr>
        <w:t>y</w:t>
      </w:r>
      <w:r>
        <w:rPr>
          <w:lang w:val="en-AU"/>
        </w:rPr>
        <w:t xml:space="preserve"> can experience b</w:t>
      </w:r>
      <w:r w:rsidR="00A133BB">
        <w:rPr>
          <w:lang w:val="en-AU"/>
        </w:rPr>
        <w:t>arriers to accessing</w:t>
      </w:r>
      <w:r>
        <w:rPr>
          <w:lang w:val="en-AU"/>
        </w:rPr>
        <w:t xml:space="preserve"> health</w:t>
      </w:r>
      <w:r w:rsidR="00CB6A0D">
        <w:rPr>
          <w:lang w:val="en-AU"/>
        </w:rPr>
        <w:t xml:space="preserve"> </w:t>
      </w:r>
      <w:r>
        <w:rPr>
          <w:lang w:val="en-AU"/>
        </w:rPr>
        <w:t>care which can</w:t>
      </w:r>
      <w:r w:rsidR="00A133BB">
        <w:rPr>
          <w:lang w:val="en-AU"/>
        </w:rPr>
        <w:t xml:space="preserve"> </w:t>
      </w:r>
      <w:r w:rsidR="00712D0E">
        <w:rPr>
          <w:lang w:val="en-AU"/>
        </w:rPr>
        <w:t xml:space="preserve">result in </w:t>
      </w:r>
      <w:r w:rsidR="009E7ECE" w:rsidRPr="008F0C38">
        <w:rPr>
          <w:lang w:val="en-AU"/>
        </w:rPr>
        <w:t>poor health, chronic disease</w:t>
      </w:r>
      <w:r w:rsidR="009E7ECE">
        <w:rPr>
          <w:lang w:val="en-AU"/>
        </w:rPr>
        <w:t xml:space="preserve">, mental health </w:t>
      </w:r>
      <w:r>
        <w:rPr>
          <w:lang w:val="en-AU"/>
        </w:rPr>
        <w:t>conditions and</w:t>
      </w:r>
      <w:r w:rsidR="009E7ECE" w:rsidRPr="008F0C38">
        <w:rPr>
          <w:lang w:val="en-AU"/>
        </w:rPr>
        <w:t xml:space="preserve"> </w:t>
      </w:r>
      <w:r w:rsidR="00C54738">
        <w:rPr>
          <w:lang w:val="en-AU"/>
        </w:rPr>
        <w:t>early</w:t>
      </w:r>
      <w:r w:rsidR="00C54738" w:rsidRPr="008F0C38">
        <w:rPr>
          <w:lang w:val="en-AU"/>
        </w:rPr>
        <w:t xml:space="preserve"> </w:t>
      </w:r>
      <w:r w:rsidR="009E7ECE" w:rsidRPr="008F0C38">
        <w:rPr>
          <w:lang w:val="en-AU"/>
        </w:rPr>
        <w:t>death</w:t>
      </w:r>
      <w:r w:rsidR="009E7ECE">
        <w:rPr>
          <w:lang w:val="en-AU"/>
        </w:rPr>
        <w:t>.</w:t>
      </w:r>
    </w:p>
    <w:p w14:paraId="6EED297D" w14:textId="1C62575E" w:rsidR="00420605" w:rsidRDefault="00420605" w:rsidP="00420605">
      <w:pPr>
        <w:pStyle w:val="6Aboutbullet"/>
        <w:spacing w:before="240"/>
        <w:ind w:right="-34"/>
        <w:rPr>
          <w:lang w:val="en-AU"/>
        </w:rPr>
      </w:pPr>
      <w:r>
        <w:rPr>
          <w:lang w:val="en-AU"/>
        </w:rPr>
        <w:t>Accessing health</w:t>
      </w:r>
      <w:r w:rsidR="00CB6A0D">
        <w:rPr>
          <w:lang w:val="en-AU"/>
        </w:rPr>
        <w:t xml:space="preserve"> </w:t>
      </w:r>
      <w:r>
        <w:rPr>
          <w:lang w:val="en-AU"/>
        </w:rPr>
        <w:t>care services</w:t>
      </w:r>
      <w:r w:rsidR="0069676D">
        <w:rPr>
          <w:lang w:val="en-AU"/>
        </w:rPr>
        <w:t xml:space="preserve"> regularly</w:t>
      </w:r>
      <w:r>
        <w:rPr>
          <w:lang w:val="en-AU"/>
        </w:rPr>
        <w:t xml:space="preserve"> can</w:t>
      </w:r>
      <w:r w:rsidRPr="00693EA2">
        <w:rPr>
          <w:lang w:val="en-AU"/>
        </w:rPr>
        <w:t xml:space="preserve"> </w:t>
      </w:r>
      <w:r>
        <w:rPr>
          <w:lang w:val="en-AU"/>
        </w:rPr>
        <w:t xml:space="preserve">reduce health </w:t>
      </w:r>
      <w:r w:rsidRPr="008F0C38">
        <w:rPr>
          <w:lang w:val="en-AU"/>
        </w:rPr>
        <w:t>risks and poor health outcomes</w:t>
      </w:r>
      <w:r>
        <w:rPr>
          <w:lang w:val="en-AU"/>
        </w:rPr>
        <w:t xml:space="preserve"> by </w:t>
      </w:r>
      <w:r w:rsidR="00FF0532">
        <w:rPr>
          <w:lang w:val="en-AU"/>
        </w:rPr>
        <w:t>preventing</w:t>
      </w:r>
      <w:r w:rsidRPr="00693EA2">
        <w:rPr>
          <w:lang w:val="en-AU"/>
        </w:rPr>
        <w:t xml:space="preserve"> </w:t>
      </w:r>
      <w:r w:rsidR="007C513A" w:rsidRPr="00693EA2">
        <w:rPr>
          <w:lang w:val="en-AU"/>
        </w:rPr>
        <w:t>illness</w:t>
      </w:r>
      <w:r w:rsidR="007C513A">
        <w:rPr>
          <w:lang w:val="en-AU"/>
        </w:rPr>
        <w:t xml:space="preserve"> or</w:t>
      </w:r>
      <w:r w:rsidRPr="00693EA2">
        <w:rPr>
          <w:lang w:val="en-AU"/>
        </w:rPr>
        <w:t xml:space="preserve"> diagnos</w:t>
      </w:r>
      <w:r w:rsidR="00FF0532">
        <w:rPr>
          <w:lang w:val="en-AU"/>
        </w:rPr>
        <w:t>ing</w:t>
      </w:r>
      <w:r w:rsidRPr="00693EA2">
        <w:rPr>
          <w:lang w:val="en-AU"/>
        </w:rPr>
        <w:t xml:space="preserve"> and treat</w:t>
      </w:r>
      <w:r w:rsidR="00FF0532">
        <w:rPr>
          <w:lang w:val="en-AU"/>
        </w:rPr>
        <w:t>ing</w:t>
      </w:r>
      <w:r>
        <w:rPr>
          <w:lang w:val="en-AU"/>
        </w:rPr>
        <w:t xml:space="preserve"> </w:t>
      </w:r>
      <w:r w:rsidR="00F430D7">
        <w:rPr>
          <w:lang w:val="en-AU"/>
        </w:rPr>
        <w:t>problems</w:t>
      </w:r>
      <w:r>
        <w:rPr>
          <w:lang w:val="en-AU"/>
        </w:rPr>
        <w:t xml:space="preserve"> early. </w:t>
      </w:r>
    </w:p>
    <w:p w14:paraId="1B5DA077" w14:textId="5290F0F4" w:rsidR="00FF0532" w:rsidRDefault="000B082D" w:rsidP="00357780">
      <w:pPr>
        <w:pStyle w:val="6Aboutbullet"/>
        <w:spacing w:before="240"/>
        <w:ind w:right="-34"/>
        <w:rPr>
          <w:lang w:val="en-AU"/>
        </w:rPr>
      </w:pPr>
      <w:r w:rsidRPr="00FF0532">
        <w:rPr>
          <w:lang w:val="en-AU"/>
        </w:rPr>
        <w:t xml:space="preserve">Providers </w:t>
      </w:r>
      <w:r w:rsidR="00FF0532" w:rsidRPr="00FF0532">
        <w:rPr>
          <w:lang w:val="en-AU"/>
        </w:rPr>
        <w:t>should</w:t>
      </w:r>
      <w:r w:rsidRPr="00FF0532">
        <w:rPr>
          <w:lang w:val="en-AU"/>
        </w:rPr>
        <w:t xml:space="preserve"> monitor participant</w:t>
      </w:r>
      <w:r w:rsidR="00FF0532" w:rsidRPr="00FF0532">
        <w:rPr>
          <w:lang w:val="en-AU"/>
        </w:rPr>
        <w:t xml:space="preserve">s’ health </w:t>
      </w:r>
      <w:r w:rsidRPr="00FF0532">
        <w:rPr>
          <w:lang w:val="en-AU"/>
        </w:rPr>
        <w:t>and wellbeing</w:t>
      </w:r>
      <w:r w:rsidR="00CC02E5">
        <w:rPr>
          <w:lang w:val="en-AU"/>
        </w:rPr>
        <w:t>,</w:t>
      </w:r>
      <w:r w:rsidRPr="00FF0532">
        <w:rPr>
          <w:lang w:val="en-AU"/>
        </w:rPr>
        <w:t xml:space="preserve"> and support participants to maintain their health</w:t>
      </w:r>
      <w:r w:rsidR="00FF0532" w:rsidRPr="00FF0532">
        <w:rPr>
          <w:lang w:val="en-AU"/>
        </w:rPr>
        <w:t xml:space="preserve">. This includes supporting participants to </w:t>
      </w:r>
      <w:r w:rsidRPr="00FF0532">
        <w:rPr>
          <w:lang w:val="en-AU"/>
        </w:rPr>
        <w:t xml:space="preserve">access </w:t>
      </w:r>
      <w:r w:rsidR="00FF0532" w:rsidRPr="00FF0532">
        <w:rPr>
          <w:lang w:val="en-AU"/>
        </w:rPr>
        <w:t>health</w:t>
      </w:r>
      <w:r w:rsidR="00CB6A0D">
        <w:rPr>
          <w:lang w:val="en-AU"/>
        </w:rPr>
        <w:t xml:space="preserve"> </w:t>
      </w:r>
      <w:r w:rsidR="00420605" w:rsidRPr="00FF0532">
        <w:rPr>
          <w:lang w:val="en-AU"/>
        </w:rPr>
        <w:t xml:space="preserve">care </w:t>
      </w:r>
      <w:r w:rsidRPr="00FF0532">
        <w:rPr>
          <w:lang w:val="en-AU"/>
        </w:rPr>
        <w:t>services</w:t>
      </w:r>
      <w:r w:rsidR="00451F70" w:rsidRPr="00451F70">
        <w:rPr>
          <w:lang w:val="en-AU"/>
        </w:rPr>
        <w:t xml:space="preserve"> </w:t>
      </w:r>
      <w:r w:rsidR="00451F70">
        <w:rPr>
          <w:lang w:val="en-AU"/>
        </w:rPr>
        <w:t>and health checks</w:t>
      </w:r>
      <w:r w:rsidRPr="00FF0532">
        <w:rPr>
          <w:lang w:val="en-AU"/>
        </w:rPr>
        <w:t>.</w:t>
      </w:r>
    </w:p>
    <w:p w14:paraId="71E1B90A" w14:textId="77777777" w:rsidR="004D3DC8" w:rsidRPr="00FF0532" w:rsidRDefault="009E7ECE" w:rsidP="00357780">
      <w:pPr>
        <w:pStyle w:val="6Aboutbullet"/>
        <w:spacing w:before="240"/>
        <w:ind w:right="-34"/>
        <w:rPr>
          <w:lang w:val="en-AU"/>
        </w:rPr>
      </w:pPr>
      <w:r w:rsidRPr="00FF0532">
        <w:rPr>
          <w:lang w:val="en-AU"/>
        </w:rPr>
        <w:t xml:space="preserve">A Comprehensive Health Assessment Program </w:t>
      </w:r>
      <w:r w:rsidR="00420605" w:rsidRPr="00FF0532">
        <w:rPr>
          <w:lang w:val="en-AU"/>
        </w:rPr>
        <w:t xml:space="preserve">(CHAP) </w:t>
      </w:r>
      <w:r w:rsidRPr="00FF0532">
        <w:rPr>
          <w:lang w:val="en-AU"/>
        </w:rPr>
        <w:t xml:space="preserve">identifies </w:t>
      </w:r>
      <w:r w:rsidR="00F5374C" w:rsidRPr="00FF0532">
        <w:rPr>
          <w:lang w:val="en-AU"/>
        </w:rPr>
        <w:t xml:space="preserve">health issues and conditions that are preventable for people with intellectual disability. It </w:t>
      </w:r>
      <w:r w:rsidR="002356E8" w:rsidRPr="00FF0532">
        <w:rPr>
          <w:lang w:val="en-AU"/>
        </w:rPr>
        <w:t>enables</w:t>
      </w:r>
      <w:r w:rsidR="00FF0532">
        <w:rPr>
          <w:lang w:val="en-AU"/>
        </w:rPr>
        <w:t xml:space="preserve"> </w:t>
      </w:r>
      <w:r w:rsidR="004D3DC8" w:rsidRPr="00FF0532">
        <w:rPr>
          <w:lang w:val="en-AU"/>
        </w:rPr>
        <w:t>management</w:t>
      </w:r>
      <w:r w:rsidR="002356E8" w:rsidRPr="00FF0532">
        <w:rPr>
          <w:lang w:val="en-AU"/>
        </w:rPr>
        <w:t xml:space="preserve"> of </w:t>
      </w:r>
      <w:r w:rsidR="00F5374C" w:rsidRPr="00FF0532">
        <w:rPr>
          <w:lang w:val="en-AU"/>
        </w:rPr>
        <w:t xml:space="preserve">health </w:t>
      </w:r>
      <w:r w:rsidR="002356E8" w:rsidRPr="00FF0532">
        <w:rPr>
          <w:lang w:val="en-AU"/>
        </w:rPr>
        <w:t>needs</w:t>
      </w:r>
      <w:r w:rsidR="004D3DC8" w:rsidRPr="00FF0532">
        <w:rPr>
          <w:lang w:val="en-AU"/>
        </w:rPr>
        <w:t xml:space="preserve"> and reduces health risks and poor health outcomes.</w:t>
      </w:r>
    </w:p>
    <w:p w14:paraId="7B849D3B" w14:textId="77777777" w:rsidR="00AD7AD7" w:rsidRPr="008F0C38" w:rsidRDefault="004D3DC8" w:rsidP="000B082D">
      <w:pPr>
        <w:pStyle w:val="Heading2"/>
      </w:pPr>
      <w:r w:rsidRPr="008F0C38">
        <w:t xml:space="preserve">Risk of </w:t>
      </w:r>
      <w:r w:rsidR="00C240D8">
        <w:t xml:space="preserve">poor </w:t>
      </w:r>
      <w:r w:rsidRPr="008F0C38">
        <w:t>health for people with disability</w:t>
      </w:r>
    </w:p>
    <w:p w14:paraId="2990D027" w14:textId="667FB887" w:rsidR="00A47899" w:rsidRDefault="007B356A" w:rsidP="00941B81">
      <w:r>
        <w:t xml:space="preserve">People with disability </w:t>
      </w:r>
      <w:r w:rsidR="006871D3">
        <w:t xml:space="preserve">are at </w:t>
      </w:r>
      <w:r w:rsidR="003339E4">
        <w:t>greater</w:t>
      </w:r>
      <w:r w:rsidR="003339E4" w:rsidRPr="008F0C38">
        <w:t xml:space="preserve"> </w:t>
      </w:r>
      <w:r w:rsidR="004115BB" w:rsidRPr="008F0C38">
        <w:t>risk of</w:t>
      </w:r>
      <w:r w:rsidR="00EF0C4E" w:rsidRPr="00EF0C4E">
        <w:t xml:space="preserve"> </w:t>
      </w:r>
      <w:r w:rsidR="00EF0C4E" w:rsidRPr="008F0C38">
        <w:t>poor health</w:t>
      </w:r>
      <w:r w:rsidR="006871D3">
        <w:t xml:space="preserve">, </w:t>
      </w:r>
      <w:r w:rsidR="00D43DF5">
        <w:t xml:space="preserve">chronic conditions, </w:t>
      </w:r>
      <w:r w:rsidR="006871D3">
        <w:t xml:space="preserve">and developing </w:t>
      </w:r>
      <w:r w:rsidR="0033688B">
        <w:t xml:space="preserve">health </w:t>
      </w:r>
      <w:r w:rsidR="00F2720E">
        <w:t xml:space="preserve">problems </w:t>
      </w:r>
      <w:r w:rsidR="00CA1F73">
        <w:t>and mental health conditions.</w:t>
      </w:r>
      <w:r w:rsidR="00411F12" w:rsidRPr="0068529B">
        <w:rPr>
          <w:rStyle w:val="EndnoteReference"/>
        </w:rPr>
        <w:endnoteReference w:id="1"/>
      </w:r>
      <w:r w:rsidR="00BB19E2" w:rsidRPr="0068529B">
        <w:rPr>
          <w:vertAlign w:val="superscript"/>
        </w:rPr>
        <w:t>,</w:t>
      </w:r>
      <w:r w:rsidR="0034695C" w:rsidRPr="0068529B">
        <w:rPr>
          <w:rStyle w:val="EndnoteReference"/>
        </w:rPr>
        <w:endnoteReference w:id="2"/>
      </w:r>
      <w:r w:rsidR="00637BBB" w:rsidRPr="0068529B">
        <w:rPr>
          <w:vertAlign w:val="superscript"/>
        </w:rPr>
        <w:t>,</w:t>
      </w:r>
      <w:bookmarkStart w:id="0" w:name="_Ref153804651"/>
      <w:r w:rsidR="001F7FF1" w:rsidRPr="0068529B">
        <w:rPr>
          <w:rStyle w:val="EndnoteReference"/>
        </w:rPr>
        <w:endnoteReference w:id="3"/>
      </w:r>
      <w:bookmarkEnd w:id="0"/>
      <w:r w:rsidR="001F7FF1" w:rsidRPr="0068529B">
        <w:rPr>
          <w:vertAlign w:val="superscript"/>
        </w:rPr>
        <w:t>,</w:t>
      </w:r>
      <w:bookmarkStart w:id="1" w:name="_Ref153802204"/>
      <w:r w:rsidR="0068529B" w:rsidRPr="0068529B">
        <w:rPr>
          <w:rStyle w:val="EndnoteReference"/>
        </w:rPr>
        <w:endnoteReference w:id="4"/>
      </w:r>
      <w:bookmarkEnd w:id="1"/>
      <w:r w:rsidR="00A47899">
        <w:t xml:space="preserve"> People with disability also have poorer access to health care services </w:t>
      </w:r>
      <w:r w:rsidR="00DE06F0">
        <w:t xml:space="preserve">and inadequate </w:t>
      </w:r>
      <w:r w:rsidR="00783DE1" w:rsidRPr="00783DE1">
        <w:t>attention to care needs</w:t>
      </w:r>
      <w:r w:rsidR="00783DE1">
        <w:t xml:space="preserve"> </w:t>
      </w:r>
      <w:r w:rsidR="00A47899">
        <w:t>compared to people without disability</w:t>
      </w:r>
      <w:r w:rsidR="00AC4BDE">
        <w:fldChar w:fldCharType="begin"/>
      </w:r>
      <w:r w:rsidR="00AC4BDE">
        <w:instrText xml:space="preserve"> NOTEREF _Ref153802204 \f \h </w:instrText>
      </w:r>
      <w:r w:rsidR="00AC4BDE">
        <w:fldChar w:fldCharType="separate"/>
      </w:r>
      <w:r w:rsidR="00AC4BDE" w:rsidRPr="00AC4BDE">
        <w:rPr>
          <w:rStyle w:val="EndnoteReference"/>
        </w:rPr>
        <w:t>4</w:t>
      </w:r>
      <w:r w:rsidR="00AC4BDE">
        <w:fldChar w:fldCharType="end"/>
      </w:r>
      <w:r w:rsidR="00333328">
        <w:rPr>
          <w:vertAlign w:val="superscript"/>
        </w:rPr>
        <w:t>,</w:t>
      </w:r>
      <w:bookmarkStart w:id="2" w:name="_Ref153806404"/>
      <w:r w:rsidR="005F2FF6" w:rsidRPr="006D5D5B">
        <w:rPr>
          <w:rStyle w:val="EndnoteReference"/>
        </w:rPr>
        <w:endnoteReference w:id="5"/>
      </w:r>
      <w:bookmarkEnd w:id="2"/>
      <w:r w:rsidR="00A47899">
        <w:t xml:space="preserve"> resulting in </w:t>
      </w:r>
      <w:r w:rsidR="00B478C9">
        <w:t xml:space="preserve">greater </w:t>
      </w:r>
      <w:r w:rsidR="00A47899">
        <w:t>unmet health care needs.</w:t>
      </w:r>
      <w:bookmarkStart w:id="3" w:name="_Ref153806477"/>
      <w:r w:rsidR="00647E1B" w:rsidRPr="00F449D8">
        <w:rPr>
          <w:rStyle w:val="EndnoteReference"/>
        </w:rPr>
        <w:endnoteReference w:id="6"/>
      </w:r>
      <w:bookmarkEnd w:id="3"/>
      <w:r w:rsidR="007446D3" w:rsidRPr="00460B22">
        <w:rPr>
          <w:vertAlign w:val="superscript"/>
        </w:rPr>
        <w:t>,</w:t>
      </w:r>
      <w:r w:rsidR="00F63FB9" w:rsidRPr="00F449D8">
        <w:rPr>
          <w:rStyle w:val="EndnoteReference"/>
        </w:rPr>
        <w:endnoteReference w:id="7"/>
      </w:r>
      <w:r w:rsidR="000F6E23" w:rsidRPr="00460B22">
        <w:rPr>
          <w:vertAlign w:val="superscript"/>
        </w:rPr>
        <w:t>,</w:t>
      </w:r>
      <w:bookmarkStart w:id="4" w:name="_Ref153805418"/>
      <w:r w:rsidR="000F6E23" w:rsidRPr="00F449D8">
        <w:rPr>
          <w:rStyle w:val="EndnoteReference"/>
        </w:rPr>
        <w:endnoteReference w:id="8"/>
      </w:r>
      <w:bookmarkEnd w:id="4"/>
      <w:r w:rsidR="00F449D8" w:rsidRPr="00460B22">
        <w:rPr>
          <w:vertAlign w:val="superscript"/>
        </w:rPr>
        <w:t>,</w:t>
      </w:r>
      <w:r w:rsidR="00783DE1" w:rsidRPr="00F449D8">
        <w:rPr>
          <w:rStyle w:val="EndnoteReference"/>
        </w:rPr>
        <w:endnoteReference w:id="9"/>
      </w:r>
      <w:r w:rsidR="00A47899" w:rsidRPr="00460B22">
        <w:rPr>
          <w:vertAlign w:val="superscript"/>
        </w:rPr>
        <w:t xml:space="preserve"> </w:t>
      </w:r>
      <w:r w:rsidR="00A47899">
        <w:t xml:space="preserve">This can </w:t>
      </w:r>
      <w:r w:rsidR="00A47899" w:rsidRPr="00DF4EC7">
        <w:t>affect quality of life</w:t>
      </w:r>
      <w:r w:rsidR="00A47899">
        <w:t xml:space="preserve"> and increase</w:t>
      </w:r>
      <w:r w:rsidR="00A47899" w:rsidRPr="00DF4EC7">
        <w:t xml:space="preserve"> severe illness and </w:t>
      </w:r>
      <w:r w:rsidR="00A47899">
        <w:t>early</w:t>
      </w:r>
      <w:r w:rsidR="00A47899" w:rsidRPr="00DF4EC7">
        <w:t xml:space="preserve"> death.</w:t>
      </w:r>
      <w:r w:rsidR="004B6E1D" w:rsidRPr="00932C18">
        <w:rPr>
          <w:vertAlign w:val="superscript"/>
        </w:rPr>
        <w:fldChar w:fldCharType="begin"/>
      </w:r>
      <w:r w:rsidR="004B6E1D" w:rsidRPr="00932C18">
        <w:rPr>
          <w:vertAlign w:val="superscript"/>
        </w:rPr>
        <w:instrText xml:space="preserve"> NOTEREF _Ref153805418 \f \h  \* MERGEFORMAT </w:instrText>
      </w:r>
      <w:r w:rsidR="004B6E1D" w:rsidRPr="00932C18">
        <w:rPr>
          <w:vertAlign w:val="superscript"/>
        </w:rPr>
      </w:r>
      <w:r w:rsidR="004B6E1D" w:rsidRPr="00932C18">
        <w:rPr>
          <w:vertAlign w:val="superscript"/>
        </w:rPr>
        <w:fldChar w:fldCharType="separate"/>
      </w:r>
      <w:r w:rsidR="004B6E1D" w:rsidRPr="00932C18">
        <w:rPr>
          <w:rStyle w:val="EndnoteReference"/>
        </w:rPr>
        <w:t>8</w:t>
      </w:r>
      <w:r w:rsidR="004B6E1D" w:rsidRPr="00932C18">
        <w:rPr>
          <w:vertAlign w:val="superscript"/>
        </w:rPr>
        <w:fldChar w:fldCharType="end"/>
      </w:r>
      <w:r w:rsidR="00B872AD">
        <w:rPr>
          <w:vertAlign w:val="superscript"/>
        </w:rPr>
        <w:t>,</w:t>
      </w:r>
      <w:r w:rsidR="00F449D8">
        <w:rPr>
          <w:rStyle w:val="EndnoteReference"/>
        </w:rPr>
        <w:endnoteReference w:id="10"/>
      </w:r>
      <w:r w:rsidR="004A19EA">
        <w:rPr>
          <w:vertAlign w:val="superscript"/>
        </w:rPr>
        <w:t>,</w:t>
      </w:r>
      <w:r w:rsidR="004771FC" w:rsidRPr="00932C18">
        <w:rPr>
          <w:rStyle w:val="EndnoteReference"/>
        </w:rPr>
        <w:endnoteReference w:id="11"/>
      </w:r>
      <w:r w:rsidR="004771FC" w:rsidRPr="00932C18">
        <w:rPr>
          <w:vertAlign w:val="superscript"/>
        </w:rPr>
        <w:t>,</w:t>
      </w:r>
      <w:bookmarkStart w:id="5" w:name="_Ref153806873"/>
      <w:r w:rsidR="00B86FE4" w:rsidRPr="00932C18">
        <w:rPr>
          <w:rStyle w:val="EndnoteReference"/>
        </w:rPr>
        <w:endnoteReference w:id="12"/>
      </w:r>
      <w:bookmarkEnd w:id="5"/>
      <w:r w:rsidR="00C7097A" w:rsidRPr="00932C18">
        <w:rPr>
          <w:vertAlign w:val="superscript"/>
        </w:rPr>
        <w:t>,</w:t>
      </w:r>
      <w:bookmarkStart w:id="6" w:name="_Ref153815913"/>
      <w:r w:rsidR="00FA3F78">
        <w:rPr>
          <w:rStyle w:val="EndnoteReference"/>
        </w:rPr>
        <w:endnoteReference w:id="13"/>
      </w:r>
      <w:bookmarkEnd w:id="6"/>
      <w:r w:rsidR="00F2180C">
        <w:rPr>
          <w:vertAlign w:val="superscript"/>
        </w:rPr>
        <w:t>,</w:t>
      </w:r>
      <w:r w:rsidR="00F2180C">
        <w:rPr>
          <w:rStyle w:val="EndnoteReference"/>
        </w:rPr>
        <w:endnoteReference w:id="14"/>
      </w:r>
      <w:r w:rsidR="00EA3751">
        <w:rPr>
          <w:vertAlign w:val="superscript"/>
        </w:rPr>
        <w:t>,</w:t>
      </w:r>
      <w:r w:rsidR="00EA3751">
        <w:rPr>
          <w:rStyle w:val="EndnoteReference"/>
        </w:rPr>
        <w:endnoteReference w:id="15"/>
      </w:r>
    </w:p>
    <w:p w14:paraId="338E3B6A" w14:textId="7308723F" w:rsidR="00A47899" w:rsidRPr="008F0C38" w:rsidRDefault="00A47899" w:rsidP="003954F0">
      <w:pPr>
        <w:keepNext/>
        <w:spacing w:after="0"/>
      </w:pPr>
      <w:r>
        <w:t xml:space="preserve">A person’s </w:t>
      </w:r>
      <w:r w:rsidRPr="008F0C38">
        <w:t>individual</w:t>
      </w:r>
      <w:r>
        <w:t xml:space="preserve"> social,</w:t>
      </w:r>
      <w:r w:rsidRPr="008F0C38">
        <w:t xml:space="preserve"> medical</w:t>
      </w:r>
      <w:r>
        <w:t xml:space="preserve"> </w:t>
      </w:r>
      <w:r w:rsidRPr="008F0C38">
        <w:t xml:space="preserve">and </w:t>
      </w:r>
      <w:r>
        <w:t>lifestyle</w:t>
      </w:r>
      <w:r w:rsidRPr="008F0C38">
        <w:t xml:space="preserve"> </w:t>
      </w:r>
      <w:r>
        <w:t>factors can influence their health</w:t>
      </w:r>
      <w:r w:rsidRPr="008F0C38">
        <w:t xml:space="preserve">. </w:t>
      </w:r>
      <w:r>
        <w:t>People with disability can be at greater risk of health</w:t>
      </w:r>
      <w:r w:rsidRPr="008F0C38">
        <w:t xml:space="preserve"> </w:t>
      </w:r>
      <w:r>
        <w:t>problems</w:t>
      </w:r>
      <w:r w:rsidRPr="008F0C38">
        <w:t xml:space="preserve"> due to </w:t>
      </w:r>
      <w:r>
        <w:t>one or more of</w:t>
      </w:r>
      <w:r w:rsidRPr="008F0C38">
        <w:t xml:space="preserve"> the following</w:t>
      </w:r>
      <w:r>
        <w:t xml:space="preserve"> factors</w:t>
      </w:r>
      <w:r w:rsidRPr="008F0C38">
        <w:t xml:space="preserve">: </w:t>
      </w:r>
    </w:p>
    <w:p w14:paraId="728A23C7" w14:textId="1B75D60A" w:rsidR="00A47899" w:rsidRDefault="00A47899" w:rsidP="003A17F9">
      <w:pPr>
        <w:pStyle w:val="Bullet1"/>
      </w:pPr>
      <w:hyperlink r:id="rId12" w:anchor="tab=tab_1" w:history="1">
        <w:r w:rsidRPr="0076709C">
          <w:rPr>
            <w:rStyle w:val="Hyperlink"/>
          </w:rPr>
          <w:t>Social determinants of health</w:t>
        </w:r>
      </w:hyperlink>
      <w:r>
        <w:t xml:space="preserve"> – </w:t>
      </w:r>
      <w:r w:rsidRPr="00C36473">
        <w:t xml:space="preserve">non-medical factors </w:t>
      </w:r>
      <w:r>
        <w:t>can</w:t>
      </w:r>
      <w:r w:rsidRPr="00C36473">
        <w:t xml:space="preserve"> influence</w:t>
      </w:r>
      <w:r>
        <w:t xml:space="preserve"> health outcomes such as income, education level, housing, unemployment and early childhood development.</w:t>
      </w:r>
      <w:r w:rsidR="00AB5EFF">
        <w:rPr>
          <w:rStyle w:val="EndnoteReference"/>
        </w:rPr>
        <w:endnoteReference w:id="16"/>
      </w:r>
      <w:r w:rsidR="002D4927" w:rsidRPr="002D4927">
        <w:rPr>
          <w:vertAlign w:val="superscript"/>
        </w:rPr>
        <w:t>,</w:t>
      </w:r>
      <w:r w:rsidR="002D4927">
        <w:rPr>
          <w:rStyle w:val="EndnoteReference"/>
        </w:rPr>
        <w:endnoteReference w:id="17"/>
      </w:r>
    </w:p>
    <w:p w14:paraId="388B7411" w14:textId="0DFEF762" w:rsidR="00A47899" w:rsidRDefault="00A47899" w:rsidP="003A17F9">
      <w:pPr>
        <w:pStyle w:val="Bullet1"/>
      </w:pPr>
      <w:r>
        <w:lastRenderedPageBreak/>
        <w:t xml:space="preserve">Access to health care services – </w:t>
      </w:r>
      <w:r w:rsidRPr="00D4452C">
        <w:t>people with disability experience difficulties accessing health</w:t>
      </w:r>
      <w:r>
        <w:t xml:space="preserve"> care </w:t>
      </w:r>
      <w:r w:rsidRPr="00D4452C">
        <w:t>services</w:t>
      </w:r>
      <w:r>
        <w:t xml:space="preserve"> due to a variety of reasons such as </w:t>
      </w:r>
      <w:r w:rsidRPr="00D4452C">
        <w:t>lengthy waiting times, cost, inaccessib</w:t>
      </w:r>
      <w:r>
        <w:t>le</w:t>
      </w:r>
      <w:r w:rsidRPr="00D4452C">
        <w:t xml:space="preserve"> buildings</w:t>
      </w:r>
      <w:r>
        <w:t>,</w:t>
      </w:r>
      <w:r w:rsidRPr="00D4452C">
        <w:t xml:space="preserve"> discrimination by health professionals</w:t>
      </w:r>
      <w:r w:rsidR="00C30DB9">
        <w:t>,</w:t>
      </w:r>
      <w:r>
        <w:t xml:space="preserve"> inaccessible </w:t>
      </w:r>
      <w:r w:rsidR="00267B7C">
        <w:t xml:space="preserve">communication and </w:t>
      </w:r>
      <w:r>
        <w:t xml:space="preserve">information, limited health literacy, lack of support, and </w:t>
      </w:r>
      <w:r w:rsidRPr="001D23C3">
        <w:t>lack of knowledge and understanding</w:t>
      </w:r>
      <w:r>
        <w:t xml:space="preserve"> </w:t>
      </w:r>
      <w:r w:rsidRPr="001D23C3">
        <w:t xml:space="preserve">of disability </w:t>
      </w:r>
      <w:r>
        <w:t xml:space="preserve">from </w:t>
      </w:r>
      <w:r w:rsidRPr="001D23C3">
        <w:t>health</w:t>
      </w:r>
      <w:r>
        <w:t xml:space="preserve"> </w:t>
      </w:r>
      <w:r w:rsidRPr="001D23C3">
        <w:t>care providers</w:t>
      </w:r>
      <w:r>
        <w:t>.</w:t>
      </w:r>
      <w:r w:rsidR="0006183D" w:rsidRPr="0006183D">
        <w:rPr>
          <w:vertAlign w:val="superscript"/>
        </w:rPr>
        <w:fldChar w:fldCharType="begin"/>
      </w:r>
      <w:r w:rsidR="0006183D" w:rsidRPr="0006183D">
        <w:rPr>
          <w:vertAlign w:val="superscript"/>
        </w:rPr>
        <w:instrText xml:space="preserve"> NOTEREF _Ref153802204 \f \h  \* MERGEFORMAT </w:instrText>
      </w:r>
      <w:r w:rsidR="0006183D" w:rsidRPr="0006183D">
        <w:rPr>
          <w:vertAlign w:val="superscript"/>
        </w:rPr>
      </w:r>
      <w:r w:rsidR="0006183D" w:rsidRPr="0006183D">
        <w:rPr>
          <w:vertAlign w:val="superscript"/>
        </w:rPr>
        <w:fldChar w:fldCharType="separate"/>
      </w:r>
      <w:r w:rsidR="0006183D" w:rsidRPr="0006183D">
        <w:rPr>
          <w:rStyle w:val="EndnoteReference"/>
        </w:rPr>
        <w:t>4</w:t>
      </w:r>
      <w:r w:rsidR="0006183D" w:rsidRPr="0006183D">
        <w:rPr>
          <w:vertAlign w:val="superscript"/>
        </w:rPr>
        <w:fldChar w:fldCharType="end"/>
      </w:r>
      <w:r w:rsidR="0006183D" w:rsidRPr="0006183D">
        <w:rPr>
          <w:vertAlign w:val="superscript"/>
        </w:rPr>
        <w:t>,</w:t>
      </w:r>
      <w:r w:rsidR="00882E26">
        <w:fldChar w:fldCharType="begin"/>
      </w:r>
      <w:r w:rsidR="00882E26">
        <w:instrText xml:space="preserve"> NOTEREF _Ref153806404 \f \h </w:instrText>
      </w:r>
      <w:r w:rsidR="00882E26">
        <w:fldChar w:fldCharType="separate"/>
      </w:r>
      <w:r w:rsidR="00882E26" w:rsidRPr="00424746">
        <w:rPr>
          <w:rStyle w:val="EndnoteReference"/>
        </w:rPr>
        <w:t>5</w:t>
      </w:r>
      <w:r w:rsidR="00882E26">
        <w:fldChar w:fldCharType="end"/>
      </w:r>
      <w:r w:rsidR="00882E26" w:rsidRPr="00882E26">
        <w:rPr>
          <w:vertAlign w:val="superscript"/>
        </w:rPr>
        <w:t>,</w:t>
      </w:r>
      <w:r w:rsidR="0006183D" w:rsidRPr="0006183D">
        <w:rPr>
          <w:vertAlign w:val="superscript"/>
        </w:rPr>
        <w:fldChar w:fldCharType="begin"/>
      </w:r>
      <w:r w:rsidR="0006183D" w:rsidRPr="0006183D">
        <w:rPr>
          <w:vertAlign w:val="superscript"/>
        </w:rPr>
        <w:instrText xml:space="preserve"> NOTEREF _Ref153806477 \f \h  \* MERGEFORMAT </w:instrText>
      </w:r>
      <w:r w:rsidR="0006183D" w:rsidRPr="0006183D">
        <w:rPr>
          <w:vertAlign w:val="superscript"/>
        </w:rPr>
      </w:r>
      <w:r w:rsidR="0006183D" w:rsidRPr="0006183D">
        <w:rPr>
          <w:vertAlign w:val="superscript"/>
        </w:rPr>
        <w:fldChar w:fldCharType="separate"/>
      </w:r>
      <w:r w:rsidR="0006183D" w:rsidRPr="0006183D">
        <w:rPr>
          <w:rStyle w:val="EndnoteReference"/>
        </w:rPr>
        <w:t>6</w:t>
      </w:r>
      <w:r w:rsidR="0006183D" w:rsidRPr="0006183D">
        <w:rPr>
          <w:vertAlign w:val="superscript"/>
        </w:rPr>
        <w:fldChar w:fldCharType="end"/>
      </w:r>
      <w:r w:rsidR="00882E26">
        <w:rPr>
          <w:vertAlign w:val="superscript"/>
        </w:rPr>
        <w:t>,</w:t>
      </w:r>
      <w:r w:rsidR="00882E26">
        <w:rPr>
          <w:rStyle w:val="EndnoteReference"/>
        </w:rPr>
        <w:endnoteReference w:id="18"/>
      </w:r>
    </w:p>
    <w:p w14:paraId="58F083DF" w14:textId="48D72768" w:rsidR="00A47899" w:rsidRDefault="00A47899" w:rsidP="003A17F9">
      <w:pPr>
        <w:pStyle w:val="Bullet1"/>
      </w:pPr>
      <w:r>
        <w:t xml:space="preserve">Type of disability or other health conditions – people with intellectual disability, people with vision impairment and people with </w:t>
      </w:r>
      <w:r w:rsidRPr="006F1CAA">
        <w:t>two or more chronic conditions</w:t>
      </w:r>
      <w:r>
        <w:t xml:space="preserve"> or disabilities are at the greatest risk and experience greater unmet health needs.</w:t>
      </w:r>
      <w:r w:rsidR="000F1BFD" w:rsidRPr="00D727EB">
        <w:rPr>
          <w:vertAlign w:val="superscript"/>
        </w:rPr>
        <w:fldChar w:fldCharType="begin"/>
      </w:r>
      <w:r w:rsidR="000F1BFD" w:rsidRPr="00D727EB">
        <w:rPr>
          <w:vertAlign w:val="superscript"/>
        </w:rPr>
        <w:instrText xml:space="preserve"> NOTEREF _Ref153802204 \f \h </w:instrText>
      </w:r>
      <w:r w:rsidR="00D727EB" w:rsidRPr="00D727EB">
        <w:rPr>
          <w:vertAlign w:val="superscript"/>
        </w:rPr>
        <w:instrText xml:space="preserve"> \* MERGEFORMAT </w:instrText>
      </w:r>
      <w:r w:rsidR="000F1BFD" w:rsidRPr="00D727EB">
        <w:rPr>
          <w:vertAlign w:val="superscript"/>
        </w:rPr>
      </w:r>
      <w:r w:rsidR="000F1BFD" w:rsidRPr="00D727EB">
        <w:rPr>
          <w:vertAlign w:val="superscript"/>
        </w:rPr>
        <w:fldChar w:fldCharType="separate"/>
      </w:r>
      <w:r w:rsidR="000F1BFD" w:rsidRPr="00D727EB">
        <w:rPr>
          <w:rStyle w:val="EndnoteReference"/>
        </w:rPr>
        <w:t>4</w:t>
      </w:r>
      <w:r w:rsidR="000F1BFD" w:rsidRPr="00D727EB">
        <w:rPr>
          <w:vertAlign w:val="superscript"/>
        </w:rPr>
        <w:fldChar w:fldCharType="end"/>
      </w:r>
      <w:r w:rsidR="00467742" w:rsidRPr="00D727EB">
        <w:rPr>
          <w:vertAlign w:val="superscript"/>
        </w:rPr>
        <w:t>,</w:t>
      </w:r>
      <w:r w:rsidR="00467742" w:rsidRPr="00D727EB">
        <w:rPr>
          <w:vertAlign w:val="superscript"/>
        </w:rPr>
        <w:fldChar w:fldCharType="begin"/>
      </w:r>
      <w:r w:rsidR="00467742" w:rsidRPr="00D727EB">
        <w:rPr>
          <w:vertAlign w:val="superscript"/>
        </w:rPr>
        <w:instrText xml:space="preserve"> NOTEREF _Ref153806477 \f \h </w:instrText>
      </w:r>
      <w:r w:rsidR="00D727EB" w:rsidRPr="00D727EB">
        <w:rPr>
          <w:vertAlign w:val="superscript"/>
        </w:rPr>
        <w:instrText xml:space="preserve"> \* MERGEFORMAT </w:instrText>
      </w:r>
      <w:r w:rsidR="00467742" w:rsidRPr="00D727EB">
        <w:rPr>
          <w:vertAlign w:val="superscript"/>
        </w:rPr>
      </w:r>
      <w:r w:rsidR="00467742" w:rsidRPr="00D727EB">
        <w:rPr>
          <w:vertAlign w:val="superscript"/>
        </w:rPr>
        <w:fldChar w:fldCharType="separate"/>
      </w:r>
      <w:r w:rsidR="00467742" w:rsidRPr="00D727EB">
        <w:rPr>
          <w:rStyle w:val="EndnoteReference"/>
        </w:rPr>
        <w:t>6</w:t>
      </w:r>
      <w:r w:rsidR="00467742" w:rsidRPr="00D727EB">
        <w:rPr>
          <w:vertAlign w:val="superscript"/>
        </w:rPr>
        <w:fldChar w:fldCharType="end"/>
      </w:r>
      <w:r w:rsidR="00467742" w:rsidRPr="00D727EB">
        <w:rPr>
          <w:vertAlign w:val="superscript"/>
        </w:rPr>
        <w:t>,</w:t>
      </w:r>
      <w:r w:rsidR="00834BEA" w:rsidRPr="00D727EB">
        <w:rPr>
          <w:vertAlign w:val="superscript"/>
        </w:rPr>
        <w:fldChar w:fldCharType="begin"/>
      </w:r>
      <w:r w:rsidR="00834BEA" w:rsidRPr="00D727EB">
        <w:rPr>
          <w:vertAlign w:val="superscript"/>
        </w:rPr>
        <w:instrText xml:space="preserve"> NOTEREF _Ref153806873 \f \h </w:instrText>
      </w:r>
      <w:r w:rsidR="00D727EB" w:rsidRPr="00D727EB">
        <w:rPr>
          <w:vertAlign w:val="superscript"/>
        </w:rPr>
        <w:instrText xml:space="preserve"> \* MERGEFORMAT </w:instrText>
      </w:r>
      <w:r w:rsidR="00834BEA" w:rsidRPr="00D727EB">
        <w:rPr>
          <w:vertAlign w:val="superscript"/>
        </w:rPr>
      </w:r>
      <w:r w:rsidR="00834BEA" w:rsidRPr="00D727EB">
        <w:rPr>
          <w:vertAlign w:val="superscript"/>
        </w:rPr>
        <w:fldChar w:fldCharType="separate"/>
      </w:r>
      <w:r w:rsidR="00834BEA" w:rsidRPr="00D727EB">
        <w:rPr>
          <w:rStyle w:val="EndnoteReference"/>
        </w:rPr>
        <w:t>10</w:t>
      </w:r>
      <w:r w:rsidR="00834BEA" w:rsidRPr="00D727EB">
        <w:rPr>
          <w:vertAlign w:val="superscript"/>
        </w:rPr>
        <w:fldChar w:fldCharType="end"/>
      </w:r>
      <w:r w:rsidR="00834BEA" w:rsidRPr="00D727EB">
        <w:rPr>
          <w:vertAlign w:val="superscript"/>
        </w:rPr>
        <w:t>,</w:t>
      </w:r>
      <w:bookmarkStart w:id="7" w:name="_Ref153813005"/>
      <w:r w:rsidR="0002235F" w:rsidRPr="00D727EB">
        <w:rPr>
          <w:rStyle w:val="EndnoteReference"/>
        </w:rPr>
        <w:endnoteReference w:id="19"/>
      </w:r>
      <w:bookmarkEnd w:id="7"/>
      <w:r w:rsidR="00ED1091">
        <w:rPr>
          <w:vertAlign w:val="superscript"/>
        </w:rPr>
        <w:t>,</w:t>
      </w:r>
      <w:r w:rsidRPr="00420605">
        <w:rPr>
          <w:rStyle w:val="FootnoteReference"/>
        </w:rPr>
        <w:t xml:space="preserve"> </w:t>
      </w:r>
    </w:p>
    <w:p w14:paraId="1DFFD7BB" w14:textId="57042456" w:rsidR="00A47899" w:rsidRPr="008F0C38" w:rsidRDefault="00A47899" w:rsidP="003A17F9">
      <w:pPr>
        <w:pStyle w:val="Bullet1"/>
      </w:pPr>
      <w:r>
        <w:t>Diagnostic overshadowing – symptoms or changes in behaviour can be assumed as part of the person’s disability and not recognised as a sign of a health problem. This can cause health problems to go untreated.</w:t>
      </w:r>
      <w:r w:rsidR="00B347CF">
        <w:fldChar w:fldCharType="begin"/>
      </w:r>
      <w:r w:rsidR="00B347CF">
        <w:instrText xml:space="preserve"> NOTEREF _Ref153805418 \f \h </w:instrText>
      </w:r>
      <w:r w:rsidR="00B347CF">
        <w:fldChar w:fldCharType="separate"/>
      </w:r>
      <w:r w:rsidR="00B347CF" w:rsidRPr="00B347CF">
        <w:rPr>
          <w:rStyle w:val="EndnoteReference"/>
        </w:rPr>
        <w:t>8</w:t>
      </w:r>
      <w:r w:rsidR="00B347CF">
        <w:fldChar w:fldCharType="end"/>
      </w:r>
      <w:r>
        <w:t xml:space="preserve"> People with disability</w:t>
      </w:r>
      <w:r w:rsidRPr="001566C1">
        <w:t xml:space="preserve"> </w:t>
      </w:r>
      <w:r w:rsidRPr="008F0C38">
        <w:t>may communicate in ways that are specific to them and not understood by others</w:t>
      </w:r>
      <w:r>
        <w:t>. For example, p</w:t>
      </w:r>
      <w:r w:rsidRPr="001566C1">
        <w:t xml:space="preserve">eople with intellectual disability </w:t>
      </w:r>
      <w:r>
        <w:t xml:space="preserve">may not be able to </w:t>
      </w:r>
      <w:r w:rsidRPr="001566C1">
        <w:t>explain their symptoms or say they feel unwell</w:t>
      </w:r>
      <w:r>
        <w:t>.</w:t>
      </w:r>
      <w:r w:rsidR="00EF5038">
        <w:rPr>
          <w:rStyle w:val="EndnoteReference"/>
        </w:rPr>
        <w:endnoteReference w:id="20"/>
      </w:r>
    </w:p>
    <w:p w14:paraId="01D5F886" w14:textId="61BD29DF" w:rsidR="00A47899" w:rsidRPr="00941B81" w:rsidRDefault="00A47899" w:rsidP="003A17F9">
      <w:pPr>
        <w:pStyle w:val="Bullet1"/>
        <w:rPr>
          <w:rFonts w:asciiTheme="minorHAnsi" w:eastAsiaTheme="minorEastAsia" w:hAnsiTheme="minorHAnsi" w:cstheme="minorBidi"/>
        </w:rPr>
      </w:pPr>
      <w:r>
        <w:t>Lifestyle</w:t>
      </w:r>
      <w:r w:rsidRPr="00D651A7">
        <w:t xml:space="preserve"> risk factors</w:t>
      </w:r>
      <w:r>
        <w:t xml:space="preserve"> – some conditions and choices of a person can lead to </w:t>
      </w:r>
      <w:r w:rsidRPr="00D651A7">
        <w:t xml:space="preserve">developing health </w:t>
      </w:r>
      <w:r w:rsidR="007C513A">
        <w:t>conditions</w:t>
      </w:r>
      <w:r>
        <w:t xml:space="preserve"> or worsen existing ones for a variety of reasons such as poor diet and nutrition, lack of exercise, </w:t>
      </w:r>
      <w:r w:rsidRPr="008F0C38">
        <w:t xml:space="preserve">isolation, </w:t>
      </w:r>
      <w:r>
        <w:t xml:space="preserve">stress, </w:t>
      </w:r>
      <w:r w:rsidRPr="008F0C38">
        <w:t>smoking and alcohol intake</w:t>
      </w:r>
      <w:r>
        <w:t>.</w:t>
      </w:r>
      <w:r w:rsidR="00EF5038">
        <w:fldChar w:fldCharType="begin"/>
      </w:r>
      <w:r w:rsidR="00EF5038">
        <w:instrText xml:space="preserve"> NOTEREF _Ref153802204 \f \h </w:instrText>
      </w:r>
      <w:r w:rsidR="00EF5038">
        <w:fldChar w:fldCharType="separate"/>
      </w:r>
      <w:r w:rsidR="00EF5038" w:rsidRPr="00EF5038">
        <w:rPr>
          <w:rStyle w:val="EndnoteReference"/>
        </w:rPr>
        <w:t>4</w:t>
      </w:r>
      <w:r w:rsidR="00EF5038">
        <w:fldChar w:fldCharType="end"/>
      </w:r>
      <w:r>
        <w:t xml:space="preserve"> For more information on lifestyle risk factors and reducing risk, see </w:t>
      </w:r>
      <w:hyperlink r:id="rId13" w:anchor="paragraph-id-4125" w:history="1">
        <w:r w:rsidRPr="005217AC">
          <w:rPr>
            <w:rStyle w:val="Hyperlink"/>
          </w:rPr>
          <w:t>Practice Alert: Lifestyle Risk Factors</w:t>
        </w:r>
      </w:hyperlink>
      <w:r>
        <w:t xml:space="preserve">. </w:t>
      </w:r>
    </w:p>
    <w:p w14:paraId="08ABE421" w14:textId="484A05C5" w:rsidR="00A47899" w:rsidRDefault="00A47899" w:rsidP="003A17F9">
      <w:pPr>
        <w:pStyle w:val="Bullet1"/>
      </w:pPr>
      <w:r w:rsidRPr="002E4D8B">
        <w:t>Barriers to maintain</w:t>
      </w:r>
      <w:r>
        <w:t>ing</w:t>
      </w:r>
      <w:r w:rsidRPr="002E4D8B">
        <w:t xml:space="preserve"> health</w:t>
      </w:r>
      <w:r>
        <w:t xml:space="preserve"> – </w:t>
      </w:r>
      <w:r w:rsidRPr="00240AD3">
        <w:t>certain</w:t>
      </w:r>
      <w:r w:rsidRPr="002E4D8B">
        <w:t xml:space="preserve"> barriers exist for people with disability to manage their own health or affect </w:t>
      </w:r>
      <w:r>
        <w:t xml:space="preserve">what is in </w:t>
      </w:r>
      <w:r w:rsidRPr="002E4D8B">
        <w:t>their control. For example, needing assistance to be physically active, or taking medication that increases appetite or affects behaviours.</w:t>
      </w:r>
      <w:r w:rsidR="00AF4B95">
        <w:fldChar w:fldCharType="begin"/>
      </w:r>
      <w:r w:rsidR="00AF4B95">
        <w:instrText xml:space="preserve"> NOTEREF _Ref153813005 \f \h </w:instrText>
      </w:r>
      <w:r w:rsidR="00AF4B95">
        <w:fldChar w:fldCharType="separate"/>
      </w:r>
      <w:r w:rsidR="00AF4B95" w:rsidRPr="00AF4B95">
        <w:rPr>
          <w:rStyle w:val="EndnoteReference"/>
        </w:rPr>
        <w:t>12</w:t>
      </w:r>
      <w:r w:rsidR="00AF4B95">
        <w:fldChar w:fldCharType="end"/>
      </w:r>
      <w:r w:rsidRPr="00A22C3A">
        <w:t xml:space="preserve"> </w:t>
      </w:r>
    </w:p>
    <w:p w14:paraId="455B895A" w14:textId="569016D1" w:rsidR="00A47899" w:rsidRDefault="00A47899">
      <w:r>
        <w:t>These factors can lead to a person with disability at increased risk of:</w:t>
      </w:r>
      <w:r w:rsidR="00DB375C" w:rsidRPr="00DB375C">
        <w:t xml:space="preserve"> </w:t>
      </w:r>
      <w:r w:rsidR="00DB375C" w:rsidRPr="00464504">
        <w:rPr>
          <w:vertAlign w:val="superscript"/>
        </w:rPr>
        <w:fldChar w:fldCharType="begin"/>
      </w:r>
      <w:r w:rsidR="00DB375C" w:rsidRPr="00464504">
        <w:rPr>
          <w:vertAlign w:val="superscript"/>
        </w:rPr>
        <w:instrText xml:space="preserve"> NOTEREF _Ref153805418 \f \h </w:instrText>
      </w:r>
      <w:r w:rsidR="00464504" w:rsidRPr="00464504">
        <w:rPr>
          <w:vertAlign w:val="superscript"/>
        </w:rPr>
        <w:instrText xml:space="preserve"> \* MERGEFORMAT </w:instrText>
      </w:r>
      <w:r w:rsidR="00DB375C" w:rsidRPr="00464504">
        <w:rPr>
          <w:vertAlign w:val="superscript"/>
        </w:rPr>
      </w:r>
      <w:r w:rsidR="00DB375C" w:rsidRPr="00464504">
        <w:rPr>
          <w:vertAlign w:val="superscript"/>
        </w:rPr>
        <w:fldChar w:fldCharType="separate"/>
      </w:r>
      <w:r w:rsidR="00DB375C" w:rsidRPr="00464504">
        <w:rPr>
          <w:rStyle w:val="EndnoteReference"/>
        </w:rPr>
        <w:t>8</w:t>
      </w:r>
      <w:r w:rsidR="00DB375C" w:rsidRPr="00464504">
        <w:rPr>
          <w:vertAlign w:val="superscript"/>
        </w:rPr>
        <w:fldChar w:fldCharType="end"/>
      </w:r>
      <w:r w:rsidR="00DB375C" w:rsidRPr="00464504">
        <w:rPr>
          <w:vertAlign w:val="superscript"/>
        </w:rPr>
        <w:t>,</w:t>
      </w:r>
      <w:r w:rsidR="00C173BC" w:rsidRPr="00464504">
        <w:rPr>
          <w:vertAlign w:val="superscript"/>
        </w:rPr>
        <w:fldChar w:fldCharType="begin"/>
      </w:r>
      <w:r w:rsidR="00C173BC" w:rsidRPr="00464504">
        <w:rPr>
          <w:vertAlign w:val="superscript"/>
        </w:rPr>
        <w:instrText xml:space="preserve"> NOTEREF _Ref153806873 \f \h </w:instrText>
      </w:r>
      <w:r w:rsidR="00464504" w:rsidRPr="00464504">
        <w:rPr>
          <w:vertAlign w:val="superscript"/>
        </w:rPr>
        <w:instrText xml:space="preserve"> \* MERGEFORMAT </w:instrText>
      </w:r>
      <w:r w:rsidR="00C173BC" w:rsidRPr="00464504">
        <w:rPr>
          <w:vertAlign w:val="superscript"/>
        </w:rPr>
      </w:r>
      <w:r w:rsidR="00C173BC" w:rsidRPr="00464504">
        <w:rPr>
          <w:vertAlign w:val="superscript"/>
        </w:rPr>
        <w:fldChar w:fldCharType="separate"/>
      </w:r>
      <w:r w:rsidR="00C173BC" w:rsidRPr="00464504">
        <w:rPr>
          <w:rStyle w:val="EndnoteReference"/>
        </w:rPr>
        <w:t>10</w:t>
      </w:r>
      <w:r w:rsidR="00C173BC" w:rsidRPr="00464504">
        <w:rPr>
          <w:vertAlign w:val="superscript"/>
        </w:rPr>
        <w:fldChar w:fldCharType="end"/>
      </w:r>
      <w:r w:rsidR="00DB375C" w:rsidRPr="00464504">
        <w:rPr>
          <w:vertAlign w:val="superscript"/>
        </w:rPr>
        <w:t>,</w:t>
      </w:r>
      <w:r w:rsidR="00DB375C" w:rsidRPr="00464504">
        <w:rPr>
          <w:rStyle w:val="EndnoteReference"/>
        </w:rPr>
        <w:endnoteReference w:id="21"/>
      </w:r>
      <w:r w:rsidR="001258B1" w:rsidRPr="00464504">
        <w:rPr>
          <w:vertAlign w:val="superscript"/>
        </w:rPr>
        <w:t>,</w:t>
      </w:r>
      <w:r w:rsidR="00345405" w:rsidRPr="00464504">
        <w:rPr>
          <w:rStyle w:val="EndnoteReference"/>
        </w:rPr>
        <w:endnoteReference w:id="22"/>
      </w:r>
      <w:bookmarkStart w:id="8" w:name="_Ref158968033"/>
      <w:r w:rsidR="00460B22">
        <w:rPr>
          <w:vertAlign w:val="superscript"/>
        </w:rPr>
        <w:t>,</w:t>
      </w:r>
      <w:r w:rsidR="00A64816">
        <w:rPr>
          <w:rStyle w:val="EndnoteReference"/>
        </w:rPr>
        <w:endnoteReference w:id="23"/>
      </w:r>
      <w:bookmarkEnd w:id="8"/>
    </w:p>
    <w:p w14:paraId="63B1177A" w14:textId="4D39E284" w:rsidR="00A47899" w:rsidRDefault="00A47899" w:rsidP="00AF04F8">
      <w:pPr>
        <w:pStyle w:val="ListParagraph"/>
        <w:numPr>
          <w:ilvl w:val="0"/>
          <w:numId w:val="24"/>
        </w:numPr>
      </w:pPr>
      <w:r>
        <w:t xml:space="preserve">Having more than one chronic condition, often a </w:t>
      </w:r>
      <w:r w:rsidRPr="00F2720E">
        <w:t>mental health disorder such as depression or anxiety</w:t>
      </w:r>
      <w:r>
        <w:t xml:space="preserve">, and/or secondary disability </w:t>
      </w:r>
    </w:p>
    <w:p w14:paraId="1BDE936A" w14:textId="77777777" w:rsidR="00A47899" w:rsidRDefault="00A47899" w:rsidP="00F2720E">
      <w:pPr>
        <w:pStyle w:val="ListParagraph"/>
        <w:numPr>
          <w:ilvl w:val="0"/>
          <w:numId w:val="24"/>
        </w:numPr>
      </w:pPr>
      <w:r>
        <w:t xml:space="preserve">Increased hospitalisation, longer hospital stays and post-surgery complications </w:t>
      </w:r>
    </w:p>
    <w:p w14:paraId="44CA1928" w14:textId="77777777" w:rsidR="00A47899" w:rsidRDefault="00A47899" w:rsidP="00A133BB">
      <w:pPr>
        <w:pStyle w:val="ListParagraph"/>
        <w:numPr>
          <w:ilvl w:val="0"/>
          <w:numId w:val="24"/>
        </w:numPr>
      </w:pPr>
      <w:r>
        <w:t xml:space="preserve">Reduced </w:t>
      </w:r>
      <w:r w:rsidRPr="00DE54FD">
        <w:t>functional capacity or reduced physical</w:t>
      </w:r>
      <w:r>
        <w:t xml:space="preserve"> </w:t>
      </w:r>
      <w:r w:rsidRPr="00DE54FD">
        <w:t>functioning</w:t>
      </w:r>
    </w:p>
    <w:p w14:paraId="1833F098" w14:textId="77777777" w:rsidR="00A47899" w:rsidRDefault="00A47899" w:rsidP="00A133BB">
      <w:pPr>
        <w:pStyle w:val="ListParagraph"/>
        <w:numPr>
          <w:ilvl w:val="0"/>
          <w:numId w:val="24"/>
        </w:numPr>
      </w:pPr>
      <w:r>
        <w:t>Increased psychological distress</w:t>
      </w:r>
    </w:p>
    <w:p w14:paraId="1BA1C1A0" w14:textId="77777777" w:rsidR="00A47899" w:rsidRDefault="00A47899" w:rsidP="00A133BB">
      <w:pPr>
        <w:pStyle w:val="ListParagraph"/>
        <w:numPr>
          <w:ilvl w:val="0"/>
          <w:numId w:val="24"/>
        </w:numPr>
      </w:pPr>
      <w:r>
        <w:t xml:space="preserve">Increased use of multiple medications (polypharmacy) </w:t>
      </w:r>
    </w:p>
    <w:p w14:paraId="278DD8C4" w14:textId="1405379A" w:rsidR="00A47899" w:rsidRDefault="00A47899" w:rsidP="00A133BB">
      <w:pPr>
        <w:pStyle w:val="ListParagraph"/>
        <w:numPr>
          <w:ilvl w:val="0"/>
          <w:numId w:val="24"/>
        </w:numPr>
      </w:pPr>
      <w:r>
        <w:t xml:space="preserve">Misdiagnosis of symptoms </w:t>
      </w:r>
    </w:p>
    <w:p w14:paraId="07C18F2E" w14:textId="5F99E633" w:rsidR="00A47899" w:rsidRDefault="00A47899" w:rsidP="001E3C70">
      <w:pPr>
        <w:pStyle w:val="ListParagraph"/>
        <w:numPr>
          <w:ilvl w:val="0"/>
          <w:numId w:val="24"/>
        </w:numPr>
      </w:pPr>
      <w:r>
        <w:t>Respiratory</w:t>
      </w:r>
      <w:r w:rsidR="000F2803">
        <w:t xml:space="preserve"> illness</w:t>
      </w:r>
      <w:r>
        <w:t xml:space="preserve"> and cardiovascular diseases</w:t>
      </w:r>
    </w:p>
    <w:p w14:paraId="279E7F20" w14:textId="77777777" w:rsidR="00A47899" w:rsidRDefault="00A47899" w:rsidP="001E3C70">
      <w:pPr>
        <w:pStyle w:val="ListParagraph"/>
        <w:numPr>
          <w:ilvl w:val="0"/>
          <w:numId w:val="24"/>
        </w:numPr>
      </w:pPr>
      <w:r>
        <w:t>Diabetes</w:t>
      </w:r>
    </w:p>
    <w:p w14:paraId="067FB6EF" w14:textId="77777777" w:rsidR="00A47899" w:rsidRDefault="00A47899" w:rsidP="00AB592A">
      <w:pPr>
        <w:pStyle w:val="ListParagraph"/>
        <w:numPr>
          <w:ilvl w:val="0"/>
          <w:numId w:val="24"/>
        </w:numPr>
      </w:pPr>
      <w:r>
        <w:t>Cancer</w:t>
      </w:r>
    </w:p>
    <w:p w14:paraId="6C99AD2A" w14:textId="77777777" w:rsidR="00A47899" w:rsidRDefault="00A47899" w:rsidP="001E3C70">
      <w:pPr>
        <w:pStyle w:val="ListParagraph"/>
        <w:numPr>
          <w:ilvl w:val="0"/>
          <w:numId w:val="24"/>
        </w:numPr>
      </w:pPr>
      <w:r>
        <w:t>Dental problems</w:t>
      </w:r>
    </w:p>
    <w:p w14:paraId="5E9502E4" w14:textId="27402498" w:rsidR="00A47899" w:rsidRDefault="00A47899" w:rsidP="00AB592A">
      <w:pPr>
        <w:pStyle w:val="ListParagraph"/>
        <w:numPr>
          <w:ilvl w:val="0"/>
          <w:numId w:val="24"/>
        </w:numPr>
      </w:pPr>
      <w:r>
        <w:t xml:space="preserve">Early death </w:t>
      </w:r>
    </w:p>
    <w:p w14:paraId="06151F89" w14:textId="18D1378F" w:rsidR="00A47899" w:rsidRDefault="00A47899" w:rsidP="00890DC5">
      <w:r>
        <w:t>M</w:t>
      </w:r>
      <w:r w:rsidRPr="00C6621F">
        <w:t xml:space="preserve">any health problems experienced by </w:t>
      </w:r>
      <w:r>
        <w:t xml:space="preserve">people with disability </w:t>
      </w:r>
      <w:r w:rsidRPr="00C6621F">
        <w:t xml:space="preserve">can be prevented or reduced by </w:t>
      </w:r>
      <w:r>
        <w:t>managing health</w:t>
      </w:r>
      <w:r w:rsidRPr="00C6621F">
        <w:t xml:space="preserve"> </w:t>
      </w:r>
      <w:r>
        <w:t xml:space="preserve">needs and </w:t>
      </w:r>
      <w:r w:rsidRPr="008F0C38">
        <w:t>access</w:t>
      </w:r>
      <w:r>
        <w:t>ing</w:t>
      </w:r>
      <w:r w:rsidRPr="008F0C38">
        <w:t xml:space="preserve"> appropriate health</w:t>
      </w:r>
      <w:r>
        <w:t xml:space="preserve"> care </w:t>
      </w:r>
      <w:r w:rsidRPr="008F0C38">
        <w:t>services</w:t>
      </w:r>
      <w:r>
        <w:t xml:space="preserve"> regularly</w:t>
      </w:r>
      <w:r w:rsidRPr="00C6621F">
        <w:t>.</w:t>
      </w:r>
      <w:r>
        <w:t xml:space="preserve"> </w:t>
      </w:r>
    </w:p>
    <w:p w14:paraId="7367757A" w14:textId="2E84F524" w:rsidR="00A47899" w:rsidRDefault="00A47899" w:rsidP="008407FE">
      <w:pPr>
        <w:pStyle w:val="Heading2"/>
      </w:pPr>
      <w:r>
        <w:t xml:space="preserve">Regular access to health care services </w:t>
      </w:r>
    </w:p>
    <w:p w14:paraId="53FB6408" w14:textId="2FC06314" w:rsidR="00A47899" w:rsidRDefault="00A47899" w:rsidP="009A0D3D">
      <w:r>
        <w:t>Maintaining good physical and mental health is an important factor in a person’s</w:t>
      </w:r>
      <w:r w:rsidRPr="00394C90">
        <w:t xml:space="preserve"> quality of life and</w:t>
      </w:r>
      <w:r>
        <w:t xml:space="preserve"> a way to maintain their independence</w:t>
      </w:r>
      <w:r w:rsidRPr="00394C90">
        <w:t xml:space="preserve"> </w:t>
      </w:r>
      <w:r>
        <w:t>and ability to continue to participate</w:t>
      </w:r>
      <w:r w:rsidRPr="00394C90">
        <w:t xml:space="preserve"> in society</w:t>
      </w:r>
      <w:r>
        <w:t>.</w:t>
      </w:r>
      <w:bookmarkStart w:id="9" w:name="_Ref153814274"/>
      <w:r w:rsidR="0030179D">
        <w:rPr>
          <w:rStyle w:val="EndnoteReference"/>
        </w:rPr>
        <w:endnoteReference w:id="24"/>
      </w:r>
      <w:bookmarkEnd w:id="9"/>
      <w:r>
        <w:t xml:space="preserve"> </w:t>
      </w:r>
    </w:p>
    <w:p w14:paraId="0479FAB7" w14:textId="3D38247F" w:rsidR="0010091F" w:rsidRDefault="00A47899" w:rsidP="009A0D3D">
      <w:pPr>
        <w:rPr>
          <w:vertAlign w:val="superscript"/>
        </w:rPr>
      </w:pPr>
      <w:r>
        <w:t>Regular access to health care services is part of preventive health</w:t>
      </w:r>
      <w:r w:rsidR="00656831">
        <w:t xml:space="preserve"> care</w:t>
      </w:r>
      <w:r>
        <w:t xml:space="preserve">. Preventive health </w:t>
      </w:r>
      <w:r w:rsidR="00656831">
        <w:t xml:space="preserve">care </w:t>
      </w:r>
      <w:r>
        <w:t>are actions aimed</w:t>
      </w:r>
      <w:r w:rsidR="008C2CE5">
        <w:t xml:space="preserve"> to</w:t>
      </w:r>
      <w:r>
        <w:t xml:space="preserve"> keep people healthy, and prevent the risk </w:t>
      </w:r>
      <w:r w:rsidRPr="00A643DD">
        <w:t>of poor health, illness, injury and early death</w:t>
      </w:r>
      <w:r>
        <w:t>.</w:t>
      </w:r>
      <w:bookmarkStart w:id="10" w:name="_Ref153814254"/>
      <w:r w:rsidR="0052401E">
        <w:fldChar w:fldCharType="begin"/>
      </w:r>
      <w:r w:rsidR="0052401E">
        <w:instrText xml:space="preserve"> NOTEREF _Ref153815913 \f \h </w:instrText>
      </w:r>
      <w:r w:rsidR="0052401E">
        <w:fldChar w:fldCharType="separate"/>
      </w:r>
      <w:r w:rsidR="0052401E" w:rsidRPr="0052401E">
        <w:rPr>
          <w:rStyle w:val="EndnoteReference"/>
        </w:rPr>
        <w:t>11</w:t>
      </w:r>
      <w:r w:rsidR="0052401E">
        <w:fldChar w:fldCharType="end"/>
      </w:r>
      <w:r w:rsidR="0052401E" w:rsidRPr="0052401E">
        <w:rPr>
          <w:vertAlign w:val="superscript"/>
        </w:rPr>
        <w:t>,</w:t>
      </w:r>
      <w:r w:rsidR="00AF7F67" w:rsidRPr="00AC2D50">
        <w:rPr>
          <w:rStyle w:val="EndnoteReference"/>
        </w:rPr>
        <w:endnoteReference w:id="25"/>
      </w:r>
      <w:bookmarkEnd w:id="10"/>
      <w:r w:rsidR="003F2785" w:rsidRPr="00AC2D50">
        <w:rPr>
          <w:vertAlign w:val="superscript"/>
        </w:rPr>
        <w:t>,</w:t>
      </w:r>
      <w:r w:rsidR="003F2785">
        <w:rPr>
          <w:rStyle w:val="EndnoteReference"/>
        </w:rPr>
        <w:endnoteReference w:id="26"/>
      </w:r>
      <w:r w:rsidR="00AF7F67">
        <w:t xml:space="preserve"> </w:t>
      </w:r>
      <w:r>
        <w:t xml:space="preserve">This can include regular and comprehensive health checks determined by their health professional. Health checks can include a physical exam, blood tests, </w:t>
      </w:r>
      <w:r w:rsidRPr="009862B0">
        <w:t xml:space="preserve">cancer </w:t>
      </w:r>
      <w:r>
        <w:t xml:space="preserve">screening, vaccinations, </w:t>
      </w:r>
      <w:r w:rsidR="00A64816">
        <w:t xml:space="preserve">swallowing tests </w:t>
      </w:r>
      <w:r>
        <w:t>and dental care.</w:t>
      </w:r>
      <w:r w:rsidR="009A6824" w:rsidRPr="009A6824">
        <w:rPr>
          <w:vertAlign w:val="superscript"/>
        </w:rPr>
        <w:fldChar w:fldCharType="begin"/>
      </w:r>
      <w:r w:rsidR="009A6824" w:rsidRPr="009A6824">
        <w:rPr>
          <w:vertAlign w:val="superscript"/>
        </w:rPr>
        <w:instrText xml:space="preserve"> NOTEREF _Ref153802204 \f \h  \* MERGEFORMAT </w:instrText>
      </w:r>
      <w:r w:rsidR="009A6824" w:rsidRPr="009A6824">
        <w:rPr>
          <w:vertAlign w:val="superscript"/>
        </w:rPr>
      </w:r>
      <w:r w:rsidR="009A6824" w:rsidRPr="009A6824">
        <w:rPr>
          <w:vertAlign w:val="superscript"/>
        </w:rPr>
        <w:fldChar w:fldCharType="separate"/>
      </w:r>
      <w:r w:rsidR="009A6824" w:rsidRPr="009A6824">
        <w:rPr>
          <w:rStyle w:val="EndnoteReference"/>
        </w:rPr>
        <w:t>4</w:t>
      </w:r>
      <w:r w:rsidR="009A6824" w:rsidRPr="009A6824">
        <w:rPr>
          <w:vertAlign w:val="superscript"/>
        </w:rPr>
        <w:fldChar w:fldCharType="end"/>
      </w:r>
      <w:r w:rsidR="009A6824" w:rsidRPr="009A6824">
        <w:rPr>
          <w:vertAlign w:val="superscript"/>
        </w:rPr>
        <w:t>,</w:t>
      </w:r>
      <w:r w:rsidR="0030770B">
        <w:rPr>
          <w:vertAlign w:val="superscript"/>
        </w:rPr>
        <w:fldChar w:fldCharType="begin"/>
      </w:r>
      <w:r w:rsidR="0030770B">
        <w:rPr>
          <w:vertAlign w:val="superscript"/>
        </w:rPr>
        <w:instrText xml:space="preserve"> NOTEREF _Ref158968033 \h </w:instrText>
      </w:r>
      <w:r w:rsidR="0030770B">
        <w:rPr>
          <w:vertAlign w:val="superscript"/>
        </w:rPr>
      </w:r>
      <w:r w:rsidR="0030770B">
        <w:rPr>
          <w:vertAlign w:val="superscript"/>
        </w:rPr>
        <w:fldChar w:fldCharType="separate"/>
      </w:r>
      <w:r w:rsidR="0030770B">
        <w:rPr>
          <w:vertAlign w:val="superscript"/>
        </w:rPr>
        <w:t>23</w:t>
      </w:r>
      <w:r w:rsidR="0030770B">
        <w:rPr>
          <w:vertAlign w:val="superscript"/>
        </w:rPr>
        <w:fldChar w:fldCharType="end"/>
      </w:r>
      <w:r w:rsidR="0030770B">
        <w:rPr>
          <w:vertAlign w:val="superscript"/>
        </w:rPr>
        <w:t>,</w:t>
      </w:r>
      <w:r w:rsidR="009A6824" w:rsidRPr="009A6824">
        <w:rPr>
          <w:rStyle w:val="EndnoteReference"/>
        </w:rPr>
        <w:endnoteReference w:id="27"/>
      </w:r>
      <w:r w:rsidRPr="009A6824">
        <w:rPr>
          <w:vertAlign w:val="superscript"/>
        </w:rPr>
        <w:t xml:space="preserve"> </w:t>
      </w:r>
      <w:r>
        <w:t>This can prevent health risks by finding and treating health and mental health conditions early before they become a problem or get worse,</w:t>
      </w:r>
      <w:r w:rsidR="00F13F4D" w:rsidRPr="00AC2D50">
        <w:rPr>
          <w:vertAlign w:val="superscript"/>
        </w:rPr>
        <w:fldChar w:fldCharType="begin"/>
      </w:r>
      <w:r w:rsidR="00F13F4D" w:rsidRPr="00AC2D50">
        <w:rPr>
          <w:vertAlign w:val="superscript"/>
        </w:rPr>
        <w:instrText xml:space="preserve"> NOTEREF _Ref153814274 \f \h </w:instrText>
      </w:r>
      <w:r w:rsidR="00AC2D50" w:rsidRPr="00AC2D50">
        <w:rPr>
          <w:vertAlign w:val="superscript"/>
        </w:rPr>
        <w:instrText xml:space="preserve"> \* MERGEFORMAT </w:instrText>
      </w:r>
      <w:r w:rsidR="00F13F4D" w:rsidRPr="00AC2D50">
        <w:rPr>
          <w:vertAlign w:val="superscript"/>
        </w:rPr>
      </w:r>
      <w:r w:rsidR="00F13F4D" w:rsidRPr="00AC2D50">
        <w:rPr>
          <w:vertAlign w:val="superscript"/>
        </w:rPr>
        <w:fldChar w:fldCharType="separate"/>
      </w:r>
      <w:r w:rsidR="00F13F4D" w:rsidRPr="00AC2D50">
        <w:rPr>
          <w:rStyle w:val="EndnoteReference"/>
        </w:rPr>
        <w:t>16</w:t>
      </w:r>
      <w:r w:rsidR="00F13F4D" w:rsidRPr="00AC2D50">
        <w:rPr>
          <w:vertAlign w:val="superscript"/>
        </w:rPr>
        <w:fldChar w:fldCharType="end"/>
      </w:r>
      <w:r w:rsidR="00F13F4D" w:rsidRPr="00AC2D50">
        <w:rPr>
          <w:vertAlign w:val="superscript"/>
        </w:rPr>
        <w:t>,</w:t>
      </w:r>
      <w:r w:rsidR="0052642D" w:rsidRPr="00AC2D50">
        <w:rPr>
          <w:vertAlign w:val="superscript"/>
        </w:rPr>
        <w:fldChar w:fldCharType="begin"/>
      </w:r>
      <w:r w:rsidR="0052642D" w:rsidRPr="00AC2D50">
        <w:rPr>
          <w:vertAlign w:val="superscript"/>
        </w:rPr>
        <w:instrText xml:space="preserve"> NOTEREF _Ref153814254 \f \h </w:instrText>
      </w:r>
      <w:r w:rsidR="00AC2D50" w:rsidRPr="00AC2D50">
        <w:rPr>
          <w:vertAlign w:val="superscript"/>
        </w:rPr>
        <w:instrText xml:space="preserve"> \* MERGEFORMAT </w:instrText>
      </w:r>
      <w:r w:rsidR="0052642D" w:rsidRPr="00AC2D50">
        <w:rPr>
          <w:vertAlign w:val="superscript"/>
        </w:rPr>
      </w:r>
      <w:r w:rsidR="0052642D" w:rsidRPr="00AC2D50">
        <w:rPr>
          <w:vertAlign w:val="superscript"/>
        </w:rPr>
        <w:fldChar w:fldCharType="separate"/>
      </w:r>
      <w:r w:rsidR="0052642D" w:rsidRPr="00AC2D50">
        <w:rPr>
          <w:rStyle w:val="EndnoteReference"/>
        </w:rPr>
        <w:t>17</w:t>
      </w:r>
      <w:r w:rsidR="0052642D" w:rsidRPr="00AC2D50">
        <w:rPr>
          <w:vertAlign w:val="superscript"/>
        </w:rPr>
        <w:fldChar w:fldCharType="end"/>
      </w:r>
      <w:r w:rsidR="00F23FC4">
        <w:rPr>
          <w:vertAlign w:val="superscript"/>
        </w:rPr>
        <w:t>,</w:t>
      </w:r>
      <w:r w:rsidR="00F23FC4">
        <w:rPr>
          <w:rStyle w:val="EndnoteReference"/>
        </w:rPr>
        <w:endnoteReference w:id="28"/>
      </w:r>
      <w:r>
        <w:t xml:space="preserve"> and support the management of health and chronic conditions.</w:t>
      </w:r>
      <w:r w:rsidR="00A737F3" w:rsidRPr="00BF211C">
        <w:rPr>
          <w:rStyle w:val="EndnoteReference"/>
        </w:rPr>
        <w:endnoteReference w:id="29"/>
      </w:r>
      <w:r w:rsidR="00BF211C" w:rsidRPr="00BF211C">
        <w:rPr>
          <w:vertAlign w:val="superscript"/>
        </w:rPr>
        <w:t>,</w:t>
      </w:r>
      <w:r w:rsidR="00BF211C">
        <w:rPr>
          <w:rStyle w:val="EndnoteReference"/>
        </w:rPr>
        <w:endnoteReference w:id="30"/>
      </w:r>
    </w:p>
    <w:p w14:paraId="6312B7B0" w14:textId="10ECE0E1" w:rsidR="00A47899" w:rsidRDefault="00A47899" w:rsidP="009A0D3D">
      <w:r>
        <w:lastRenderedPageBreak/>
        <w:t xml:space="preserve">Some people with disability may be eligible for specific health assessments under Medicare. </w:t>
      </w:r>
      <w:r w:rsidR="000F7594">
        <w:t>A health</w:t>
      </w:r>
      <w:r w:rsidR="005A49DA">
        <w:t xml:space="preserve"> professional </w:t>
      </w:r>
      <w:r w:rsidR="000F7594">
        <w:t xml:space="preserve">will be able to determine </w:t>
      </w:r>
      <w:r w:rsidR="0065264E">
        <w:t xml:space="preserve">eligibility. </w:t>
      </w:r>
      <w:r>
        <w:t xml:space="preserve">See the </w:t>
      </w:r>
      <w:hyperlink r:id="rId14" w:history="1">
        <w:r>
          <w:rPr>
            <w:rStyle w:val="Hyperlink"/>
          </w:rPr>
          <w:t>Department of Health and Aged Care | MBS Health Assessments Items 701, 703, 705, 707 and 715</w:t>
        </w:r>
      </w:hyperlink>
      <w:r>
        <w:t xml:space="preserve"> for further information.</w:t>
      </w:r>
    </w:p>
    <w:p w14:paraId="23BFF088" w14:textId="77777777" w:rsidR="00F53671" w:rsidRDefault="00A47899" w:rsidP="00260565">
      <w:pPr>
        <w:spacing w:after="0"/>
      </w:pPr>
      <w:r w:rsidRPr="00CE4BD0">
        <w:t xml:space="preserve">Providers </w:t>
      </w:r>
      <w:r w:rsidRPr="001F6856">
        <w:t xml:space="preserve">should </w:t>
      </w:r>
      <w:r w:rsidRPr="00CE4BD0">
        <w:t>monitor participants’</w:t>
      </w:r>
      <w:r w:rsidRPr="009D42E1">
        <w:t xml:space="preserve"> health, safety and wellbeing, </w:t>
      </w:r>
      <w:r>
        <w:t xml:space="preserve">and </w:t>
      </w:r>
      <w:r w:rsidRPr="009D42E1">
        <w:t xml:space="preserve">support participants to </w:t>
      </w:r>
      <w:r>
        <w:t>manage</w:t>
      </w:r>
      <w:r w:rsidRPr="009D42E1">
        <w:t xml:space="preserve"> their health and access appropriate health</w:t>
      </w:r>
      <w:r>
        <w:t xml:space="preserve"> care </w:t>
      </w:r>
      <w:r w:rsidRPr="009D42E1">
        <w:t>services</w:t>
      </w:r>
      <w:r w:rsidR="009178D5">
        <w:t xml:space="preserve"> under the </w:t>
      </w:r>
      <w:r w:rsidR="00C36345">
        <w:t xml:space="preserve">Practice Standards of </w:t>
      </w:r>
      <w:r w:rsidR="00197787" w:rsidRPr="00197787">
        <w:t>Provision of Supports Environment</w:t>
      </w:r>
      <w:r w:rsidR="00197787">
        <w:t xml:space="preserve"> </w:t>
      </w:r>
      <w:r w:rsidR="00C36345">
        <w:t>and Risk Management.</w:t>
      </w:r>
      <w:r w:rsidRPr="00CA08C0">
        <w:t xml:space="preserve"> </w:t>
      </w:r>
    </w:p>
    <w:p w14:paraId="31C1B4DA" w14:textId="7A3F99D8" w:rsidR="00A47899" w:rsidRDefault="00A47899" w:rsidP="00260565">
      <w:pPr>
        <w:spacing w:after="0"/>
      </w:pPr>
      <w:r>
        <w:t>P</w:t>
      </w:r>
      <w:r w:rsidRPr="00CA08C0">
        <w:t xml:space="preserve">articipants should be supported to </w:t>
      </w:r>
      <w:r>
        <w:t xml:space="preserve">regularly </w:t>
      </w:r>
      <w:r w:rsidRPr="00CA08C0">
        <w:t xml:space="preserve">access </w:t>
      </w:r>
      <w:r>
        <w:t>health care</w:t>
      </w:r>
      <w:r w:rsidRPr="00CA08C0">
        <w:t xml:space="preserve"> services</w:t>
      </w:r>
      <w:r>
        <w:t>,</w:t>
      </w:r>
      <w:r w:rsidRPr="00CA08C0">
        <w:t xml:space="preserve"> take care of their health</w:t>
      </w:r>
      <w:r>
        <w:t xml:space="preserve"> and</w:t>
      </w:r>
      <w:r w:rsidRPr="00CA08C0">
        <w:t xml:space="preserve"> improve their knowledge of health care.</w:t>
      </w:r>
      <w:r w:rsidR="003B13E4">
        <w:t xml:space="preserve"> </w:t>
      </w:r>
      <w:r w:rsidRPr="00CA08C0">
        <w:t>Providers should support participants in the following ways:</w:t>
      </w:r>
    </w:p>
    <w:p w14:paraId="6F43D58D" w14:textId="4CFDB454" w:rsidR="00A47899" w:rsidRPr="008F0C38" w:rsidRDefault="00A47899" w:rsidP="004D3DC8">
      <w:pPr>
        <w:pStyle w:val="Heading3"/>
      </w:pPr>
      <w:r>
        <w:t>M</w:t>
      </w:r>
      <w:r w:rsidRPr="00CE4BD0">
        <w:t>onitor participants’</w:t>
      </w:r>
      <w:r w:rsidRPr="009D42E1">
        <w:t xml:space="preserve"> health</w:t>
      </w:r>
    </w:p>
    <w:p w14:paraId="60659E84" w14:textId="73363970" w:rsidR="00A47899" w:rsidRDefault="00A47899" w:rsidP="00C320EC">
      <w:r w:rsidRPr="008F0C38">
        <w:t xml:space="preserve">Early </w:t>
      </w:r>
      <w:r>
        <w:t>detection</w:t>
      </w:r>
      <w:r w:rsidRPr="008F0C38">
        <w:t xml:space="preserve"> of changes in a participants</w:t>
      </w:r>
      <w:r w:rsidR="008C2CE5">
        <w:t>’</w:t>
      </w:r>
      <w:r w:rsidRPr="008F0C38">
        <w:t xml:space="preserve"> health and wellbeing means that the participant can access </w:t>
      </w:r>
      <w:r>
        <w:t>health</w:t>
      </w:r>
      <w:r w:rsidRPr="008F0C38">
        <w:t xml:space="preserve"> </w:t>
      </w:r>
      <w:r>
        <w:t xml:space="preserve">care </w:t>
      </w:r>
      <w:r w:rsidRPr="008F0C38">
        <w:t xml:space="preserve">services earlier and may prevent illness </w:t>
      </w:r>
      <w:r>
        <w:t xml:space="preserve">and health </w:t>
      </w:r>
      <w:r w:rsidR="005760E5">
        <w:t>conditions</w:t>
      </w:r>
      <w:r>
        <w:t xml:space="preserve"> </w:t>
      </w:r>
      <w:r w:rsidRPr="008F0C38">
        <w:t xml:space="preserve">from progressing. It is important to have good </w:t>
      </w:r>
      <w:r>
        <w:t xml:space="preserve">record keeping and </w:t>
      </w:r>
      <w:r w:rsidRPr="008F0C38">
        <w:t>knowledge of the participants</w:t>
      </w:r>
      <w:r w:rsidR="008C2CE5">
        <w:t>’</w:t>
      </w:r>
      <w:r w:rsidRPr="008F0C38">
        <w:t xml:space="preserve"> usual health so that </w:t>
      </w:r>
      <w:r w:rsidR="000D4C4F" w:rsidRPr="008F0C38">
        <w:t>observed</w:t>
      </w:r>
      <w:r w:rsidR="000D4C4F">
        <w:t xml:space="preserve"> </w:t>
      </w:r>
      <w:r w:rsidRPr="008F0C38">
        <w:t xml:space="preserve">changes </w:t>
      </w:r>
      <w:r w:rsidR="000D4C4F">
        <w:t>can be</w:t>
      </w:r>
      <w:r>
        <w:t xml:space="preserve"> noted</w:t>
      </w:r>
      <w:r w:rsidRPr="008F0C38">
        <w:t xml:space="preserve">. </w:t>
      </w:r>
      <w:r>
        <w:t>C</w:t>
      </w:r>
      <w:r w:rsidRPr="008F0C38">
        <w:t>hanges</w:t>
      </w:r>
      <w:r>
        <w:t xml:space="preserve"> to observe</w:t>
      </w:r>
      <w:r w:rsidRPr="008F0C38">
        <w:t xml:space="preserve"> include</w:t>
      </w:r>
      <w:r>
        <w:t>:</w:t>
      </w:r>
    </w:p>
    <w:p w14:paraId="357F1BCD" w14:textId="77777777" w:rsidR="00A47899" w:rsidRDefault="00A47899" w:rsidP="000B082D">
      <w:pPr>
        <w:pStyle w:val="ListParagraph"/>
        <w:numPr>
          <w:ilvl w:val="0"/>
          <w:numId w:val="15"/>
        </w:numPr>
      </w:pPr>
      <w:r w:rsidRPr="008F0C38">
        <w:t>Unexpected weight loss or gain</w:t>
      </w:r>
    </w:p>
    <w:p w14:paraId="685A45E3" w14:textId="2E5DE4CE" w:rsidR="00A47899" w:rsidRDefault="00A47899" w:rsidP="000B082D">
      <w:pPr>
        <w:pStyle w:val="ListParagraph"/>
        <w:numPr>
          <w:ilvl w:val="0"/>
          <w:numId w:val="15"/>
        </w:numPr>
      </w:pPr>
      <w:r>
        <w:t>Sudden change in eating habits</w:t>
      </w:r>
    </w:p>
    <w:p w14:paraId="6A37FB11" w14:textId="77777777" w:rsidR="00A47899" w:rsidRDefault="00A47899" w:rsidP="000B082D">
      <w:pPr>
        <w:pStyle w:val="ListParagraph"/>
        <w:numPr>
          <w:ilvl w:val="0"/>
          <w:numId w:val="15"/>
        </w:numPr>
      </w:pPr>
      <w:r w:rsidRPr="008F0C38">
        <w:t>Sudden breathlessness</w:t>
      </w:r>
    </w:p>
    <w:p w14:paraId="00A7A0B5" w14:textId="77777777" w:rsidR="00A47899" w:rsidRDefault="00A47899" w:rsidP="000B082D">
      <w:pPr>
        <w:pStyle w:val="ListParagraph"/>
        <w:numPr>
          <w:ilvl w:val="0"/>
          <w:numId w:val="15"/>
        </w:numPr>
      </w:pPr>
      <w:r w:rsidRPr="008F0C38">
        <w:t>Drop in activity due to fatigue</w:t>
      </w:r>
    </w:p>
    <w:p w14:paraId="075107F6" w14:textId="2033CC58" w:rsidR="00A47899" w:rsidRDefault="00A47899" w:rsidP="000B082D">
      <w:pPr>
        <w:pStyle w:val="ListParagraph"/>
        <w:numPr>
          <w:ilvl w:val="0"/>
          <w:numId w:val="15"/>
        </w:numPr>
      </w:pPr>
      <w:r w:rsidRPr="008F0C38">
        <w:t xml:space="preserve">Expressions of pain </w:t>
      </w:r>
      <w:r>
        <w:t xml:space="preserve"> </w:t>
      </w:r>
    </w:p>
    <w:p w14:paraId="4AAB2FC6" w14:textId="6F1CA6BB" w:rsidR="00A47899" w:rsidRPr="008F0C38" w:rsidRDefault="00A47899" w:rsidP="003F016D">
      <w:pPr>
        <w:pStyle w:val="ListParagraph"/>
        <w:numPr>
          <w:ilvl w:val="0"/>
          <w:numId w:val="15"/>
        </w:numPr>
      </w:pPr>
      <w:r>
        <w:t>C</w:t>
      </w:r>
      <w:r w:rsidRPr="008F0C38">
        <w:t>hanges in behaviour</w:t>
      </w:r>
      <w:r>
        <w:t xml:space="preserve"> or function</w:t>
      </w:r>
      <w:r w:rsidR="000D4C4F">
        <w:t>ing</w:t>
      </w:r>
      <w:r>
        <w:t xml:space="preserve"> </w:t>
      </w:r>
    </w:p>
    <w:p w14:paraId="5D0DE862" w14:textId="51B4A230" w:rsidR="00A47899" w:rsidRDefault="00A47899" w:rsidP="00A12543">
      <w:r>
        <w:t>Providers should e</w:t>
      </w:r>
      <w:r w:rsidRPr="008F0C38">
        <w:t>nsur</w:t>
      </w:r>
      <w:r>
        <w:t>e</w:t>
      </w:r>
      <w:r w:rsidRPr="008F0C38">
        <w:t xml:space="preserve"> participants are supported to promptly access a </w:t>
      </w:r>
      <w:r w:rsidR="005A3E71">
        <w:t>doctor</w:t>
      </w:r>
      <w:r w:rsidRPr="008F0C38">
        <w:t xml:space="preserve"> when </w:t>
      </w:r>
      <w:r w:rsidR="008D1D02">
        <w:t xml:space="preserve">participants are </w:t>
      </w:r>
      <w:r w:rsidRPr="008F0C38">
        <w:t>unwell or changes to their usual health are noticed</w:t>
      </w:r>
      <w:r>
        <w:t>.</w:t>
      </w:r>
      <w:r w:rsidRPr="008C5763">
        <w:t xml:space="preserve"> </w:t>
      </w:r>
    </w:p>
    <w:p w14:paraId="37E7ADDA" w14:textId="77777777" w:rsidR="00A47899" w:rsidRDefault="00A47899" w:rsidP="00566AB6">
      <w:pPr>
        <w:pStyle w:val="Heading3"/>
      </w:pPr>
      <w:r w:rsidRPr="008F0C38">
        <w:t xml:space="preserve">Support participants to access </w:t>
      </w:r>
      <w:r>
        <w:t>health care services</w:t>
      </w:r>
      <w:r w:rsidRPr="008F0C38">
        <w:t xml:space="preserve"> </w:t>
      </w:r>
    </w:p>
    <w:p w14:paraId="4E054D66" w14:textId="0920E54D" w:rsidR="00A47899" w:rsidRDefault="00A47899" w:rsidP="00566AB6">
      <w:r>
        <w:t>P</w:t>
      </w:r>
      <w:r w:rsidRPr="00D343FB">
        <w:t>eople with disability have health</w:t>
      </w:r>
      <w:r>
        <w:t xml:space="preserve"> </w:t>
      </w:r>
      <w:r w:rsidRPr="00D343FB">
        <w:t>care needs</w:t>
      </w:r>
      <w:r>
        <w:t xml:space="preserve"> and require </w:t>
      </w:r>
      <w:r w:rsidRPr="00D343FB">
        <w:t>access</w:t>
      </w:r>
      <w:r>
        <w:t xml:space="preserve"> to </w:t>
      </w:r>
      <w:r w:rsidRPr="00D343FB">
        <w:t>health</w:t>
      </w:r>
      <w:r>
        <w:t xml:space="preserve"> care</w:t>
      </w:r>
      <w:r w:rsidRPr="00D343FB">
        <w:t xml:space="preserve"> services to meet </w:t>
      </w:r>
      <w:r>
        <w:t>these needs. H</w:t>
      </w:r>
      <w:r w:rsidRPr="00D343FB">
        <w:t xml:space="preserve">ealth </w:t>
      </w:r>
      <w:r>
        <w:t xml:space="preserve">care </w:t>
      </w:r>
      <w:r w:rsidRPr="00D343FB">
        <w:t>services</w:t>
      </w:r>
      <w:r>
        <w:t xml:space="preserve"> can range from different health professionals such </w:t>
      </w:r>
      <w:r w:rsidR="00243B03">
        <w:t>as</w:t>
      </w:r>
      <w:r w:rsidR="00243B03" w:rsidRPr="00D343FB">
        <w:t xml:space="preserve"> </w:t>
      </w:r>
      <w:r w:rsidR="00243B03">
        <w:t>their</w:t>
      </w:r>
      <w:r>
        <w:t xml:space="preserve"> regular doctors</w:t>
      </w:r>
      <w:r w:rsidRPr="00D343FB">
        <w:t xml:space="preserve">, specialists, </w:t>
      </w:r>
      <w:r>
        <w:t>and other health professionals</w:t>
      </w:r>
      <w:r w:rsidRPr="00D343FB">
        <w:t>.</w:t>
      </w:r>
      <w:r>
        <w:t xml:space="preserve"> A</w:t>
      </w:r>
      <w:r w:rsidRPr="00D343FB">
        <w:t xml:space="preserve"> </w:t>
      </w:r>
      <w:r>
        <w:t>person’s</w:t>
      </w:r>
      <w:r w:rsidRPr="00D343FB">
        <w:t xml:space="preserve"> care may require coordination between different health professionals.</w:t>
      </w:r>
      <w:r w:rsidRPr="008B5EE7">
        <w:t xml:space="preserve"> </w:t>
      </w:r>
    </w:p>
    <w:p w14:paraId="3C772DA7" w14:textId="199D26C6" w:rsidR="00A47899" w:rsidRDefault="00A47899" w:rsidP="003A17F9">
      <w:pPr>
        <w:pStyle w:val="Bullet1"/>
      </w:pPr>
      <w:r w:rsidRPr="00F7587C">
        <w:t>Consider the level of support</w:t>
      </w:r>
      <w:r>
        <w:t xml:space="preserve"> and accessibility needs</w:t>
      </w:r>
      <w:r w:rsidRPr="00F7587C">
        <w:t xml:space="preserve"> the participant</w:t>
      </w:r>
      <w:r>
        <w:t xml:space="preserve"> has</w:t>
      </w:r>
      <w:r w:rsidRPr="00F7587C">
        <w:t xml:space="preserve"> to make and attend </w:t>
      </w:r>
      <w:r>
        <w:t xml:space="preserve">the health </w:t>
      </w:r>
      <w:r w:rsidRPr="00F7587C">
        <w:t>appointment</w:t>
      </w:r>
      <w:r>
        <w:t>,</w:t>
      </w:r>
      <w:r w:rsidRPr="00F7587C">
        <w:t xml:space="preserve"> or to have tests, scans or other procedures.</w:t>
      </w:r>
    </w:p>
    <w:p w14:paraId="5AA80395" w14:textId="77777777" w:rsidR="001D4A4D" w:rsidRDefault="001D4A4D" w:rsidP="003A17F9">
      <w:pPr>
        <w:pStyle w:val="Bullet1"/>
      </w:pPr>
      <w:r w:rsidRPr="001D4A4D">
        <w:t>Where appropriate schedule longer appointment times to give adequate time for participants to discuss concerns. Consider encouraging family members or supporters to attend appointments to support participants health needs.</w:t>
      </w:r>
    </w:p>
    <w:p w14:paraId="1EFC8CC4" w14:textId="413518D5" w:rsidR="00A47899" w:rsidRPr="00645C50" w:rsidRDefault="00A47899" w:rsidP="003A17F9">
      <w:pPr>
        <w:pStyle w:val="Bullet1"/>
      </w:pPr>
      <w:r w:rsidRPr="00645C50">
        <w:t xml:space="preserve">Time appointments on a day and time when it is likely to less busy. Often Mondays and Fridays are very busy times. Talk to the office and make a time that works for both the participant and the </w:t>
      </w:r>
      <w:r w:rsidR="005A3E71">
        <w:t>doctor</w:t>
      </w:r>
      <w:r w:rsidRPr="00645C50">
        <w:t>.</w:t>
      </w:r>
    </w:p>
    <w:p w14:paraId="59B0EF21" w14:textId="77777777" w:rsidR="00A47899" w:rsidRPr="00F7587C" w:rsidRDefault="00A47899" w:rsidP="003A17F9">
      <w:pPr>
        <w:pStyle w:val="Bullet1"/>
      </w:pPr>
      <w:r w:rsidRPr="00F7587C">
        <w:t>Assist the participant to use their preferred method of communication during appointments.</w:t>
      </w:r>
    </w:p>
    <w:p w14:paraId="73D29A1B" w14:textId="3F6D85DB" w:rsidR="00A47899" w:rsidRPr="00B86425" w:rsidRDefault="00A47899" w:rsidP="003A17F9">
      <w:pPr>
        <w:pStyle w:val="Bullet1"/>
      </w:pPr>
      <w:r>
        <w:t>Bring along any important health history, such as support plans, health care plans, any written records of health issues affecting the individual and list of medications</w:t>
      </w:r>
      <w:r w:rsidR="001D7ED7">
        <w:t xml:space="preserve"> </w:t>
      </w:r>
      <w:r w:rsidR="001D7ED7" w:rsidRPr="001D7ED7">
        <w:t>including over the counter supplements</w:t>
      </w:r>
      <w:r>
        <w:t>.</w:t>
      </w:r>
    </w:p>
    <w:p w14:paraId="716EE4D5" w14:textId="77777777" w:rsidR="00A47899" w:rsidRDefault="00A47899" w:rsidP="003A17F9">
      <w:pPr>
        <w:pStyle w:val="Bullet1"/>
      </w:pPr>
      <w:r w:rsidRPr="00BC1F0B">
        <w:t>Ensure that any information received from the health practitioner is provided to the participant in an accessible format.</w:t>
      </w:r>
    </w:p>
    <w:p w14:paraId="355FA91B" w14:textId="22E95135" w:rsidR="00A47899" w:rsidRPr="00B86425" w:rsidRDefault="00A47899" w:rsidP="003A17F9">
      <w:pPr>
        <w:pStyle w:val="Bullet1"/>
      </w:pPr>
      <w:r>
        <w:t>Support the participant to participate in the development of their health care plan.</w:t>
      </w:r>
    </w:p>
    <w:p w14:paraId="464DB64A" w14:textId="77777777" w:rsidR="00A47899" w:rsidRDefault="00A47899" w:rsidP="003A17F9">
      <w:pPr>
        <w:pStyle w:val="Bullet1"/>
      </w:pPr>
      <w:r>
        <w:t xml:space="preserve">Work with the health practitioner to support the </w:t>
      </w:r>
      <w:r w:rsidRPr="00B86425">
        <w:t>participant to understand their</w:t>
      </w:r>
      <w:r>
        <w:t xml:space="preserve"> </w:t>
      </w:r>
      <w:r w:rsidRPr="00B86425">
        <w:t xml:space="preserve">symptoms, treatment </w:t>
      </w:r>
      <w:r>
        <w:t xml:space="preserve">or health care </w:t>
      </w:r>
      <w:r w:rsidRPr="00B86425">
        <w:t>plans and recommended changes</w:t>
      </w:r>
      <w:r>
        <w:t>.</w:t>
      </w:r>
    </w:p>
    <w:p w14:paraId="2E5718EA" w14:textId="6675CDD5" w:rsidR="00A47899" w:rsidRDefault="007B4305" w:rsidP="003A17F9">
      <w:pPr>
        <w:pStyle w:val="Bullet1"/>
      </w:pPr>
      <w:r w:rsidRPr="007B4305">
        <w:lastRenderedPageBreak/>
        <w:t>Ensure that any health care recommendations are documented, implemented with the participant and monitored</w:t>
      </w:r>
      <w:r w:rsidR="00AA13EA">
        <w:t>.</w:t>
      </w:r>
    </w:p>
    <w:p w14:paraId="76216D0E" w14:textId="067DFD6A" w:rsidR="00A47899" w:rsidRDefault="00ED7020" w:rsidP="005C5CE1">
      <w:pPr>
        <w:pStyle w:val="Bullet1"/>
      </w:pPr>
      <w:r>
        <w:t>S</w:t>
      </w:r>
      <w:r w:rsidR="00A47899">
        <w:t xml:space="preserve">upport the participant to </w:t>
      </w:r>
      <w:r w:rsidR="00A47899" w:rsidRPr="004C7DE7">
        <w:t xml:space="preserve">attend </w:t>
      </w:r>
      <w:r w:rsidR="00A47899">
        <w:t xml:space="preserve">follow up and </w:t>
      </w:r>
      <w:r w:rsidR="00A47899" w:rsidRPr="004C7DE7">
        <w:t>regular medical appointments</w:t>
      </w:r>
      <w:r w:rsidR="00A47899">
        <w:t xml:space="preserve"> including dental appointments</w:t>
      </w:r>
      <w:r w:rsidR="00A47899" w:rsidRPr="00B86425">
        <w:t xml:space="preserve">. </w:t>
      </w:r>
    </w:p>
    <w:p w14:paraId="2C7CF242" w14:textId="77777777" w:rsidR="00A47899" w:rsidRDefault="00A47899" w:rsidP="00566AB6">
      <w:pPr>
        <w:pStyle w:val="Boxed2Heading"/>
        <w:jc w:val="center"/>
      </w:pPr>
      <w:r>
        <w:t>Using the Comprehensive Health Assessment Program to promote comprehensive health assessments for people with intellectual disability</w:t>
      </w:r>
    </w:p>
    <w:p w14:paraId="184FCDC5" w14:textId="65399748" w:rsidR="006A0029" w:rsidRDefault="006A0029" w:rsidP="00566AB6">
      <w:pPr>
        <w:pStyle w:val="Boxed2Heading"/>
        <w:rPr>
          <w:b w:val="0"/>
          <w:bCs/>
        </w:rPr>
      </w:pPr>
      <w:r w:rsidRPr="006A0029">
        <w:rPr>
          <w:b w:val="0"/>
          <w:bCs/>
        </w:rPr>
        <w:t xml:space="preserve">Having regular </w:t>
      </w:r>
      <w:r w:rsidR="0061795F">
        <w:rPr>
          <w:b w:val="0"/>
          <w:bCs/>
        </w:rPr>
        <w:t>health assessments</w:t>
      </w:r>
      <w:r w:rsidRPr="006A0029">
        <w:rPr>
          <w:b w:val="0"/>
          <w:bCs/>
        </w:rPr>
        <w:t xml:space="preserve"> is a key strategy to reduce health inequalities experienced by people with intellectual disability.</w:t>
      </w:r>
      <w:r w:rsidRPr="00952BD4">
        <w:rPr>
          <w:b w:val="0"/>
          <w:bCs/>
          <w:vertAlign w:val="superscript"/>
        </w:rPr>
        <w:t>23</w:t>
      </w:r>
      <w:r w:rsidRPr="006A0029">
        <w:rPr>
          <w:b w:val="0"/>
          <w:bCs/>
        </w:rPr>
        <w:t xml:space="preserve"> </w:t>
      </w:r>
      <w:r w:rsidR="003D50C0">
        <w:rPr>
          <w:b w:val="0"/>
          <w:bCs/>
        </w:rPr>
        <w:t>Regular h</w:t>
      </w:r>
      <w:r w:rsidRPr="006A0029">
        <w:rPr>
          <w:b w:val="0"/>
          <w:bCs/>
        </w:rPr>
        <w:t xml:space="preserve">ealth </w:t>
      </w:r>
      <w:r w:rsidR="003D50C0">
        <w:rPr>
          <w:b w:val="0"/>
          <w:bCs/>
        </w:rPr>
        <w:t>assessments</w:t>
      </w:r>
      <w:r w:rsidRPr="006A0029">
        <w:rPr>
          <w:b w:val="0"/>
          <w:bCs/>
        </w:rPr>
        <w:t xml:space="preserve"> have been found to be help identify previously unrecognised health needs, promote healthy lifestyles and reduce preventable emergency admissions.</w:t>
      </w:r>
      <w:r w:rsidRPr="00952BD4">
        <w:rPr>
          <w:b w:val="0"/>
          <w:bCs/>
          <w:vertAlign w:val="superscript"/>
        </w:rPr>
        <w:t>23</w:t>
      </w:r>
    </w:p>
    <w:p w14:paraId="5066A8CA" w14:textId="4BFA4D53" w:rsidR="00A47899" w:rsidRPr="00546807" w:rsidRDefault="00A47899" w:rsidP="00566AB6">
      <w:pPr>
        <w:pStyle w:val="Boxed2Heading"/>
        <w:rPr>
          <w:b w:val="0"/>
          <w:bCs/>
        </w:rPr>
      </w:pPr>
      <w:r w:rsidRPr="00546807">
        <w:rPr>
          <w:b w:val="0"/>
          <w:bCs/>
        </w:rPr>
        <w:t xml:space="preserve">The Comprehensive Health Assessment Program (CHAP) is a free evidence-based </w:t>
      </w:r>
      <w:r w:rsidR="00644DA1">
        <w:rPr>
          <w:b w:val="0"/>
          <w:bCs/>
        </w:rPr>
        <w:t xml:space="preserve">heath assessment </w:t>
      </w:r>
      <w:r w:rsidRPr="00546807">
        <w:rPr>
          <w:b w:val="0"/>
          <w:bCs/>
        </w:rPr>
        <w:t>tool that can be used to effectively screen for health needs that are commonly unrecognised or poorly managed for people with intellectual disability.</w:t>
      </w:r>
      <w:r w:rsidR="006112A7" w:rsidRPr="00AB5C62">
        <w:rPr>
          <w:rStyle w:val="EndnoteReference"/>
          <w:b w:val="0"/>
          <w:bCs/>
        </w:rPr>
        <w:endnoteReference w:id="31"/>
      </w:r>
      <w:r w:rsidR="00AB5C62" w:rsidRPr="00AB5C62">
        <w:rPr>
          <w:b w:val="0"/>
          <w:bCs/>
          <w:vertAlign w:val="superscript"/>
        </w:rPr>
        <w:t>,</w:t>
      </w:r>
      <w:r w:rsidR="00AB5C62">
        <w:rPr>
          <w:rStyle w:val="EndnoteReference"/>
          <w:b w:val="0"/>
          <w:bCs/>
        </w:rPr>
        <w:endnoteReference w:id="32"/>
      </w:r>
    </w:p>
    <w:p w14:paraId="0D662CEB" w14:textId="43672AE2" w:rsidR="00566AB6" w:rsidRPr="00546807" w:rsidRDefault="00566AB6" w:rsidP="00566AB6">
      <w:pPr>
        <w:pStyle w:val="Boxed2Heading"/>
        <w:rPr>
          <w:b w:val="0"/>
          <w:bCs/>
        </w:rPr>
      </w:pPr>
      <w:r w:rsidRPr="00546807">
        <w:rPr>
          <w:b w:val="0"/>
          <w:bCs/>
        </w:rPr>
        <w:t xml:space="preserve">The CHAP is a booklet that can be taken to the doctor to guide conversations and record and plan for health </w:t>
      </w:r>
      <w:r w:rsidR="005A5738">
        <w:rPr>
          <w:b w:val="0"/>
          <w:bCs/>
        </w:rPr>
        <w:t>concerns</w:t>
      </w:r>
      <w:r w:rsidRPr="00546807">
        <w:rPr>
          <w:b w:val="0"/>
          <w:bCs/>
        </w:rPr>
        <w:t xml:space="preserve">. It involves the participant and </w:t>
      </w:r>
      <w:r w:rsidR="005A3E71">
        <w:rPr>
          <w:b w:val="0"/>
          <w:bCs/>
        </w:rPr>
        <w:t>doctor</w:t>
      </w:r>
      <w:r w:rsidRPr="00546807">
        <w:rPr>
          <w:b w:val="0"/>
          <w:bCs/>
        </w:rPr>
        <w:t xml:space="preserve"> discussing and reviewing the participants</w:t>
      </w:r>
      <w:r w:rsidR="008C2CE5">
        <w:rPr>
          <w:b w:val="0"/>
          <w:bCs/>
        </w:rPr>
        <w:t>’</w:t>
      </w:r>
      <w:r w:rsidRPr="00546807">
        <w:rPr>
          <w:b w:val="0"/>
          <w:bCs/>
        </w:rPr>
        <w:t xml:space="preserve"> medical history, current health </w:t>
      </w:r>
      <w:r w:rsidR="005A5738">
        <w:rPr>
          <w:b w:val="0"/>
          <w:bCs/>
        </w:rPr>
        <w:t>conditions</w:t>
      </w:r>
      <w:r w:rsidRPr="00546807">
        <w:rPr>
          <w:b w:val="0"/>
          <w:bCs/>
        </w:rPr>
        <w:t>, medications and any lifestyle risks. It is a two-part questionnaire</w:t>
      </w:r>
      <w:r w:rsidR="005A5738">
        <w:rPr>
          <w:b w:val="0"/>
          <w:bCs/>
        </w:rPr>
        <w:t xml:space="preserve"> to compete with </w:t>
      </w:r>
      <w:r w:rsidRPr="00546807">
        <w:rPr>
          <w:b w:val="0"/>
          <w:bCs/>
        </w:rPr>
        <w:t xml:space="preserve">the participant, their support person and their </w:t>
      </w:r>
      <w:r w:rsidR="005A3E71">
        <w:rPr>
          <w:b w:val="0"/>
          <w:bCs/>
        </w:rPr>
        <w:t>doctor</w:t>
      </w:r>
      <w:r w:rsidRPr="00546807">
        <w:rPr>
          <w:b w:val="0"/>
          <w:bCs/>
        </w:rPr>
        <w:t xml:space="preserve">. </w:t>
      </w:r>
    </w:p>
    <w:p w14:paraId="23D5FD8D" w14:textId="6F65301A" w:rsidR="00566AB6" w:rsidRPr="00546807" w:rsidRDefault="00566AB6" w:rsidP="00566AB6">
      <w:pPr>
        <w:pStyle w:val="Boxed2Heading"/>
        <w:numPr>
          <w:ilvl w:val="0"/>
          <w:numId w:val="43"/>
        </w:numPr>
        <w:rPr>
          <w:b w:val="0"/>
          <w:bCs/>
        </w:rPr>
      </w:pPr>
      <w:r w:rsidRPr="00546807">
        <w:rPr>
          <w:b w:val="0"/>
          <w:bCs/>
        </w:rPr>
        <w:t xml:space="preserve">Part one of the questionnaire asks about health history and is completed by the participant and/or with a support person. This is shared with the </w:t>
      </w:r>
      <w:r w:rsidR="00450F61" w:rsidRPr="00450F61">
        <w:rPr>
          <w:b w:val="0"/>
          <w:bCs/>
        </w:rPr>
        <w:t>participant</w:t>
      </w:r>
      <w:r w:rsidR="00450F61">
        <w:rPr>
          <w:b w:val="0"/>
          <w:bCs/>
        </w:rPr>
        <w:t>’s</w:t>
      </w:r>
      <w:r w:rsidR="00450F61" w:rsidRPr="00450F61">
        <w:rPr>
          <w:b w:val="0"/>
          <w:bCs/>
        </w:rPr>
        <w:t xml:space="preserve"> </w:t>
      </w:r>
      <w:r w:rsidR="005A3E71">
        <w:rPr>
          <w:b w:val="0"/>
          <w:bCs/>
        </w:rPr>
        <w:t>doctor</w:t>
      </w:r>
      <w:r w:rsidRPr="00546807">
        <w:rPr>
          <w:b w:val="0"/>
          <w:bCs/>
        </w:rPr>
        <w:t>.</w:t>
      </w:r>
    </w:p>
    <w:p w14:paraId="636CDD51" w14:textId="1EBF2B08" w:rsidR="00566AB6" w:rsidRPr="00546807" w:rsidRDefault="00566AB6" w:rsidP="00566AB6">
      <w:pPr>
        <w:pStyle w:val="Boxed2Heading"/>
        <w:numPr>
          <w:ilvl w:val="0"/>
          <w:numId w:val="43"/>
        </w:numPr>
        <w:rPr>
          <w:b w:val="0"/>
          <w:bCs/>
        </w:rPr>
      </w:pPr>
      <w:r w:rsidRPr="00546807">
        <w:rPr>
          <w:b w:val="0"/>
          <w:bCs/>
        </w:rPr>
        <w:t xml:space="preserve">Part two requires the </w:t>
      </w:r>
      <w:r w:rsidR="005A3E71">
        <w:rPr>
          <w:b w:val="0"/>
          <w:bCs/>
        </w:rPr>
        <w:t>doctor</w:t>
      </w:r>
      <w:r w:rsidRPr="00546807">
        <w:rPr>
          <w:b w:val="0"/>
          <w:bCs/>
        </w:rPr>
        <w:t xml:space="preserve"> to fill in the rest the questionnaire working with the participant and their support person. The </w:t>
      </w:r>
      <w:r w:rsidR="005A3E71">
        <w:rPr>
          <w:b w:val="0"/>
          <w:bCs/>
        </w:rPr>
        <w:t>doctor</w:t>
      </w:r>
      <w:r w:rsidRPr="00546807">
        <w:rPr>
          <w:b w:val="0"/>
          <w:bCs/>
        </w:rPr>
        <w:t xml:space="preserve"> will perform a</w:t>
      </w:r>
      <w:r w:rsidR="00450F61">
        <w:rPr>
          <w:b w:val="0"/>
          <w:bCs/>
        </w:rPr>
        <w:t xml:space="preserve">n assessment </w:t>
      </w:r>
      <w:r w:rsidRPr="00546807">
        <w:rPr>
          <w:b w:val="0"/>
          <w:bCs/>
        </w:rPr>
        <w:t xml:space="preserve">of the participant’s health. </w:t>
      </w:r>
    </w:p>
    <w:p w14:paraId="6273571F" w14:textId="6E8A1A2F" w:rsidR="00566AB6" w:rsidRPr="00546807" w:rsidRDefault="00566AB6" w:rsidP="00566AB6">
      <w:pPr>
        <w:pStyle w:val="Boxed2Heading"/>
        <w:numPr>
          <w:ilvl w:val="0"/>
          <w:numId w:val="43"/>
        </w:numPr>
        <w:rPr>
          <w:b w:val="0"/>
          <w:bCs/>
        </w:rPr>
      </w:pPr>
      <w:r w:rsidRPr="00546807">
        <w:rPr>
          <w:b w:val="0"/>
          <w:bCs/>
        </w:rPr>
        <w:t xml:space="preserve">On completion of the </w:t>
      </w:r>
      <w:r w:rsidR="005A3E71">
        <w:rPr>
          <w:b w:val="0"/>
          <w:bCs/>
        </w:rPr>
        <w:t>doctor’s</w:t>
      </w:r>
      <w:r w:rsidRPr="00546807">
        <w:rPr>
          <w:b w:val="0"/>
          <w:bCs/>
        </w:rPr>
        <w:t xml:space="preserve"> </w:t>
      </w:r>
      <w:r w:rsidR="00A36A14">
        <w:rPr>
          <w:b w:val="0"/>
          <w:bCs/>
        </w:rPr>
        <w:t>assessment</w:t>
      </w:r>
      <w:r w:rsidRPr="00546807">
        <w:rPr>
          <w:b w:val="0"/>
          <w:bCs/>
        </w:rPr>
        <w:t xml:space="preserve">, a health action plan </w:t>
      </w:r>
      <w:r w:rsidR="00A36A14">
        <w:rPr>
          <w:b w:val="0"/>
          <w:bCs/>
        </w:rPr>
        <w:t xml:space="preserve">can be made. This should be done </w:t>
      </w:r>
      <w:r w:rsidRPr="00546807">
        <w:rPr>
          <w:b w:val="0"/>
          <w:bCs/>
        </w:rPr>
        <w:t xml:space="preserve">in collaboration with the </w:t>
      </w:r>
      <w:r w:rsidR="005A3E71">
        <w:rPr>
          <w:b w:val="0"/>
          <w:bCs/>
        </w:rPr>
        <w:t>doctor</w:t>
      </w:r>
      <w:r w:rsidR="00D23BA4">
        <w:rPr>
          <w:b w:val="0"/>
          <w:bCs/>
        </w:rPr>
        <w:t xml:space="preserve">, the </w:t>
      </w:r>
      <w:r w:rsidRPr="00546807">
        <w:rPr>
          <w:b w:val="0"/>
          <w:bCs/>
        </w:rPr>
        <w:t xml:space="preserve">participant and </w:t>
      </w:r>
      <w:r w:rsidR="005A7845">
        <w:rPr>
          <w:b w:val="0"/>
          <w:bCs/>
        </w:rPr>
        <w:t>their support person.</w:t>
      </w:r>
    </w:p>
    <w:p w14:paraId="7DE23346" w14:textId="6F10165C" w:rsidR="00566AB6" w:rsidRPr="00546807" w:rsidRDefault="00566AB6" w:rsidP="00566AB6">
      <w:pPr>
        <w:pStyle w:val="Boxed2Heading"/>
        <w:rPr>
          <w:b w:val="0"/>
          <w:bCs/>
        </w:rPr>
      </w:pPr>
      <w:r w:rsidRPr="00546807">
        <w:rPr>
          <w:b w:val="0"/>
          <w:bCs/>
        </w:rPr>
        <w:t>It is important that providers support participants to follow their health care plan. This might include follow up appointments with other health professionals</w:t>
      </w:r>
      <w:r w:rsidR="005A7845">
        <w:rPr>
          <w:b w:val="0"/>
          <w:bCs/>
        </w:rPr>
        <w:t xml:space="preserve">, </w:t>
      </w:r>
      <w:r w:rsidR="00924F64">
        <w:rPr>
          <w:b w:val="0"/>
          <w:bCs/>
        </w:rPr>
        <w:t>changes to medication</w:t>
      </w:r>
      <w:r w:rsidRPr="00546807">
        <w:rPr>
          <w:b w:val="0"/>
          <w:bCs/>
        </w:rPr>
        <w:t xml:space="preserve"> and additional tests.</w:t>
      </w:r>
    </w:p>
    <w:p w14:paraId="69D5FDA9" w14:textId="12E114E1" w:rsidR="00566AB6" w:rsidRPr="00546807" w:rsidRDefault="00566AB6" w:rsidP="00566AB6">
      <w:pPr>
        <w:pStyle w:val="Boxed2Heading"/>
        <w:rPr>
          <w:b w:val="0"/>
          <w:bCs/>
        </w:rPr>
      </w:pPr>
      <w:r w:rsidRPr="00546807">
        <w:rPr>
          <w:b w:val="0"/>
          <w:bCs/>
        </w:rPr>
        <w:t xml:space="preserve">The </w:t>
      </w:r>
      <w:hyperlink r:id="rId15" w:history="1">
        <w:r w:rsidRPr="00546807">
          <w:rPr>
            <w:rStyle w:val="Hyperlink"/>
            <w:b w:val="0"/>
            <w:bCs/>
          </w:rPr>
          <w:t>CHAP</w:t>
        </w:r>
      </w:hyperlink>
      <w:r w:rsidRPr="00546807">
        <w:rPr>
          <w:b w:val="0"/>
          <w:bCs/>
        </w:rPr>
        <w:t xml:space="preserve"> is available online and is free for use.</w:t>
      </w:r>
      <w:r w:rsidR="00112B65">
        <w:rPr>
          <w:b w:val="0"/>
          <w:bCs/>
        </w:rPr>
        <w:t xml:space="preserve"> </w:t>
      </w:r>
    </w:p>
    <w:p w14:paraId="7998DCC0" w14:textId="5A64549C" w:rsidR="00E619A2" w:rsidRPr="008F0C38" w:rsidRDefault="00E619A2" w:rsidP="00512E6E">
      <w:pPr>
        <w:pStyle w:val="Heading3"/>
      </w:pPr>
      <w:r w:rsidRPr="008F0C38">
        <w:t xml:space="preserve">Support participants to understand their health needs and to make informed health decisions </w:t>
      </w:r>
    </w:p>
    <w:p w14:paraId="7859BA31" w14:textId="41C2F724" w:rsidR="00E619A2" w:rsidRPr="008F0C38" w:rsidRDefault="009470A3" w:rsidP="003A17F9">
      <w:pPr>
        <w:pStyle w:val="Bullet1"/>
      </w:pPr>
      <w:r>
        <w:t>Work with health professionals to s</w:t>
      </w:r>
      <w:r w:rsidRPr="008F0C38">
        <w:t xml:space="preserve">upport </w:t>
      </w:r>
      <w:r w:rsidR="00E619A2" w:rsidRPr="008F0C38">
        <w:t>participants</w:t>
      </w:r>
      <w:r>
        <w:t xml:space="preserve"> to understand their </w:t>
      </w:r>
      <w:r w:rsidR="00E619A2" w:rsidRPr="008F0C38">
        <w:t>health through the provision of accessible health information</w:t>
      </w:r>
      <w:r>
        <w:t>. S</w:t>
      </w:r>
      <w:r w:rsidR="00E619A2" w:rsidRPr="008F0C38">
        <w:t xml:space="preserve">ee </w:t>
      </w:r>
      <w:hyperlink w:anchor="_Resources" w:history="1">
        <w:r w:rsidR="00532F29">
          <w:rPr>
            <w:rStyle w:val="Hyperlink"/>
          </w:rPr>
          <w:t>Resources</w:t>
        </w:r>
      </w:hyperlink>
      <w:r w:rsidR="00E619A2" w:rsidRPr="008F0C38">
        <w:t xml:space="preserve"> below for ideas and tools.</w:t>
      </w:r>
    </w:p>
    <w:p w14:paraId="2548E12A" w14:textId="3510772B" w:rsidR="00E619A2" w:rsidRPr="008F0C38" w:rsidRDefault="009470A3" w:rsidP="003A17F9">
      <w:pPr>
        <w:pStyle w:val="Bullet1"/>
      </w:pPr>
      <w:r>
        <w:t>Support</w:t>
      </w:r>
      <w:r w:rsidRPr="008F0C38">
        <w:t xml:space="preserve"> </w:t>
      </w:r>
      <w:r w:rsidR="00E619A2" w:rsidRPr="008F0C38">
        <w:t xml:space="preserve">informed </w:t>
      </w:r>
      <w:r w:rsidR="00B16B28" w:rsidRPr="008F0C38">
        <w:t>decision-making</w:t>
      </w:r>
      <w:r w:rsidR="00E619A2" w:rsidRPr="008F0C38">
        <w:t xml:space="preserve"> using the participant’s preferred communication methods. Involve the participant’s family, </w:t>
      </w:r>
      <w:r w:rsidR="00B16B28">
        <w:t>other supporters,</w:t>
      </w:r>
      <w:r w:rsidR="00E619A2" w:rsidRPr="008F0C38">
        <w:t xml:space="preserve"> or guardian in the </w:t>
      </w:r>
      <w:r w:rsidR="00B16B28" w:rsidRPr="008F0C38">
        <w:t>decision-making</w:t>
      </w:r>
      <w:r w:rsidR="00E619A2" w:rsidRPr="008F0C38">
        <w:t xml:space="preserve"> process, where appropriate.</w:t>
      </w:r>
    </w:p>
    <w:p w14:paraId="77F2C95E" w14:textId="53B88B1B" w:rsidR="00E619A2" w:rsidRDefault="00E619A2" w:rsidP="003A17F9">
      <w:pPr>
        <w:pStyle w:val="Bullet1"/>
      </w:pPr>
      <w:r w:rsidRPr="00B86425">
        <w:t>Encourage participant</w:t>
      </w:r>
      <w:r w:rsidR="009470A3">
        <w:t>s</w:t>
      </w:r>
      <w:r w:rsidRPr="00B86425">
        <w:t xml:space="preserve"> to let you know if they do not feel well using their preferred communication methods.</w:t>
      </w:r>
      <w:r w:rsidRPr="001C7233">
        <w:t xml:space="preserve"> Developing trust with a participant and knowing how they communicate will assist participants to tell you that they are unwell.  </w:t>
      </w:r>
    </w:p>
    <w:p w14:paraId="3824156F" w14:textId="1666BB56" w:rsidR="00F7587C" w:rsidRDefault="00F7587C" w:rsidP="003A17F9">
      <w:pPr>
        <w:pStyle w:val="Bullet1"/>
      </w:pPr>
      <w:r w:rsidRPr="008F0C38">
        <w:t xml:space="preserve">If required, work with a speech pathologist to create or expand a personal communication system for the participant so that they have a way of </w:t>
      </w:r>
      <w:r w:rsidR="00B16B28">
        <w:t>communicating</w:t>
      </w:r>
      <w:r w:rsidRPr="008F0C38">
        <w:t xml:space="preserve"> when they are unwell. This could include words</w:t>
      </w:r>
      <w:r>
        <w:t xml:space="preserve">, </w:t>
      </w:r>
      <w:r w:rsidRPr="008F0C38">
        <w:t>signs</w:t>
      </w:r>
      <w:r>
        <w:t xml:space="preserve">, </w:t>
      </w:r>
      <w:r w:rsidRPr="008F0C38">
        <w:t>symbols that can describe pain, nausea and fever, or anxiety, emotional distress.</w:t>
      </w:r>
    </w:p>
    <w:p w14:paraId="7FE1FB74" w14:textId="29E392C9" w:rsidR="00112B65" w:rsidRPr="00B86425" w:rsidRDefault="00B66E9E" w:rsidP="003A17F9">
      <w:pPr>
        <w:pStyle w:val="Bullet1"/>
      </w:pPr>
      <w:r>
        <w:lastRenderedPageBreak/>
        <w:t>Support the</w:t>
      </w:r>
      <w:r w:rsidR="00112B65">
        <w:t xml:space="preserve"> participant </w:t>
      </w:r>
      <w:r>
        <w:t>to be involved in carrying out their health care plan and any health</w:t>
      </w:r>
      <w:r w:rsidR="00C816A6">
        <w:t>-</w:t>
      </w:r>
      <w:r>
        <w:t xml:space="preserve">related routines. </w:t>
      </w:r>
    </w:p>
    <w:p w14:paraId="181D576B" w14:textId="77777777" w:rsidR="004D3DC8" w:rsidRPr="008F0C38" w:rsidRDefault="00B86425" w:rsidP="000B082D">
      <w:pPr>
        <w:pStyle w:val="Heading2"/>
      </w:pPr>
      <w:r>
        <w:t>Provider obligations</w:t>
      </w:r>
      <w:r w:rsidR="004D3DC8" w:rsidRPr="008F0C38">
        <w:t xml:space="preserve">  </w:t>
      </w:r>
    </w:p>
    <w:p w14:paraId="38AF704C" w14:textId="77777777" w:rsidR="004D3DC8" w:rsidRPr="008F0C38" w:rsidRDefault="004D3DC8" w:rsidP="000B082D">
      <w:pPr>
        <w:pStyle w:val="Heading3"/>
      </w:pPr>
      <w:r w:rsidRPr="008F0C38">
        <w:t xml:space="preserve">NDIS Code of Conduct </w:t>
      </w:r>
    </w:p>
    <w:p w14:paraId="3D73F7F0" w14:textId="77777777" w:rsidR="004D3DC8" w:rsidRPr="008F0C38" w:rsidRDefault="004D3DC8" w:rsidP="004D3DC8">
      <w:pPr>
        <w:autoSpaceDE w:val="0"/>
        <w:autoSpaceDN w:val="0"/>
        <w:adjustRightInd w:val="0"/>
        <w:jc w:val="both"/>
        <w:rPr>
          <w:rFonts w:cstheme="minorHAnsi"/>
        </w:rPr>
      </w:pPr>
      <w:r w:rsidRPr="008F0C38">
        <w:rPr>
          <w:rFonts w:cstheme="minorHAnsi"/>
        </w:rPr>
        <w:t xml:space="preserve">Providers and workers must comply with the </w:t>
      </w:r>
      <w:hyperlink r:id="rId16" w:history="1">
        <w:r w:rsidR="00EF4BE7">
          <w:rPr>
            <w:color w:val="0000FF"/>
            <w:u w:val="single"/>
          </w:rPr>
          <w:t>NDIS Code of Conduct</w:t>
        </w:r>
      </w:hyperlink>
      <w:r w:rsidR="00EF4BE7" w:rsidRPr="00EF4BE7">
        <w:rPr>
          <w:color w:val="0000FF"/>
        </w:rPr>
        <w:t xml:space="preserve"> </w:t>
      </w:r>
      <w:r w:rsidRPr="008F0C38">
        <w:rPr>
          <w:rFonts w:cstheme="minorHAnsi"/>
        </w:rPr>
        <w:t>when providing supports or services to NDIS participants.</w:t>
      </w:r>
    </w:p>
    <w:p w14:paraId="24FB9458" w14:textId="77777777" w:rsidR="004D3DC8" w:rsidRPr="008F0C38" w:rsidRDefault="004D3DC8" w:rsidP="004D3DC8">
      <w:pPr>
        <w:pStyle w:val="Default"/>
        <w:spacing w:before="120" w:after="120"/>
        <w:contextualSpacing/>
        <w:jc w:val="both"/>
        <w:rPr>
          <w:rFonts w:asciiTheme="minorHAnsi" w:hAnsiTheme="minorHAnsi" w:cstheme="minorHAnsi"/>
          <w:sz w:val="22"/>
          <w:szCs w:val="22"/>
        </w:rPr>
      </w:pPr>
      <w:r w:rsidRPr="008F0C38">
        <w:rPr>
          <w:rFonts w:asciiTheme="minorHAnsi" w:hAnsiTheme="minorHAnsi" w:cstheme="minorHAnsi"/>
          <w:sz w:val="22"/>
          <w:szCs w:val="22"/>
        </w:rPr>
        <w:t>The NDIS Code of Conduct requires all NDIS providers and workers who provide NDIS supports or services to NDIS participants to, among other things:</w:t>
      </w:r>
    </w:p>
    <w:p w14:paraId="6276CBDC" w14:textId="77777777" w:rsidR="004D3DC8" w:rsidRPr="008F0C38" w:rsidRDefault="00EF4BE7" w:rsidP="003A17F9">
      <w:pPr>
        <w:pStyle w:val="Bullet1"/>
        <w:numPr>
          <w:ilvl w:val="0"/>
          <w:numId w:val="44"/>
        </w:numPr>
      </w:pPr>
      <w:r w:rsidRPr="008F0C38">
        <w:t>Act with respect for individual rights to freedom of expression, self-determination and decision-making in accordance with applicable laws and conventions</w:t>
      </w:r>
      <w:r>
        <w:t>.</w:t>
      </w:r>
    </w:p>
    <w:p w14:paraId="0277933D" w14:textId="77777777" w:rsidR="004D3DC8" w:rsidRPr="008F0C38" w:rsidRDefault="00EF4BE7" w:rsidP="003A17F9">
      <w:pPr>
        <w:pStyle w:val="Bullet1"/>
        <w:numPr>
          <w:ilvl w:val="0"/>
          <w:numId w:val="44"/>
        </w:numPr>
      </w:pPr>
      <w:r w:rsidRPr="008F0C38">
        <w:t>Provide supports and services in</w:t>
      </w:r>
      <w:r w:rsidR="004D3DC8" w:rsidRPr="008F0C38">
        <w:t xml:space="preserve"> a safe and competent manner with care and skill</w:t>
      </w:r>
      <w:r>
        <w:t>.</w:t>
      </w:r>
    </w:p>
    <w:p w14:paraId="4058363F" w14:textId="77777777" w:rsidR="004D3DC8" w:rsidRPr="008F0C38" w:rsidRDefault="00EF4BE7" w:rsidP="003A17F9">
      <w:pPr>
        <w:pStyle w:val="Bullet1"/>
        <w:numPr>
          <w:ilvl w:val="0"/>
          <w:numId w:val="44"/>
        </w:numPr>
      </w:pPr>
      <w:r w:rsidRPr="008F0C38">
        <w:t xml:space="preserve">Promptly take steps to raise and act on concerns about matters that may impact the quality and safety of supports </w:t>
      </w:r>
      <w:r w:rsidR="004D3DC8" w:rsidRPr="008F0C38">
        <w:t>and services provided to people with disability.</w:t>
      </w:r>
    </w:p>
    <w:p w14:paraId="1325D360" w14:textId="77777777" w:rsidR="004D3DC8" w:rsidRPr="008F0C38" w:rsidRDefault="004D3DC8" w:rsidP="000B082D">
      <w:pPr>
        <w:pStyle w:val="Heading3"/>
      </w:pPr>
      <w:r w:rsidRPr="008F0C38">
        <w:t xml:space="preserve">NDIS Practice Standards </w:t>
      </w:r>
    </w:p>
    <w:p w14:paraId="3621E134" w14:textId="18AD1282" w:rsidR="008A5363" w:rsidRDefault="00624FB4" w:rsidP="00FB5166">
      <w:r>
        <w:t xml:space="preserve">If you are a registered NDIS provider, you must comply with the NDIS Practice Standards contained in the </w:t>
      </w:r>
      <w:hyperlink r:id="rId17" w:history="1">
        <w:r>
          <w:rPr>
            <w:rStyle w:val="Hyperlink"/>
            <w:rFonts w:asciiTheme="majorHAnsi" w:eastAsia="Calibri" w:hAnsiTheme="majorHAnsi" w:cstheme="majorHAnsi"/>
            <w:color w:val="0000FF"/>
          </w:rPr>
          <w:t>National Disability Insurance Scheme (Provider Registration and Practice Standards) Rules 2018</w:t>
        </w:r>
      </w:hyperlink>
      <w:r>
        <w:t xml:space="preserve"> as part </w:t>
      </w:r>
      <w:r w:rsidR="008A5363">
        <w:t>of your conditions of registration. The NDIS Practice Standards relate to the delivery of safe, quality supports and services, and the management of risks associated with the supports you provide to NDIS participants.</w:t>
      </w:r>
    </w:p>
    <w:p w14:paraId="4CC94E3F" w14:textId="77777777" w:rsidR="008A5363" w:rsidRDefault="008A5363" w:rsidP="00FB5166">
      <w:pPr>
        <w:rPr>
          <w:rFonts w:eastAsia="Times New Roman"/>
          <w:color w:val="000000"/>
        </w:rPr>
      </w:pPr>
      <w:r>
        <w:t xml:space="preserve">To achieve compliance with the NDIS Practice Standards, providers should demonstrate compliance with the </w:t>
      </w:r>
      <w:hyperlink r:id="rId18" w:history="1">
        <w:r>
          <w:rPr>
            <w:rStyle w:val="Hyperlink"/>
            <w:rFonts w:asciiTheme="majorHAnsi" w:eastAsia="Calibri" w:hAnsiTheme="majorHAnsi" w:cstheme="majorHAnsi"/>
            <w:color w:val="0000FF"/>
          </w:rPr>
          <w:t>National Disability Insurance Scheme (Quality Indicators for NDIS Practice Standards) Guidelines 2018</w:t>
        </w:r>
      </w:hyperlink>
      <w:r>
        <w:t xml:space="preserve">. </w:t>
      </w:r>
      <w:r>
        <w:rPr>
          <w:rFonts w:eastAsia="Times New Roman"/>
          <w:color w:val="000000"/>
        </w:rPr>
        <w:t xml:space="preserve">The NDIS Commission’s guidance on the </w:t>
      </w:r>
      <w:hyperlink r:id="rId19" w:history="1">
        <w:r>
          <w:rPr>
            <w:rStyle w:val="Hyperlink"/>
            <w:rFonts w:asciiTheme="majorHAnsi" w:eastAsia="Calibri" w:hAnsiTheme="majorHAnsi" w:cstheme="majorHAnsi"/>
            <w:color w:val="0000FF"/>
          </w:rPr>
          <w:t>NDIS Practice Standards and Quality Indicators</w:t>
        </w:r>
      </w:hyperlink>
      <w:r>
        <w:rPr>
          <w:rFonts w:eastAsia="Times New Roman"/>
          <w:color w:val="000000"/>
        </w:rPr>
        <w:t xml:space="preserve"> provides a further resource to assist registered NDIS providers to understand their obligations in relation to participants. </w:t>
      </w:r>
    </w:p>
    <w:p w14:paraId="61CBB63A" w14:textId="77777777" w:rsidR="008A5363" w:rsidRDefault="008A5363" w:rsidP="00FB5166">
      <w:pPr>
        <w:rPr>
          <w:rStyle w:val="None"/>
          <w:rFonts w:asciiTheme="minorHAnsi" w:hAnsiTheme="minorHAnsi" w:cstheme="minorHAnsi"/>
          <w:u w:val="single"/>
        </w:rPr>
      </w:pPr>
      <w:r>
        <w:t>The NDIS Practice Standards that are most relevant to this alert include:</w:t>
      </w:r>
      <w:r>
        <w:rPr>
          <w:rStyle w:val="None"/>
          <w:rFonts w:asciiTheme="minorHAnsi" w:hAnsiTheme="minorHAnsi" w:cstheme="minorHAnsi"/>
          <w:u w:val="single"/>
        </w:rPr>
        <w:t xml:space="preserve"> </w:t>
      </w:r>
    </w:p>
    <w:p w14:paraId="7A9E8EA2" w14:textId="77777777" w:rsidR="004D3DC8" w:rsidRPr="008F0C38" w:rsidRDefault="004D3DC8" w:rsidP="003A17F9">
      <w:pPr>
        <w:pStyle w:val="Bullet1"/>
        <w:numPr>
          <w:ilvl w:val="0"/>
          <w:numId w:val="38"/>
        </w:numPr>
      </w:pPr>
      <w:r w:rsidRPr="008F0C38">
        <w:rPr>
          <w:b/>
          <w:bCs/>
        </w:rPr>
        <w:t xml:space="preserve">Support planning: </w:t>
      </w:r>
      <w:r w:rsidRPr="008F0C38">
        <w:t xml:space="preserve">each participant is actively involved in the development of their support plans. Support plans reflect participant needs, requirements, preferences, strengths, and goals, and are regularly reviewed. </w:t>
      </w:r>
    </w:p>
    <w:p w14:paraId="2FD2CB39" w14:textId="77777777" w:rsidR="004D3DC8" w:rsidRPr="008F0C38" w:rsidRDefault="004D3DC8" w:rsidP="003A17F9">
      <w:pPr>
        <w:pStyle w:val="Bullet1"/>
        <w:numPr>
          <w:ilvl w:val="0"/>
          <w:numId w:val="38"/>
        </w:numPr>
      </w:pPr>
      <w:r w:rsidRPr="008F0C38">
        <w:rPr>
          <w:b/>
          <w:bCs/>
        </w:rPr>
        <w:t xml:space="preserve">Access to supports: </w:t>
      </w:r>
      <w:r w:rsidRPr="008F0C38">
        <w:t>each participant accesses the most appropriate supports that meet their needs, goals and preferences.</w:t>
      </w:r>
    </w:p>
    <w:p w14:paraId="44CB129D" w14:textId="77777777" w:rsidR="004D3DC8" w:rsidRPr="008F0C38" w:rsidRDefault="004D3DC8" w:rsidP="003A17F9">
      <w:pPr>
        <w:pStyle w:val="Bullet1"/>
        <w:numPr>
          <w:ilvl w:val="0"/>
          <w:numId w:val="38"/>
        </w:numPr>
      </w:pPr>
      <w:r w:rsidRPr="008F0C38">
        <w:rPr>
          <w:b/>
        </w:rPr>
        <w:t xml:space="preserve">Responsive Support Provision: </w:t>
      </w:r>
      <w:r w:rsidRPr="008F0C38">
        <w:t>Each participant accesses responsive, timely, competent and appropriate supports to meet their needs, desired outcomes and goals.</w:t>
      </w:r>
    </w:p>
    <w:p w14:paraId="3D95E0C2" w14:textId="77777777" w:rsidR="004D3DC8" w:rsidRPr="008F0C38" w:rsidRDefault="004D3DC8" w:rsidP="003A17F9">
      <w:pPr>
        <w:pStyle w:val="Bullet1"/>
        <w:numPr>
          <w:ilvl w:val="0"/>
          <w:numId w:val="38"/>
        </w:numPr>
      </w:pPr>
      <w:r w:rsidRPr="008F0C38">
        <w:rPr>
          <w:b/>
        </w:rPr>
        <w:t xml:space="preserve">Incident Management: </w:t>
      </w:r>
      <w:r w:rsidRPr="008F0C38">
        <w:t xml:space="preserve">Each participant is safeguarded by the provider’s incident management system, ensuring that incidents are acknowledged, responded to, well-managed and learned from. </w:t>
      </w:r>
    </w:p>
    <w:p w14:paraId="39DC5682" w14:textId="77777777" w:rsidR="004D3DC8" w:rsidRDefault="004D3DC8" w:rsidP="003A17F9">
      <w:pPr>
        <w:pStyle w:val="Bullet1"/>
        <w:numPr>
          <w:ilvl w:val="0"/>
          <w:numId w:val="38"/>
        </w:numPr>
      </w:pPr>
      <w:r w:rsidRPr="008F0C38">
        <w:rPr>
          <w:b/>
        </w:rPr>
        <w:t xml:space="preserve">Information Management: </w:t>
      </w:r>
      <w:r w:rsidRPr="008F0C38">
        <w:t xml:space="preserve">Each participant’s information is managed to ensure that it is identifiable, accurately recorded, current and confidential. Each participant’s information is easily accessible to the participant and appropriately utilised by relevant workers. </w:t>
      </w:r>
    </w:p>
    <w:p w14:paraId="54EF7F82" w14:textId="77777777" w:rsidR="009F5E50" w:rsidRDefault="009F5E50" w:rsidP="003A17F9">
      <w:pPr>
        <w:pStyle w:val="Bullet1"/>
        <w:numPr>
          <w:ilvl w:val="0"/>
          <w:numId w:val="38"/>
        </w:numPr>
      </w:pPr>
      <w:r>
        <w:rPr>
          <w:b/>
        </w:rPr>
        <w:t>Safe Environment:</w:t>
      </w:r>
      <w:r>
        <w:t xml:space="preserve"> Each participant accesses supports in a safe environment that is appropriate to their needs.</w:t>
      </w:r>
    </w:p>
    <w:p w14:paraId="02FB869B" w14:textId="77777777" w:rsidR="009F5E50" w:rsidRPr="008F0C38" w:rsidRDefault="009F5E50" w:rsidP="003A17F9">
      <w:pPr>
        <w:pStyle w:val="Bullet1"/>
        <w:numPr>
          <w:ilvl w:val="0"/>
          <w:numId w:val="38"/>
        </w:numPr>
      </w:pPr>
      <w:r>
        <w:rPr>
          <w:b/>
        </w:rPr>
        <w:t>Risk Management:</w:t>
      </w:r>
      <w:r>
        <w:t xml:space="preserve"> Risks to participants, workers and the provider are identified and managed.</w:t>
      </w:r>
    </w:p>
    <w:p w14:paraId="06679CC3" w14:textId="77777777" w:rsidR="00245120" w:rsidRPr="00122222" w:rsidRDefault="00245120" w:rsidP="00245120">
      <w:pPr>
        <w:pStyle w:val="Heading3"/>
      </w:pPr>
      <w:r w:rsidRPr="00122222">
        <w:lastRenderedPageBreak/>
        <w:t xml:space="preserve">Worker </w:t>
      </w:r>
      <w:r>
        <w:t>C</w:t>
      </w:r>
      <w:r w:rsidRPr="00122222">
        <w:t xml:space="preserve">apability </w:t>
      </w:r>
    </w:p>
    <w:p w14:paraId="4FF59E03" w14:textId="77777777" w:rsidR="00245120" w:rsidRPr="003B0F71" w:rsidRDefault="00245120" w:rsidP="00245120">
      <w:pPr>
        <w:spacing w:after="200"/>
      </w:pPr>
      <w:r w:rsidRPr="0068126E">
        <w:t>Providers should consider how to increase NDIS worker</w:t>
      </w:r>
      <w:r>
        <w:t>s’ training</w:t>
      </w:r>
      <w:r w:rsidRPr="0068126E">
        <w:t xml:space="preserve"> and skills</w:t>
      </w:r>
      <w:r>
        <w:t xml:space="preserve"> in line with the </w:t>
      </w:r>
      <w:hyperlink r:id="rId20" w:history="1">
        <w:r w:rsidRPr="00054374">
          <w:rPr>
            <w:rStyle w:val="Hyperlink"/>
          </w:rPr>
          <w:t>NDIS Workforce Capability Framework</w:t>
        </w:r>
      </w:hyperlink>
      <w:r>
        <w:t xml:space="preserve">. </w:t>
      </w:r>
    </w:p>
    <w:p w14:paraId="1CBBBA44" w14:textId="77777777" w:rsidR="004D3DC8" w:rsidRPr="008F0C38" w:rsidRDefault="004D3DC8" w:rsidP="004D3DC8">
      <w:pPr>
        <w:pStyle w:val="Heading1"/>
      </w:pPr>
      <w:bookmarkStart w:id="11" w:name="_Resources"/>
      <w:bookmarkStart w:id="12" w:name="Resources"/>
      <w:bookmarkEnd w:id="11"/>
      <w:r w:rsidRPr="008F0C38">
        <w:t xml:space="preserve">Resources </w:t>
      </w:r>
      <w:bookmarkEnd w:id="12"/>
    </w:p>
    <w:p w14:paraId="68E57D72" w14:textId="172E05B1" w:rsidR="00E350EE" w:rsidRDefault="003B5CEE" w:rsidP="004D3DC8">
      <w:pPr>
        <w:pStyle w:val="Heading2"/>
      </w:pPr>
      <w:r>
        <w:t>About</w:t>
      </w:r>
      <w:r w:rsidR="008511A4">
        <w:t xml:space="preserve"> health</w:t>
      </w:r>
      <w:r w:rsidR="00BC1E1F">
        <w:t xml:space="preserve"> </w:t>
      </w:r>
      <w:r w:rsidR="000165D3">
        <w:t xml:space="preserve">and </w:t>
      </w:r>
      <w:r w:rsidR="00BC1E1F">
        <w:t>health</w:t>
      </w:r>
      <w:r w:rsidR="00532F29">
        <w:t xml:space="preserve"> </w:t>
      </w:r>
      <w:r w:rsidR="008511A4">
        <w:t xml:space="preserve">care </w:t>
      </w:r>
      <w:r w:rsidR="00BC1E1F">
        <w:t xml:space="preserve">services </w:t>
      </w:r>
    </w:p>
    <w:p w14:paraId="1BBE50D1" w14:textId="66877D0C" w:rsidR="00226685" w:rsidRDefault="004F709F" w:rsidP="006E49CF">
      <w:r>
        <w:t>These websites have information about staying healthy and getting a health or mental health assessment. There is also information on rights and ways to access health</w:t>
      </w:r>
      <w:r w:rsidR="00532F29">
        <w:t xml:space="preserve"> </w:t>
      </w:r>
      <w:r>
        <w:t>care.</w:t>
      </w:r>
    </w:p>
    <w:p w14:paraId="2F49CD25" w14:textId="77777777" w:rsidR="006E49CF" w:rsidRDefault="006E49CF" w:rsidP="006E49CF">
      <w:pPr>
        <w:pStyle w:val="Heading3"/>
      </w:pPr>
      <w:r>
        <w:t>Mental Health</w:t>
      </w:r>
    </w:p>
    <w:p w14:paraId="3D4FDC68" w14:textId="77777777" w:rsidR="006E49CF" w:rsidRPr="00C5554B" w:rsidRDefault="006E49CF" w:rsidP="00C5554B">
      <w:pPr>
        <w:pStyle w:val="ListParagraph"/>
        <w:numPr>
          <w:ilvl w:val="0"/>
          <w:numId w:val="46"/>
        </w:numPr>
      </w:pPr>
      <w:hyperlink r:id="rId21" w:history="1">
        <w:r w:rsidRPr="00C5554B">
          <w:rPr>
            <w:rStyle w:val="Hyperlink"/>
          </w:rPr>
          <w:t>Resources | Department of Developmental Disability Neuropsychiatry (3DN) (unsw.edu.au)</w:t>
        </w:r>
      </w:hyperlink>
      <w:r w:rsidRPr="00C5554B">
        <w:t xml:space="preserve"> has tools and training resources for all audiences, including resources </w:t>
      </w:r>
      <w:hyperlink r:id="rId22" w:history="1">
        <w:r w:rsidRPr="00C5554B">
          <w:rPr>
            <w:rStyle w:val="Hyperlink"/>
          </w:rPr>
          <w:t>for people with lived experience of disability</w:t>
        </w:r>
      </w:hyperlink>
      <w:r w:rsidRPr="00C5554B">
        <w:t xml:space="preserve"> and Easy Read fact sheets on </w:t>
      </w:r>
      <w:hyperlink r:id="rId23" w:history="1">
        <w:r w:rsidRPr="00C5554B">
          <w:rPr>
            <w:rStyle w:val="Hyperlink"/>
          </w:rPr>
          <w:t>getting help with your mental health</w:t>
        </w:r>
      </w:hyperlink>
      <w:r w:rsidRPr="00C5554B">
        <w:t xml:space="preserve">. </w:t>
      </w:r>
    </w:p>
    <w:p w14:paraId="3BC76510" w14:textId="77777777" w:rsidR="006E49CF" w:rsidRDefault="006E49CF" w:rsidP="006E49CF">
      <w:pPr>
        <w:pStyle w:val="Heading3"/>
      </w:pPr>
      <w:r>
        <w:t>Mental Health - Easy Read Information</w:t>
      </w:r>
    </w:p>
    <w:p w14:paraId="6B7CE423" w14:textId="77777777" w:rsidR="006E49CF" w:rsidRDefault="006E49CF" w:rsidP="00C5554B">
      <w:pPr>
        <w:pStyle w:val="ListParagraph"/>
        <w:numPr>
          <w:ilvl w:val="0"/>
          <w:numId w:val="46"/>
        </w:numPr>
      </w:pPr>
      <w:hyperlink r:id="rId24" w:history="1">
        <w:r>
          <w:rPr>
            <w:rStyle w:val="Hyperlink"/>
          </w:rPr>
          <w:t>Preventive healthcare for people with intellectual disability | Department of Developmental Disability Neuropsychiatry (3DN) (unsw.edu.au)</w:t>
        </w:r>
      </w:hyperlink>
      <w:r>
        <w:t xml:space="preserve"> contains a</w:t>
      </w:r>
      <w:r w:rsidRPr="00245120">
        <w:t xml:space="preserve"> 4-part Easy Read series</w:t>
      </w:r>
      <w:r>
        <w:t xml:space="preserve"> on preventative health.</w:t>
      </w:r>
    </w:p>
    <w:p w14:paraId="3148FDF0" w14:textId="77777777" w:rsidR="006E49CF" w:rsidRDefault="006E49CF" w:rsidP="00C5554B">
      <w:pPr>
        <w:pStyle w:val="ListParagraph"/>
        <w:numPr>
          <w:ilvl w:val="0"/>
          <w:numId w:val="46"/>
        </w:numPr>
      </w:pPr>
      <w:hyperlink r:id="rId25" w:history="1">
        <w:r>
          <w:rPr>
            <w:rStyle w:val="Hyperlink"/>
          </w:rPr>
          <w:t>Mental health - Council for Intellectual Disability (cid.org.au)</w:t>
        </w:r>
      </w:hyperlink>
      <w:r>
        <w:t xml:space="preserve"> and </w:t>
      </w:r>
      <w:hyperlink r:id="rId26" w:history="1">
        <w:r>
          <w:rPr>
            <w:rStyle w:val="Hyperlink"/>
          </w:rPr>
          <w:t>Tips to help mental health - Council for Intellectual Disability (cid.org.au)</w:t>
        </w:r>
      </w:hyperlink>
      <w:r>
        <w:t xml:space="preserve"> are Easy Read information</w:t>
      </w:r>
      <w:r w:rsidRPr="005E62BA">
        <w:t xml:space="preserve"> about what mental health is, and tips for good mental health.</w:t>
      </w:r>
    </w:p>
    <w:p w14:paraId="5842B754" w14:textId="77777777" w:rsidR="006E49CF" w:rsidRDefault="006E49CF" w:rsidP="00C610F3">
      <w:pPr>
        <w:pStyle w:val="Heading3"/>
      </w:pPr>
      <w:r>
        <w:t>General Health Checks</w:t>
      </w:r>
    </w:p>
    <w:p w14:paraId="127FF4E0" w14:textId="77777777" w:rsidR="006E49CF" w:rsidRPr="00C92B65" w:rsidRDefault="006E49CF" w:rsidP="00C92B65">
      <w:pPr>
        <w:pStyle w:val="ListParagraph"/>
        <w:numPr>
          <w:ilvl w:val="0"/>
          <w:numId w:val="47"/>
        </w:numPr>
        <w:rPr>
          <w:rStyle w:val="Hyperlink"/>
          <w:color w:val="auto"/>
          <w:u w:val="none"/>
        </w:rPr>
      </w:pPr>
      <w:hyperlink r:id="rId27" w:history="1">
        <w:r>
          <w:rPr>
            <w:rStyle w:val="Hyperlink"/>
          </w:rPr>
          <w:t>Our health fact sheets - Council for Intellectual Disability (cid.org.au)</w:t>
        </w:r>
      </w:hyperlink>
      <w:r w:rsidRPr="00C92B65">
        <w:rPr>
          <w:rStyle w:val="Hyperlink"/>
          <w:color w:val="auto"/>
          <w:u w:val="none"/>
        </w:rPr>
        <w:t xml:space="preserve"> covers 30 topics in Easy Read about health and health services for people with intellectual disability.</w:t>
      </w:r>
      <w:r w:rsidRPr="00B31FC0">
        <w:t xml:space="preserve"> </w:t>
      </w:r>
      <w:r w:rsidRPr="00C92B65">
        <w:rPr>
          <w:rStyle w:val="Hyperlink"/>
          <w:color w:val="auto"/>
          <w:u w:val="none"/>
        </w:rPr>
        <w:t>You can download the topics that interest you.</w:t>
      </w:r>
    </w:p>
    <w:p w14:paraId="51E1E34E" w14:textId="77777777" w:rsidR="006E49CF" w:rsidRDefault="006E49CF" w:rsidP="00C92B65">
      <w:pPr>
        <w:pStyle w:val="ListParagraph"/>
        <w:numPr>
          <w:ilvl w:val="0"/>
          <w:numId w:val="47"/>
        </w:numPr>
      </w:pPr>
      <w:hyperlink r:id="rId28" w:history="1">
        <w:r>
          <w:rPr>
            <w:rStyle w:val="Hyperlink"/>
          </w:rPr>
          <w:t>Resources &amp; Links – CDDH (monashhealth.org)</w:t>
        </w:r>
      </w:hyperlink>
      <w:r>
        <w:t xml:space="preserve"> contains health resources </w:t>
      </w:r>
      <w:r w:rsidRPr="00634DDC">
        <w:t>for people with an intellectual disability, families</w:t>
      </w:r>
      <w:r>
        <w:t xml:space="preserve">, carers, providers and health practitioners. </w:t>
      </w:r>
    </w:p>
    <w:p w14:paraId="61DA0E6F" w14:textId="77777777" w:rsidR="006E49CF" w:rsidRDefault="006E49CF" w:rsidP="00C92B65">
      <w:pPr>
        <w:pStyle w:val="ListParagraph"/>
        <w:numPr>
          <w:ilvl w:val="0"/>
          <w:numId w:val="47"/>
        </w:numPr>
      </w:pPr>
      <w:hyperlink r:id="rId29" w:history="1">
        <w:r>
          <w:rPr>
            <w:rStyle w:val="Hyperlink"/>
          </w:rPr>
          <w:t>Health Care Guide (notredame.edu.au)</w:t>
        </w:r>
      </w:hyperlink>
      <w:r>
        <w:t xml:space="preserve"> is a comprehensive guide for </w:t>
      </w:r>
      <w:r w:rsidRPr="00634DDC">
        <w:t>families</w:t>
      </w:r>
      <w:r>
        <w:t xml:space="preserve">, carers, providers and health practitioners to </w:t>
      </w:r>
      <w:r w:rsidRPr="00106F1D">
        <w:t>better understand and meet the healthcare needs of people with cognitive impairment or intellectual disability</w:t>
      </w:r>
      <w:r>
        <w:t xml:space="preserve">. </w:t>
      </w:r>
    </w:p>
    <w:p w14:paraId="0568B622" w14:textId="77777777" w:rsidR="006E49CF" w:rsidRDefault="006E49CF" w:rsidP="00C92B65">
      <w:pPr>
        <w:pStyle w:val="ListParagraph"/>
        <w:numPr>
          <w:ilvl w:val="0"/>
          <w:numId w:val="47"/>
        </w:numPr>
      </w:pPr>
      <w:hyperlink r:id="rId30" w:history="1">
        <w:r>
          <w:rPr>
            <w:rStyle w:val="Hyperlink"/>
          </w:rPr>
          <w:t>IDEAS</w:t>
        </w:r>
      </w:hyperlink>
      <w:r>
        <w:t xml:space="preserve"> </w:t>
      </w:r>
      <w:r w:rsidRPr="00764D19">
        <w:t>provides independent information for people with disability</w:t>
      </w:r>
      <w:r w:rsidRPr="008F0C38">
        <w:t xml:space="preserve">, family, </w:t>
      </w:r>
      <w:r>
        <w:t>carers</w:t>
      </w:r>
      <w:r w:rsidRPr="008F0C38">
        <w:t xml:space="preserve"> and workers. </w:t>
      </w:r>
      <w:r>
        <w:t>This links to health resources.</w:t>
      </w:r>
    </w:p>
    <w:p w14:paraId="1D1FE8DB" w14:textId="77777777" w:rsidR="006E49CF" w:rsidRDefault="006E49CF" w:rsidP="00C92B65">
      <w:pPr>
        <w:pStyle w:val="ListParagraph"/>
        <w:numPr>
          <w:ilvl w:val="0"/>
          <w:numId w:val="47"/>
        </w:numPr>
      </w:pPr>
      <w:hyperlink r:id="rId31" w:history="1">
        <w:r>
          <w:rPr>
            <w:rStyle w:val="Hyperlink"/>
          </w:rPr>
          <w:t>Find a health service | healthdirect</w:t>
        </w:r>
      </w:hyperlink>
      <w:r w:rsidRPr="008F0C38">
        <w:t xml:space="preserve"> is </w:t>
      </w:r>
      <w:r w:rsidRPr="00B42587">
        <w:t>the national virtual public health information service</w:t>
      </w:r>
      <w:r>
        <w:t xml:space="preserve"> with </w:t>
      </w:r>
      <w:r w:rsidRPr="008F0C38">
        <w:t xml:space="preserve">a web-based health </w:t>
      </w:r>
      <w:r>
        <w:t>directory.</w:t>
      </w:r>
    </w:p>
    <w:p w14:paraId="6C34DD5E" w14:textId="77777777" w:rsidR="006E49CF" w:rsidRDefault="006E49CF" w:rsidP="00C92B65">
      <w:pPr>
        <w:pStyle w:val="ListParagraph"/>
        <w:numPr>
          <w:ilvl w:val="0"/>
          <w:numId w:val="47"/>
        </w:numPr>
      </w:pPr>
      <w:hyperlink r:id="rId32" w:history="1">
        <w:r>
          <w:rPr>
            <w:rStyle w:val="Hyperlink"/>
          </w:rPr>
          <w:t>Your local Primary Health Network | Australian Government Department of Health and Aged Care</w:t>
        </w:r>
      </w:hyperlink>
      <w:r>
        <w:t xml:space="preserve"> can help p</w:t>
      </w:r>
      <w:r w:rsidRPr="008F0C38">
        <w:t xml:space="preserve">articipants, families and </w:t>
      </w:r>
      <w:r>
        <w:t>p</w:t>
      </w:r>
      <w:r w:rsidRPr="008F0C38">
        <w:t xml:space="preserve">roviders seek advice and assistance with information about health services, special interests and languages spoken. </w:t>
      </w:r>
    </w:p>
    <w:p w14:paraId="431D47C0" w14:textId="77777777" w:rsidR="006E49CF" w:rsidRDefault="006E49CF" w:rsidP="00C92B65">
      <w:pPr>
        <w:pStyle w:val="ListParagraph"/>
        <w:numPr>
          <w:ilvl w:val="0"/>
          <w:numId w:val="47"/>
        </w:numPr>
      </w:pPr>
      <w:hyperlink r:id="rId33" w:history="1">
        <w:r>
          <w:rPr>
            <w:rStyle w:val="Hyperlink"/>
          </w:rPr>
          <w:t>Understanding your rights | Australian Commission on Safety and Quality in Health Care</w:t>
        </w:r>
      </w:hyperlink>
      <w:r>
        <w:t xml:space="preserve"> i</w:t>
      </w:r>
      <w:r w:rsidRPr="008F0C38">
        <w:t xml:space="preserve">nformation about your health care </w:t>
      </w:r>
      <w:r>
        <w:t xml:space="preserve">rights and </w:t>
      </w:r>
      <w:hyperlink r:id="rId34" w:history="1">
        <w:r w:rsidRPr="00405AD0">
          <w:rPr>
            <w:rStyle w:val="Hyperlink"/>
          </w:rPr>
          <w:t>high quality standards of care</w:t>
        </w:r>
      </w:hyperlink>
      <w:r>
        <w:t>.</w:t>
      </w:r>
    </w:p>
    <w:p w14:paraId="55565A1B" w14:textId="02F2FBA9" w:rsidR="006E49CF" w:rsidRDefault="006E49CF" w:rsidP="00C92B65">
      <w:pPr>
        <w:pStyle w:val="ListParagraph"/>
        <w:numPr>
          <w:ilvl w:val="0"/>
          <w:numId w:val="47"/>
        </w:numPr>
      </w:pPr>
      <w:hyperlink r:id="rId35" w:history="1">
        <w:r>
          <w:rPr>
            <w:rStyle w:val="Hyperlink"/>
          </w:rPr>
          <w:t>Department of Health and Aged Care | Medicare Benefits Schedule (MBS) Health assessment for people with an intellectual disability</w:t>
        </w:r>
      </w:hyperlink>
      <w:r>
        <w:t xml:space="preserve"> </w:t>
      </w:r>
      <w:r w:rsidRPr="008F0C38">
        <w:t>factsheet</w:t>
      </w:r>
      <w:r>
        <w:t>.</w:t>
      </w:r>
      <w:r w:rsidRPr="008F0C38">
        <w:t xml:space="preserve"> The Medicare Benefits Schedule allows for brief, standard, long or prolonged consultation times with </w:t>
      </w:r>
      <w:r w:rsidR="005A3E71">
        <w:t>the doctor</w:t>
      </w:r>
      <w:r w:rsidRPr="008F0C38">
        <w:t>.</w:t>
      </w:r>
    </w:p>
    <w:p w14:paraId="1D035C05" w14:textId="77777777" w:rsidR="006E49CF" w:rsidRDefault="006E49CF" w:rsidP="00C610F3">
      <w:pPr>
        <w:pStyle w:val="Heading3"/>
      </w:pPr>
      <w:r>
        <w:lastRenderedPageBreak/>
        <w:t>General Health Checks - Easy Read Information</w:t>
      </w:r>
    </w:p>
    <w:p w14:paraId="24EDDFAB" w14:textId="3ECE3AFC" w:rsidR="006E49CF" w:rsidRDefault="006E49CF" w:rsidP="00C92B65">
      <w:pPr>
        <w:pStyle w:val="ListParagraph"/>
        <w:numPr>
          <w:ilvl w:val="0"/>
          <w:numId w:val="48"/>
        </w:numPr>
      </w:pPr>
      <w:hyperlink r:id="rId36" w:history="1">
        <w:r>
          <w:rPr>
            <w:rStyle w:val="Hyperlink"/>
          </w:rPr>
          <w:t>Yearly Health Check fact sheet - Council for Intellectual Disability (cid.org.au)</w:t>
        </w:r>
      </w:hyperlink>
      <w:r>
        <w:t xml:space="preserve"> </w:t>
      </w:r>
      <w:r w:rsidRPr="00B42587">
        <w:t>tells you about yearly health checks</w:t>
      </w:r>
      <w:r>
        <w:t xml:space="preserve"> at</w:t>
      </w:r>
      <w:r w:rsidRPr="00245120">
        <w:t xml:space="preserve"> the </w:t>
      </w:r>
      <w:r w:rsidR="005A3E71">
        <w:t>doctors</w:t>
      </w:r>
      <w:r w:rsidRPr="00245120">
        <w:t xml:space="preserve"> </w:t>
      </w:r>
      <w:r w:rsidR="00871612">
        <w:t>to</w:t>
      </w:r>
      <w:r w:rsidRPr="00245120">
        <w:t xml:space="preserve"> help </w:t>
      </w:r>
      <w:r>
        <w:t xml:space="preserve">people with disability </w:t>
      </w:r>
      <w:r w:rsidRPr="00245120">
        <w:t>stay healthy</w:t>
      </w:r>
      <w:r>
        <w:t xml:space="preserve"> </w:t>
      </w:r>
      <w:r w:rsidRPr="00C92B65">
        <w:rPr>
          <w:rStyle w:val="Hyperlink"/>
          <w:color w:val="auto"/>
          <w:u w:val="none"/>
        </w:rPr>
        <w:t>in Easy Read</w:t>
      </w:r>
      <w:r w:rsidRPr="00245120">
        <w:t xml:space="preserve">.  </w:t>
      </w:r>
    </w:p>
    <w:p w14:paraId="5384FD6D" w14:textId="77777777" w:rsidR="00871612" w:rsidRDefault="006E49CF" w:rsidP="00C92B65">
      <w:pPr>
        <w:pStyle w:val="ListParagraph"/>
        <w:numPr>
          <w:ilvl w:val="0"/>
          <w:numId w:val="48"/>
        </w:numPr>
      </w:pPr>
      <w:hyperlink r:id="rId37" w:history="1">
        <w:r>
          <w:rPr>
            <w:rStyle w:val="Hyperlink"/>
          </w:rPr>
          <w:t>Types of Health Checks fact sheet - Council for Intellectual Disability (cid.org.au)</w:t>
        </w:r>
      </w:hyperlink>
      <w:r>
        <w:t xml:space="preserve"> </w:t>
      </w:r>
      <w:r w:rsidRPr="00BC1E1F">
        <w:t>tells you about the different types of health checks</w:t>
      </w:r>
      <w:r>
        <w:t xml:space="preserve"> </w:t>
      </w:r>
      <w:r w:rsidRPr="00C92B65">
        <w:rPr>
          <w:rStyle w:val="Hyperlink"/>
          <w:color w:val="auto"/>
          <w:u w:val="none"/>
        </w:rPr>
        <w:t>in Easy Read</w:t>
      </w:r>
      <w:r w:rsidRPr="00BC1E1F">
        <w:t>.</w:t>
      </w:r>
    </w:p>
    <w:p w14:paraId="27B03E11" w14:textId="4E3BB9FD" w:rsidR="006E49CF" w:rsidRPr="008F0C38" w:rsidRDefault="006E49CF" w:rsidP="00C92B65">
      <w:pPr>
        <w:pStyle w:val="ListParagraph"/>
        <w:numPr>
          <w:ilvl w:val="0"/>
          <w:numId w:val="48"/>
        </w:numPr>
      </w:pPr>
      <w:hyperlink r:id="rId38" w:history="1">
        <w:r>
          <w:rPr>
            <w:rStyle w:val="Hyperlink"/>
          </w:rPr>
          <w:t>Goals of Care - Easy English | Australian Commission on Safety and Quality in Health Care</w:t>
        </w:r>
      </w:hyperlink>
      <w:r>
        <w:t xml:space="preserve">  Easy</w:t>
      </w:r>
      <w:r w:rsidR="00871612">
        <w:t xml:space="preserve"> </w:t>
      </w:r>
      <w:r>
        <w:t>Read information about your goals of health care.</w:t>
      </w:r>
    </w:p>
    <w:p w14:paraId="4B749467" w14:textId="292FF8AD" w:rsidR="00226685" w:rsidRDefault="008511A4" w:rsidP="004D3DC8">
      <w:pPr>
        <w:pStyle w:val="Heading2"/>
      </w:pPr>
      <w:r>
        <w:t>Health</w:t>
      </w:r>
      <w:r w:rsidRPr="008F0C38">
        <w:t xml:space="preserve"> </w:t>
      </w:r>
      <w:r w:rsidR="00AB1FDE" w:rsidRPr="008F0C38">
        <w:t>assessment</w:t>
      </w:r>
      <w:r>
        <w:t xml:space="preserve"> tools and resources</w:t>
      </w:r>
    </w:p>
    <w:p w14:paraId="526DFEDF" w14:textId="39B1500A" w:rsidR="004D3DC8" w:rsidRDefault="00226685" w:rsidP="00FB5166">
      <w:r w:rsidRPr="008F0C38">
        <w:t>The following websites provide a variety of tools, easy read documents and resources to assist participants, families and NDIS workers with health appointments and procedures</w:t>
      </w:r>
      <w:r w:rsidR="00FB5166">
        <w:t>.</w:t>
      </w:r>
    </w:p>
    <w:p w14:paraId="19B7B701" w14:textId="064AEE47" w:rsidR="00E34897" w:rsidRDefault="00E34897" w:rsidP="001A6460">
      <w:pPr>
        <w:pStyle w:val="Heading3"/>
      </w:pPr>
      <w:r>
        <w:t>Participants</w:t>
      </w:r>
      <w:r w:rsidR="001F4F91">
        <w:t xml:space="preserve">, </w:t>
      </w:r>
      <w:r>
        <w:t>families</w:t>
      </w:r>
      <w:r w:rsidR="001F4F91">
        <w:t xml:space="preserve"> and </w:t>
      </w:r>
      <w:r w:rsidR="00A506A1">
        <w:t>workers</w:t>
      </w:r>
      <w:r w:rsidR="00A06055">
        <w:t xml:space="preserve"> </w:t>
      </w:r>
    </w:p>
    <w:p w14:paraId="367E0A37" w14:textId="5AC3874D" w:rsidR="00E34897" w:rsidRDefault="00E34897" w:rsidP="003A17F9">
      <w:pPr>
        <w:pStyle w:val="Bullet1"/>
      </w:pPr>
      <w:hyperlink r:id="rId39" w:history="1">
        <w:r>
          <w:rPr>
            <w:rStyle w:val="Hyperlink"/>
          </w:rPr>
          <w:t>Adult Comprehensive Health Assessment Program (CHAP) – Annual Health Assessment for People with Intellectual Disability | Australian Government Department of Health and Aged Care</w:t>
        </w:r>
      </w:hyperlink>
      <w:r>
        <w:t xml:space="preserve"> </w:t>
      </w:r>
      <w:r w:rsidRPr="008F0C38">
        <w:t>is a validated tool to assist the participant</w:t>
      </w:r>
      <w:r>
        <w:t xml:space="preserve"> and/or support person to</w:t>
      </w:r>
      <w:r w:rsidRPr="008F0C38">
        <w:t xml:space="preserve"> gather information for a comprehensive health assessment</w:t>
      </w:r>
      <w:r w:rsidR="00A06055">
        <w:t xml:space="preserve"> for people with intellectual disability</w:t>
      </w:r>
      <w:r w:rsidRPr="008F0C38">
        <w:t xml:space="preserve">. </w:t>
      </w:r>
      <w:r>
        <w:t>W</w:t>
      </w:r>
      <w:r w:rsidRPr="008F0C38">
        <w:t xml:space="preserve">orkers can assist the participant to gather information and provide it to the </w:t>
      </w:r>
      <w:r w:rsidR="00871612">
        <w:t>doctor</w:t>
      </w:r>
      <w:r w:rsidRPr="008F0C38">
        <w:t xml:space="preserve"> for review.</w:t>
      </w:r>
      <w:r w:rsidRPr="008511A4">
        <w:t xml:space="preserve"> </w:t>
      </w:r>
    </w:p>
    <w:p w14:paraId="1C5AA49E" w14:textId="77777777" w:rsidR="00E34897" w:rsidRDefault="00E34897" w:rsidP="003A17F9">
      <w:pPr>
        <w:pStyle w:val="Bullet1"/>
      </w:pPr>
      <w:hyperlink r:id="rId40" w:history="1">
        <w:r>
          <w:rPr>
            <w:rStyle w:val="Hyperlink"/>
          </w:rPr>
          <w:t>Health Screening Tool – Down Syndrome Australia</w:t>
        </w:r>
      </w:hyperlink>
      <w:r>
        <w:t xml:space="preserve"> </w:t>
      </w:r>
      <w:r w:rsidRPr="00487C16">
        <w:t>provides information about additional health screenings that should be available to people with Down syndrome</w:t>
      </w:r>
      <w:r>
        <w:t>.</w:t>
      </w:r>
    </w:p>
    <w:p w14:paraId="5C6A038F" w14:textId="77777777" w:rsidR="00E34897" w:rsidRDefault="00E34897" w:rsidP="003A17F9">
      <w:pPr>
        <w:pStyle w:val="Bullet1"/>
        <w:rPr>
          <w:rStyle w:val="Hyperlink"/>
          <w:color w:val="auto"/>
          <w:u w:val="none"/>
        </w:rPr>
      </w:pPr>
      <w:hyperlink r:id="rId41" w:history="1">
        <w:r>
          <w:rPr>
            <w:rStyle w:val="Hyperlink"/>
          </w:rPr>
          <w:t>My Health Matters folder - Council for Intellectual Disability (cid.org.au)</w:t>
        </w:r>
      </w:hyperlink>
      <w:r>
        <w:t xml:space="preserve"> is </w:t>
      </w:r>
      <w:r w:rsidRPr="000165D3">
        <w:t>an Easy Read folder created to improve communication between people with an intellectual disability and their healthcare providers</w:t>
      </w:r>
      <w:r>
        <w:t xml:space="preserve"> and </w:t>
      </w:r>
      <w:r w:rsidRPr="003B5CEE">
        <w:rPr>
          <w:rStyle w:val="Hyperlink"/>
          <w:color w:val="auto"/>
          <w:u w:val="none"/>
        </w:rPr>
        <w:t xml:space="preserve">can be used to collect all of a person’s important </w:t>
      </w:r>
      <w:r>
        <w:rPr>
          <w:rStyle w:val="Hyperlink"/>
          <w:color w:val="auto"/>
          <w:u w:val="none"/>
        </w:rPr>
        <w:t xml:space="preserve">health information. </w:t>
      </w:r>
    </w:p>
    <w:p w14:paraId="36218552" w14:textId="3399B6B1" w:rsidR="009B044C" w:rsidRPr="009B044C" w:rsidRDefault="00C051C9" w:rsidP="003A17F9">
      <w:pPr>
        <w:pStyle w:val="Bullet1"/>
      </w:pPr>
      <w:hyperlink r:id="rId42" w:history="1">
        <w:r>
          <w:rPr>
            <w:rStyle w:val="Hyperlink"/>
          </w:rPr>
          <w:t>Microsoft Word - hc_symptoms_worksheet.doc (autismandhealth.org)</w:t>
        </w:r>
      </w:hyperlink>
      <w:r>
        <w:t xml:space="preserve"> is a</w:t>
      </w:r>
      <w:r w:rsidR="009B044C">
        <w:t xml:space="preserve"> worksheet to </w:t>
      </w:r>
      <w:r w:rsidR="00A506A1" w:rsidRPr="009B044C">
        <w:t xml:space="preserve">help you better describe your symptoms </w:t>
      </w:r>
      <w:r w:rsidR="00C361BA">
        <w:t xml:space="preserve">to talk to your </w:t>
      </w:r>
      <w:r w:rsidR="003A63A8" w:rsidRPr="000165D3">
        <w:t>healthcare providers</w:t>
      </w:r>
      <w:r w:rsidR="003A63A8">
        <w:t>.</w:t>
      </w:r>
    </w:p>
    <w:p w14:paraId="1FD84352" w14:textId="471C0284" w:rsidR="00E34897" w:rsidRDefault="002A2081" w:rsidP="003A17F9">
      <w:pPr>
        <w:pStyle w:val="Bullet1"/>
      </w:pPr>
      <w:hyperlink r:id="rId43" w:history="1">
        <w:r>
          <w:rPr>
            <w:rStyle w:val="Hyperlink"/>
          </w:rPr>
          <w:t>Say less show more | Agency for Clinical Innovation (nsw.gov.au)</w:t>
        </w:r>
      </w:hyperlink>
      <w:r>
        <w:t xml:space="preserve"> </w:t>
      </w:r>
      <w:r w:rsidR="00E34897">
        <w:t xml:space="preserve">is a collection of Easy Read and photo story resources </w:t>
      </w:r>
      <w:r w:rsidR="00E34897" w:rsidRPr="00844324">
        <w:t>explaining the steps involved in common medical procedures</w:t>
      </w:r>
      <w:r w:rsidR="00E34897">
        <w:t>.</w:t>
      </w:r>
    </w:p>
    <w:p w14:paraId="469B6BB8" w14:textId="77777777" w:rsidR="00E34897" w:rsidRDefault="00E34897" w:rsidP="003A17F9">
      <w:pPr>
        <w:pStyle w:val="Bullet1"/>
      </w:pPr>
      <w:hyperlink r:id="rId44" w:history="1">
        <w:r>
          <w:rPr>
            <w:rStyle w:val="Hyperlink"/>
          </w:rPr>
          <w:t>Carers and Family – Intellectual Disability Health Education by 3DN (idhealtheducation.edu.au)</w:t>
        </w:r>
      </w:hyperlink>
      <w:r>
        <w:t xml:space="preserve"> is an </w:t>
      </w:r>
      <w:r w:rsidRPr="003002D6">
        <w:t>e-Learning resource for carers on intellectual disability mental health</w:t>
      </w:r>
      <w:r>
        <w:t>.</w:t>
      </w:r>
    </w:p>
    <w:p w14:paraId="54B98FBF" w14:textId="7BF8CB91" w:rsidR="00F779F1" w:rsidRPr="003A17F9" w:rsidRDefault="005D243B" w:rsidP="003A17F9">
      <w:pPr>
        <w:pStyle w:val="Bullet1"/>
        <w:rPr>
          <w:shd w:val="clear" w:color="auto" w:fill="FFFFFF"/>
        </w:rPr>
      </w:pPr>
      <w:hyperlink r:id="rId45" w:history="1">
        <w:r>
          <w:rPr>
            <w:rStyle w:val="Hyperlink"/>
          </w:rPr>
          <w:t>Communication Hub - Home</w:t>
        </w:r>
      </w:hyperlink>
      <w:r>
        <w:t xml:space="preserve"> </w:t>
      </w:r>
      <w:r w:rsidR="00F779F1" w:rsidRPr="00F779F1">
        <w:t xml:space="preserve">highlights the importance of communication in everyday life and provides information for those with communication difficulties to empower themselves and </w:t>
      </w:r>
      <w:r w:rsidR="00D03DB2" w:rsidRPr="00F779F1">
        <w:t>others.</w:t>
      </w:r>
      <w:r w:rsidR="00F779F1" w:rsidRPr="00F779F1">
        <w:t xml:space="preserve"> </w:t>
      </w:r>
    </w:p>
    <w:p w14:paraId="7ABFE14A" w14:textId="252E3CA1" w:rsidR="003A17F9" w:rsidRPr="003A17F9" w:rsidRDefault="003A17F9" w:rsidP="003A17F9">
      <w:pPr>
        <w:pStyle w:val="Bullet1"/>
      </w:pPr>
      <w:hyperlink r:id="rId46" w:history="1">
        <w:r>
          <w:rPr>
            <w:rStyle w:val="Hyperlink"/>
          </w:rPr>
          <w:t>Medical Encounter Communication Board (patientprovidercommunication.org)</w:t>
        </w:r>
      </w:hyperlink>
      <w:r>
        <w:t xml:space="preserve"> is a free downloadable communication sheet with images, simple questions and statements that may help communicating with health practitioners.</w:t>
      </w:r>
    </w:p>
    <w:p w14:paraId="79D3620A" w14:textId="071F3ED1" w:rsidR="00E34897" w:rsidRPr="00F779F1" w:rsidRDefault="00E34897" w:rsidP="00D03DB2">
      <w:pPr>
        <w:pStyle w:val="Heading3"/>
        <w:rPr>
          <w:shd w:val="clear" w:color="auto" w:fill="FFFFFF"/>
        </w:rPr>
      </w:pPr>
      <w:r w:rsidRPr="00D03DB2">
        <w:t>Providers</w:t>
      </w:r>
    </w:p>
    <w:p w14:paraId="3D651065" w14:textId="77777777" w:rsidR="00E34897" w:rsidRDefault="00E34897" w:rsidP="003A17F9">
      <w:pPr>
        <w:pStyle w:val="Bullet1"/>
      </w:pPr>
      <w:hyperlink r:id="rId47" w:history="1">
        <w:r>
          <w:rPr>
            <w:rStyle w:val="Hyperlink"/>
          </w:rPr>
          <w:t>ABLEx Series - Queensland Centre for Intellectual and Developmental Disability - University of Queensland (uq.edu.au)</w:t>
        </w:r>
      </w:hyperlink>
      <w:r>
        <w:t xml:space="preserve"> is a </w:t>
      </w:r>
      <w:r w:rsidRPr="008F0C38">
        <w:t xml:space="preserve">self-paced </w:t>
      </w:r>
      <w:r>
        <w:t xml:space="preserve">learning series </w:t>
      </w:r>
      <w:r w:rsidRPr="00844324">
        <w:t>to improve</w:t>
      </w:r>
      <w:r>
        <w:t xml:space="preserve"> the physical and mental </w:t>
      </w:r>
      <w:r w:rsidRPr="00844324">
        <w:t>health of people with intellectual disability</w:t>
      </w:r>
      <w:r>
        <w:t>.</w:t>
      </w:r>
    </w:p>
    <w:p w14:paraId="6932C8C8" w14:textId="77777777" w:rsidR="00E34897" w:rsidRPr="00304F8D" w:rsidRDefault="00E34897" w:rsidP="003A17F9">
      <w:pPr>
        <w:pStyle w:val="Bullet1"/>
      </w:pPr>
      <w:hyperlink r:id="rId48" w:history="1">
        <w:r>
          <w:rPr>
            <w:rStyle w:val="Hyperlink"/>
          </w:rPr>
          <w:t>E-Learning | Department of Developmental Disability Neuropsychiatry (3DN) (unsw.edu.au)</w:t>
        </w:r>
      </w:hyperlink>
      <w:r>
        <w:t xml:space="preserve"> is a h</w:t>
      </w:r>
      <w:r w:rsidRPr="008F0C38">
        <w:t xml:space="preserve">ealth and mental health e-learning </w:t>
      </w:r>
      <w:r>
        <w:t>resource</w:t>
      </w:r>
      <w:r w:rsidRPr="008F0C38">
        <w:t xml:space="preserve"> for workers and</w:t>
      </w:r>
      <w:r>
        <w:t xml:space="preserve"> health</w:t>
      </w:r>
      <w:r w:rsidRPr="008F0C38">
        <w:t xml:space="preserve"> professionals</w:t>
      </w:r>
      <w:r>
        <w:t>.</w:t>
      </w:r>
    </w:p>
    <w:p w14:paraId="5C4D958B" w14:textId="77777777" w:rsidR="00E34897" w:rsidRDefault="00E34897" w:rsidP="003A17F9">
      <w:pPr>
        <w:pStyle w:val="Bullet1"/>
      </w:pPr>
      <w:hyperlink r:id="rId49" w:anchor=":~:text=People%20with%20an%20intellectual%20disability%20may%20have%20trouble,coexisting%20physical%20condition%20that%20impacts%20on%20their%20speech." w:history="1">
        <w:r>
          <w:rPr>
            <w:rStyle w:val="Hyperlink"/>
          </w:rPr>
          <w:t>Working with people with intellectual disabilities (monashhealth.org)</w:t>
        </w:r>
      </w:hyperlink>
      <w:r>
        <w:t xml:space="preserve"> is an information sheet on working with people with intellectual disabilities in healthcare settings.</w:t>
      </w:r>
    </w:p>
    <w:p w14:paraId="276EDD20" w14:textId="68ADCDB9" w:rsidR="00E34897" w:rsidRDefault="00E34897" w:rsidP="003A17F9">
      <w:pPr>
        <w:pStyle w:val="Bullet1"/>
      </w:pPr>
      <w:hyperlink r:id="rId50" w:history="1">
        <w:r>
          <w:rPr>
            <w:rStyle w:val="Hyperlink"/>
          </w:rPr>
          <w:t>Intellectual Disability Resources | Agency for Clinical Innovation (nsw.gov.au)</w:t>
        </w:r>
      </w:hyperlink>
      <w:r>
        <w:t xml:space="preserve"> contains r</w:t>
      </w:r>
      <w:r w:rsidRPr="000165D3">
        <w:t>esources to support the healthcare of people with an intellectual disability</w:t>
      </w:r>
      <w:r>
        <w:t>.</w:t>
      </w:r>
    </w:p>
    <w:p w14:paraId="44B623EF" w14:textId="77777777" w:rsidR="00E34897" w:rsidRPr="008F0C38" w:rsidRDefault="00E34897" w:rsidP="00E34897">
      <w:pPr>
        <w:pStyle w:val="Heading2"/>
        <w:rPr>
          <w:color w:val="000000" w:themeColor="text1"/>
        </w:rPr>
      </w:pPr>
      <w:r w:rsidRPr="008F0C38">
        <w:lastRenderedPageBreak/>
        <w:t>Supported decision</w:t>
      </w:r>
      <w:r>
        <w:t>-</w:t>
      </w:r>
      <w:r w:rsidRPr="008F0C38">
        <w:t xml:space="preserve">making </w:t>
      </w:r>
      <w:r>
        <w:t>resources</w:t>
      </w:r>
    </w:p>
    <w:p w14:paraId="1A8D6D34" w14:textId="299EB191" w:rsidR="00E34897" w:rsidRPr="008F0C38" w:rsidRDefault="00E34897" w:rsidP="00E34897">
      <w:r w:rsidRPr="008F0C38">
        <w:t>The resources below are supported decision-making tool kits to assist participants and their families, guardians and providers learn about decision-making and choice.</w:t>
      </w:r>
    </w:p>
    <w:p w14:paraId="3EA33484" w14:textId="77777777" w:rsidR="00E34897" w:rsidRDefault="00E34897" w:rsidP="003A17F9">
      <w:pPr>
        <w:pStyle w:val="Bullet1"/>
      </w:pPr>
      <w:hyperlink r:id="rId51" w:history="1">
        <w:r>
          <w:rPr>
            <w:rStyle w:val="Hyperlink"/>
          </w:rPr>
          <w:t>It’s my Choice Toolkit! - Inclusion Melbourne</w:t>
        </w:r>
      </w:hyperlink>
      <w:r w:rsidRPr="00AC2D4C">
        <w:t xml:space="preserve"> is a five</w:t>
      </w:r>
      <w:r w:rsidRPr="008F0C38">
        <w:t xml:space="preserve">-booklet toolkit to assist people with a disability make choices about their life. </w:t>
      </w:r>
    </w:p>
    <w:p w14:paraId="16227084" w14:textId="77777777" w:rsidR="00E34897" w:rsidRDefault="00E34897" w:rsidP="003A17F9">
      <w:pPr>
        <w:pStyle w:val="Bullet1"/>
      </w:pPr>
      <w:hyperlink r:id="rId52" w:history="1">
        <w:r>
          <w:rPr>
            <w:rStyle w:val="Hyperlink"/>
          </w:rPr>
          <w:t>Supported Decision Making | WA’s Individualised Services (waindividualisedservices.org.au)</w:t>
        </w:r>
      </w:hyperlink>
      <w:r>
        <w:t xml:space="preserve"> is a resource about understanding and doing supported decision-making.</w:t>
      </w:r>
    </w:p>
    <w:p w14:paraId="42433326" w14:textId="77777777" w:rsidR="00E34897" w:rsidRDefault="00E34897" w:rsidP="003A17F9">
      <w:pPr>
        <w:pStyle w:val="Bullet1"/>
      </w:pPr>
      <w:hyperlink r:id="rId53" w:history="1">
        <w:r>
          <w:rPr>
            <w:rStyle w:val="Hyperlink"/>
          </w:rPr>
          <w:t>Support My Decision – The A.C.T. Disability, Aged and Carer Advocacy Service (support-my-decision.org.au)</w:t>
        </w:r>
      </w:hyperlink>
      <w:r w:rsidRPr="008F0C38">
        <w:t xml:space="preserve"> </w:t>
      </w:r>
      <w:r>
        <w:t xml:space="preserve">contains </w:t>
      </w:r>
      <w:r w:rsidRPr="00184E6D">
        <w:t>information and questions that may help you make decisions and support decisions</w:t>
      </w:r>
      <w:r>
        <w:t>.</w:t>
      </w:r>
    </w:p>
    <w:p w14:paraId="270DFF50" w14:textId="77777777" w:rsidR="00E34897" w:rsidRPr="008F0C38" w:rsidRDefault="00E34897" w:rsidP="003A17F9">
      <w:pPr>
        <w:pStyle w:val="Bullet1"/>
      </w:pPr>
      <w:hyperlink r:id="rId54" w:history="1">
        <w:r>
          <w:rPr>
            <w:rStyle w:val="Hyperlink"/>
          </w:rPr>
          <w:t>Supported decision-making and capacity | NSW Trustee and Guardian</w:t>
        </w:r>
      </w:hyperlink>
      <w:r w:rsidRPr="008F0C38">
        <w:t xml:space="preserve"> </w:t>
      </w:r>
      <w:r>
        <w:t>is a t</w:t>
      </w:r>
      <w:r w:rsidRPr="008F0C38">
        <w:t xml:space="preserve">ool kit </w:t>
      </w:r>
      <w:r>
        <w:t>to a</w:t>
      </w:r>
      <w:r w:rsidRPr="008F0C38">
        <w:t xml:space="preserve">ssist people with disability, </w:t>
      </w:r>
      <w:r>
        <w:t xml:space="preserve">families, carers </w:t>
      </w:r>
      <w:r w:rsidRPr="008F0C38">
        <w:t>and providers to understand the need for supported decision</w:t>
      </w:r>
      <w:r>
        <w:t>-</w:t>
      </w:r>
      <w:r w:rsidRPr="008F0C38">
        <w:t>making</w:t>
      </w:r>
      <w:r>
        <w:t>.</w:t>
      </w:r>
    </w:p>
    <w:p w14:paraId="5F0876FA" w14:textId="77777777" w:rsidR="00E34897" w:rsidRDefault="00E34897" w:rsidP="003A17F9">
      <w:pPr>
        <w:pStyle w:val="Bullet1"/>
      </w:pPr>
      <w:hyperlink r:id="rId55" w:history="1">
        <w:r>
          <w:rPr>
            <w:rStyle w:val="Hyperlink"/>
          </w:rPr>
          <w:t>IDEAS</w:t>
        </w:r>
      </w:hyperlink>
      <w:r>
        <w:t xml:space="preserve"> </w:t>
      </w:r>
      <w:r w:rsidRPr="00764D19">
        <w:t>provides independent for information for people with disability</w:t>
      </w:r>
      <w:r w:rsidRPr="008F0C38">
        <w:t xml:space="preserve">, family, </w:t>
      </w:r>
      <w:r>
        <w:t>carers</w:t>
      </w:r>
      <w:r w:rsidRPr="008F0C38">
        <w:t xml:space="preserve"> and workers. </w:t>
      </w:r>
      <w:r>
        <w:t>This links to supported decision-making resources.</w:t>
      </w:r>
    </w:p>
    <w:p w14:paraId="0A34C6A2" w14:textId="77777777" w:rsidR="001F4CBC" w:rsidRDefault="001F4CBC">
      <w:pPr>
        <w:rPr>
          <w:rFonts w:asciiTheme="majorHAnsi" w:eastAsiaTheme="majorEastAsia" w:hAnsiTheme="majorHAnsi" w:cstheme="majorBidi"/>
          <w:b/>
          <w:color w:val="612C69"/>
          <w:sz w:val="40"/>
          <w:szCs w:val="40"/>
        </w:rPr>
      </w:pPr>
      <w:r>
        <w:br w:type="page"/>
      </w:r>
    </w:p>
    <w:p w14:paraId="2591AC82" w14:textId="1CD749BE" w:rsidR="00606B46" w:rsidRPr="008F0C38" w:rsidRDefault="004D3DC8" w:rsidP="0005524F">
      <w:pPr>
        <w:pStyle w:val="Heading1"/>
      </w:pPr>
      <w:r w:rsidRPr="008F0C38">
        <w:lastRenderedPageBreak/>
        <w:t>References</w:t>
      </w:r>
    </w:p>
    <w:sectPr w:rsidR="00606B46" w:rsidRPr="008F0C38" w:rsidSect="00767278">
      <w:headerReference w:type="even" r:id="rId56"/>
      <w:headerReference w:type="default" r:id="rId57"/>
      <w:footerReference w:type="default" r:id="rId58"/>
      <w:headerReference w:type="first" r:id="rId59"/>
      <w:footerReference w:type="first" r:id="rId60"/>
      <w:endnotePr>
        <w:numFmt w:val="decimal"/>
      </w:endnotePr>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3C69E" w14:textId="77777777" w:rsidR="00CA3788" w:rsidRDefault="00CA3788" w:rsidP="008E21DE">
      <w:r>
        <w:separator/>
      </w:r>
    </w:p>
  </w:endnote>
  <w:endnote w:type="continuationSeparator" w:id="0">
    <w:p w14:paraId="557CC8AE" w14:textId="77777777" w:rsidR="00CA3788" w:rsidRDefault="00CA3788" w:rsidP="008E21DE">
      <w:r>
        <w:continuationSeparator/>
      </w:r>
    </w:p>
  </w:endnote>
  <w:endnote w:id="1">
    <w:p w14:paraId="325328A3" w14:textId="0679BF13" w:rsidR="00411F12" w:rsidRDefault="00411F12" w:rsidP="00AD27A9">
      <w:pPr>
        <w:pStyle w:val="EndnoteText"/>
        <w:spacing w:before="120" w:after="120"/>
      </w:pPr>
      <w:r>
        <w:rPr>
          <w:rStyle w:val="EndnoteReference"/>
        </w:rPr>
        <w:endnoteRef/>
      </w:r>
      <w:r w:rsidR="00AA67B8">
        <w:t xml:space="preserve"> </w:t>
      </w:r>
      <w:r w:rsidR="00D32C2A" w:rsidRPr="00AA67B8">
        <w:t xml:space="preserve">Australian Institute of Health and Welfare (2022) </w:t>
      </w:r>
      <w:hyperlink r:id="rId1" w:history="1">
        <w:r w:rsidR="00D32C2A" w:rsidRPr="00AA67B8">
          <w:rPr>
            <w:rStyle w:val="Hyperlink"/>
            <w:i/>
            <w:iCs/>
          </w:rPr>
          <w:t>Health of people with disability</w:t>
        </w:r>
      </w:hyperlink>
      <w:r w:rsidR="00D32C2A" w:rsidRPr="00AA67B8">
        <w:t>, Australian Institute of Health and Welfare, accessed 28 July 2023.</w:t>
      </w:r>
    </w:p>
  </w:endnote>
  <w:endnote w:id="2">
    <w:p w14:paraId="1B4534C1" w14:textId="2584A9E8" w:rsidR="0034695C" w:rsidRDefault="0034695C" w:rsidP="00AD27A9">
      <w:pPr>
        <w:pStyle w:val="EndnoteText"/>
        <w:spacing w:before="120" w:after="120"/>
      </w:pPr>
      <w:r>
        <w:rPr>
          <w:rStyle w:val="EndnoteReference"/>
        </w:rPr>
        <w:endnoteRef/>
      </w:r>
      <w:r>
        <w:t xml:space="preserve"> </w:t>
      </w:r>
      <w:r w:rsidR="00655143" w:rsidRPr="00637BBB">
        <w:t xml:space="preserve">Campbell ML, Sheets D and Strong PS (1999) ‘Secondary Health Conditions Among Middle-Aged Individuals with Chronic Physical Disabilities: Implications for Unmet Needs for Services’, </w:t>
      </w:r>
      <w:r w:rsidR="00655143" w:rsidRPr="00637BBB">
        <w:rPr>
          <w:i/>
          <w:iCs/>
        </w:rPr>
        <w:t>Assistive Technology,</w:t>
      </w:r>
      <w:r w:rsidR="00655143" w:rsidRPr="00637BBB">
        <w:t xml:space="preserve"> 11(2):105–122, doi:</w:t>
      </w:r>
      <w:hyperlink r:id="rId2" w:history="1">
        <w:r w:rsidR="00655143" w:rsidRPr="00C610F2">
          <w:rPr>
            <w:rStyle w:val="Hyperlink"/>
          </w:rPr>
          <w:t>10.1080/10400435.1999.101</w:t>
        </w:r>
      </w:hyperlink>
      <w:r w:rsidR="00655143">
        <w:t>.</w:t>
      </w:r>
    </w:p>
  </w:endnote>
  <w:endnote w:id="3">
    <w:p w14:paraId="7457A7C1" w14:textId="614FBAE6" w:rsidR="001F7FF1" w:rsidRPr="0068529B" w:rsidRDefault="001F7FF1" w:rsidP="00AD27A9">
      <w:pPr>
        <w:pStyle w:val="EndnoteText"/>
        <w:spacing w:before="120" w:after="120"/>
        <w:rPr>
          <w:i/>
          <w:iCs/>
        </w:rPr>
      </w:pPr>
      <w:r>
        <w:rPr>
          <w:rStyle w:val="EndnoteReference"/>
        </w:rPr>
        <w:endnoteRef/>
      </w:r>
      <w:r>
        <w:t xml:space="preserve"> </w:t>
      </w:r>
      <w:r w:rsidR="009B2825" w:rsidRPr="001F7FF1">
        <w:t xml:space="preserve">VicHealth (2012) </w:t>
      </w:r>
      <w:hyperlink r:id="rId3" w:history="1">
        <w:r w:rsidR="009B2825" w:rsidRPr="001F7FF1">
          <w:rPr>
            <w:rStyle w:val="Hyperlink"/>
          </w:rPr>
          <w:t>Disability and health inequalities in Australia: research summary [PDF 432.21KB]</w:t>
        </w:r>
      </w:hyperlink>
      <w:r w:rsidR="009B2825" w:rsidRPr="001F7FF1">
        <w:t>, VicHealth, accessed 28 July 2023.</w:t>
      </w:r>
    </w:p>
  </w:endnote>
  <w:endnote w:id="4">
    <w:p w14:paraId="55A610C3" w14:textId="5646CF2F" w:rsidR="0068529B" w:rsidRDefault="0068529B" w:rsidP="00AD27A9">
      <w:pPr>
        <w:pStyle w:val="EndnoteText"/>
        <w:spacing w:before="120" w:after="120"/>
      </w:pPr>
      <w:r>
        <w:rPr>
          <w:rStyle w:val="EndnoteReference"/>
        </w:rPr>
        <w:endnoteRef/>
      </w:r>
      <w:r w:rsidR="008B727A">
        <w:t xml:space="preserve"> </w:t>
      </w:r>
      <w:r w:rsidR="008B727A" w:rsidRPr="0068529B">
        <w:t xml:space="preserve">Havercamp SM and Scott HM (2015) ‘National health surveillance of adults with disabilities, adults with intellectual and developmental disabilities, and adults with no disabilities’, </w:t>
      </w:r>
      <w:r w:rsidR="008B727A" w:rsidRPr="0068529B">
        <w:rPr>
          <w:i/>
          <w:iCs/>
        </w:rPr>
        <w:t>Disability and Health Journal,</w:t>
      </w:r>
      <w:r w:rsidR="008B727A" w:rsidRPr="0068529B">
        <w:t xml:space="preserve"> 8(2):165-72, doi:</w:t>
      </w:r>
      <w:hyperlink r:id="rId4" w:history="1">
        <w:r w:rsidR="008B727A" w:rsidRPr="00C610F2">
          <w:rPr>
            <w:rStyle w:val="Hyperlink"/>
          </w:rPr>
          <w:t>10.1016/j.dhjo.2014.11.002</w:t>
        </w:r>
      </w:hyperlink>
      <w:r w:rsidR="008B727A" w:rsidRPr="0068529B">
        <w:t>.</w:t>
      </w:r>
    </w:p>
  </w:endnote>
  <w:endnote w:id="5">
    <w:p w14:paraId="5D96D9C4" w14:textId="4118231C" w:rsidR="005F2FF6" w:rsidRDefault="005F2FF6" w:rsidP="00AD27A9">
      <w:pPr>
        <w:pStyle w:val="EndnoteText"/>
        <w:spacing w:before="120" w:after="120"/>
      </w:pPr>
      <w:r>
        <w:rPr>
          <w:rStyle w:val="EndnoteReference"/>
        </w:rPr>
        <w:endnoteRef/>
      </w:r>
      <w:r>
        <w:t xml:space="preserve"> </w:t>
      </w:r>
      <w:r w:rsidRPr="005F2FF6">
        <w:t xml:space="preserve">Australian Institute of Health and Welfare (2017) </w:t>
      </w:r>
      <w:hyperlink r:id="rId5" w:history="1">
        <w:r w:rsidRPr="005F2FF6">
          <w:rPr>
            <w:rStyle w:val="Hyperlink"/>
            <w:i/>
            <w:iCs/>
          </w:rPr>
          <w:t>Access to health services by Australians with disability</w:t>
        </w:r>
      </w:hyperlink>
      <w:r w:rsidRPr="005F2FF6">
        <w:rPr>
          <w:i/>
          <w:iCs/>
        </w:rPr>
        <w:t>,</w:t>
      </w:r>
      <w:r w:rsidRPr="005F2FF6">
        <w:t xml:space="preserve"> Australian Institute of Health and Welfare, accessed 29 July 2023.</w:t>
      </w:r>
    </w:p>
  </w:endnote>
  <w:endnote w:id="6">
    <w:p w14:paraId="31EF6FC0" w14:textId="16A658ED" w:rsidR="00647E1B" w:rsidRDefault="00647E1B" w:rsidP="00AD27A9">
      <w:pPr>
        <w:pStyle w:val="EndnoteText"/>
        <w:spacing w:before="120" w:after="120"/>
      </w:pPr>
      <w:r>
        <w:rPr>
          <w:rStyle w:val="EndnoteReference"/>
        </w:rPr>
        <w:endnoteRef/>
      </w:r>
      <w:r>
        <w:t xml:space="preserve"> </w:t>
      </w:r>
      <w:r w:rsidR="004A6C20" w:rsidRPr="007446D3">
        <w:t xml:space="preserve">Horner-Johnson W, Dobbertin K, Lee JC and Andresen EM (2014) ‘Disparities in Health Care Access and Receipt of Preventive Services by Disability Type: Analysis of the Medical Expenditure Panel Survey’, </w:t>
      </w:r>
      <w:r w:rsidR="004A6C20" w:rsidRPr="007446D3">
        <w:rPr>
          <w:i/>
          <w:iCs/>
        </w:rPr>
        <w:t>Health Services Research,</w:t>
      </w:r>
      <w:r w:rsidR="004A6C20" w:rsidRPr="007446D3">
        <w:t xml:space="preserve"> 49(6):1980-99, doi:</w:t>
      </w:r>
      <w:hyperlink r:id="rId6" w:history="1">
        <w:r w:rsidR="004A6C20" w:rsidRPr="00C610F2">
          <w:rPr>
            <w:rStyle w:val="Hyperlink"/>
          </w:rPr>
          <w:t>10.1111/1475-6773.12195</w:t>
        </w:r>
      </w:hyperlink>
      <w:r w:rsidR="007446D3" w:rsidRPr="007446D3">
        <w:t>.</w:t>
      </w:r>
    </w:p>
  </w:endnote>
  <w:endnote w:id="7">
    <w:p w14:paraId="64F4A91B" w14:textId="457E5CFC" w:rsidR="00F63FB9" w:rsidRDefault="00F63FB9" w:rsidP="00AD27A9">
      <w:pPr>
        <w:pStyle w:val="EndnoteText"/>
        <w:spacing w:before="120" w:after="120"/>
      </w:pPr>
      <w:r>
        <w:rPr>
          <w:rStyle w:val="EndnoteReference"/>
        </w:rPr>
        <w:endnoteRef/>
      </w:r>
      <w:r>
        <w:t xml:space="preserve"> </w:t>
      </w:r>
      <w:r w:rsidR="00CD6D5B" w:rsidRPr="000F6E23">
        <w:t xml:space="preserve">Gulley SP and Altman BM (2008) ‘Disability in two health care systems: Access, quality, satisfaction, and physician contacts among working-age Canadians and Americans with disabilities’, </w:t>
      </w:r>
      <w:r w:rsidR="00CD6D5B" w:rsidRPr="000F6E23">
        <w:rPr>
          <w:i/>
          <w:iCs/>
        </w:rPr>
        <w:t>Disability and Health Journal,</w:t>
      </w:r>
      <w:r w:rsidR="00CD6D5B" w:rsidRPr="000F6E23">
        <w:t xml:space="preserve"> 1(4):196–208, doi:</w:t>
      </w:r>
      <w:hyperlink r:id="rId7" w:history="1">
        <w:r w:rsidR="00CD6D5B" w:rsidRPr="00C610F2">
          <w:rPr>
            <w:rStyle w:val="Hyperlink"/>
          </w:rPr>
          <w:t>10.1016/j.dhjo.2008.07.006</w:t>
        </w:r>
      </w:hyperlink>
      <w:r w:rsidR="000F6E23" w:rsidRPr="000F6E23">
        <w:t xml:space="preserve">. </w:t>
      </w:r>
    </w:p>
  </w:endnote>
  <w:endnote w:id="8">
    <w:p w14:paraId="0277CA68" w14:textId="3991942F" w:rsidR="000F6E23" w:rsidRDefault="000F6E23" w:rsidP="00AD27A9">
      <w:pPr>
        <w:pStyle w:val="EndnoteText"/>
        <w:spacing w:before="120" w:after="120"/>
      </w:pPr>
      <w:r>
        <w:rPr>
          <w:rStyle w:val="EndnoteReference"/>
        </w:rPr>
        <w:endnoteRef/>
      </w:r>
      <w:r>
        <w:t xml:space="preserve"> </w:t>
      </w:r>
      <w:r w:rsidR="007B6C34" w:rsidRPr="009B5D42">
        <w:t xml:space="preserve">Molloy R, Brand G, Munro I and Pope N (2023) ‘Seeing the complete picture: A systematic review of mental health consumer and health professional experiences of diagnostic overshadowing’, </w:t>
      </w:r>
      <w:r w:rsidR="007B6C34" w:rsidRPr="009B5D42">
        <w:rPr>
          <w:i/>
          <w:iCs/>
        </w:rPr>
        <w:t>Journal of Clinical Nursing,</w:t>
      </w:r>
      <w:r w:rsidR="007B6C34" w:rsidRPr="009B5D42">
        <w:t xml:space="preserve"> 32(9-10):1662-1673, 1662-1673. doi</w:t>
      </w:r>
      <w:r w:rsidR="007B6C34">
        <w:t>:</w:t>
      </w:r>
      <w:hyperlink r:id="rId8" w:history="1">
        <w:r w:rsidR="007B6C34" w:rsidRPr="00EB6A0A">
          <w:rPr>
            <w:rStyle w:val="Hyperlink"/>
          </w:rPr>
          <w:t>10.1111/jocn.16151</w:t>
        </w:r>
      </w:hyperlink>
      <w:r w:rsidR="009B5D42" w:rsidRPr="009B5D42">
        <w:t>.</w:t>
      </w:r>
    </w:p>
  </w:endnote>
  <w:endnote w:id="9">
    <w:p w14:paraId="5633F5EA" w14:textId="77777777" w:rsidR="00876451" w:rsidRDefault="00783DE1" w:rsidP="00876451">
      <w:pPr>
        <w:pStyle w:val="EndnoteText"/>
      </w:pPr>
      <w:r>
        <w:rPr>
          <w:rStyle w:val="EndnoteReference"/>
        </w:rPr>
        <w:endnoteRef/>
      </w:r>
      <w:r>
        <w:t xml:space="preserve"> </w:t>
      </w:r>
      <w:r w:rsidR="007A05A1">
        <w:t xml:space="preserve">Krahn GL, </w:t>
      </w:r>
      <w:r w:rsidR="00A479CE">
        <w:t>Hammond L and Turner A (2006) ‘</w:t>
      </w:r>
      <w:r w:rsidR="00BE6312" w:rsidRPr="00BE6312">
        <w:t>A cascade of disparities: Health and health care access for people with intellectual disabilities</w:t>
      </w:r>
      <w:r w:rsidR="00BE6312">
        <w:t xml:space="preserve">’, </w:t>
      </w:r>
      <w:r w:rsidR="00876451" w:rsidRPr="00952BD4">
        <w:rPr>
          <w:i/>
          <w:iCs/>
        </w:rPr>
        <w:t>Mental Retardation and Developmental Disabilities Research Reviews</w:t>
      </w:r>
      <w:r w:rsidR="00876451">
        <w:t>,</w:t>
      </w:r>
    </w:p>
    <w:p w14:paraId="493B8565" w14:textId="365CF508" w:rsidR="00783DE1" w:rsidRDefault="00876451" w:rsidP="00876451">
      <w:pPr>
        <w:pStyle w:val="EndnoteText"/>
      </w:pPr>
      <w:r>
        <w:t>12(1)</w:t>
      </w:r>
      <w:r w:rsidR="00FA3DAF">
        <w:t>:</w:t>
      </w:r>
      <w:r>
        <w:t xml:space="preserve">70–82. </w:t>
      </w:r>
      <w:r w:rsidR="000270C7">
        <w:t>d</w:t>
      </w:r>
      <w:r w:rsidR="00734E3D">
        <w:t>oi:</w:t>
      </w:r>
      <w:hyperlink r:id="rId9" w:history="1">
        <w:r w:rsidR="00734E3D">
          <w:rPr>
            <w:rStyle w:val="Hyperlink"/>
          </w:rPr>
          <w:t>10.1002/mrdd.20098</w:t>
        </w:r>
      </w:hyperlink>
      <w:r w:rsidR="00284F41">
        <w:t>.</w:t>
      </w:r>
    </w:p>
  </w:endnote>
  <w:endnote w:id="10">
    <w:p w14:paraId="33E70908" w14:textId="77291F28" w:rsidR="00F449D8" w:rsidRPr="00D45166" w:rsidRDefault="00F449D8" w:rsidP="00952BD4">
      <w:pPr>
        <w:pStyle w:val="EndnoteText"/>
        <w:spacing w:before="120" w:after="120"/>
      </w:pPr>
      <w:r w:rsidRPr="00952BD4">
        <w:rPr>
          <w:rStyle w:val="EndnoteReference"/>
          <w:vertAlign w:val="baseline"/>
        </w:rPr>
        <w:endnoteRef/>
      </w:r>
      <w:r w:rsidRPr="00952BD4">
        <w:rPr>
          <w:rStyle w:val="EndnoteReference"/>
          <w:vertAlign w:val="baseline"/>
        </w:rPr>
        <w:t xml:space="preserve"> Iffland M, Jorgensen M</w:t>
      </w:r>
      <w:r w:rsidR="002C4E50" w:rsidRPr="00952BD4">
        <w:rPr>
          <w:rStyle w:val="EndnoteReference"/>
          <w:vertAlign w:val="baseline"/>
        </w:rPr>
        <w:t xml:space="preserve"> and </w:t>
      </w:r>
      <w:r w:rsidRPr="00952BD4">
        <w:rPr>
          <w:rStyle w:val="EndnoteReference"/>
          <w:vertAlign w:val="baseline"/>
        </w:rPr>
        <w:t>Gillies, D (2023)</w:t>
      </w:r>
      <w:r w:rsidR="002C4E50" w:rsidRPr="00952BD4">
        <w:rPr>
          <w:rStyle w:val="EndnoteReference"/>
          <w:vertAlign w:val="baseline"/>
        </w:rPr>
        <w:t xml:space="preserve"> ‘</w:t>
      </w:r>
      <w:r w:rsidRPr="00952BD4">
        <w:rPr>
          <w:rStyle w:val="EndnoteReference"/>
          <w:vertAlign w:val="baseline"/>
        </w:rPr>
        <w:t>Contributing causes of mortality and potentially avoidable deaths of people with intellectual</w:t>
      </w:r>
      <w:r w:rsidR="002C4E50" w:rsidRPr="00952BD4">
        <w:rPr>
          <w:rStyle w:val="EndnoteReference"/>
          <w:vertAlign w:val="baseline"/>
        </w:rPr>
        <w:t xml:space="preserve"> </w:t>
      </w:r>
      <w:r w:rsidRPr="00952BD4">
        <w:rPr>
          <w:rStyle w:val="EndnoteReference"/>
          <w:vertAlign w:val="baseline"/>
        </w:rPr>
        <w:t>or learning disability: A data‐linkage study.</w:t>
      </w:r>
      <w:r w:rsidR="002C4E50" w:rsidRPr="00952BD4">
        <w:rPr>
          <w:rStyle w:val="EndnoteReference"/>
          <w:vertAlign w:val="baseline"/>
        </w:rPr>
        <w:t>’</w:t>
      </w:r>
      <w:r w:rsidRPr="00952BD4">
        <w:rPr>
          <w:rStyle w:val="EndnoteReference"/>
          <w:vertAlign w:val="baseline"/>
        </w:rPr>
        <w:t xml:space="preserve"> </w:t>
      </w:r>
      <w:r w:rsidRPr="00952BD4">
        <w:rPr>
          <w:rStyle w:val="EndnoteReference"/>
          <w:i/>
          <w:iCs/>
          <w:vertAlign w:val="baseline"/>
        </w:rPr>
        <w:t>British Journal of Learning</w:t>
      </w:r>
      <w:r w:rsidR="00D45166" w:rsidRPr="00952BD4">
        <w:rPr>
          <w:i/>
          <w:iCs/>
        </w:rPr>
        <w:t xml:space="preserve"> </w:t>
      </w:r>
      <w:r w:rsidRPr="00952BD4">
        <w:rPr>
          <w:rStyle w:val="EndnoteReference"/>
          <w:i/>
          <w:iCs/>
          <w:vertAlign w:val="baseline"/>
        </w:rPr>
        <w:t>Disabilities</w:t>
      </w:r>
      <w:r w:rsidR="0016212B" w:rsidRPr="00952BD4">
        <w:rPr>
          <w:rStyle w:val="EndnoteReference"/>
          <w:vertAlign w:val="baseline"/>
        </w:rPr>
        <w:t>, 1</w:t>
      </w:r>
      <w:r w:rsidR="001A02C4" w:rsidRPr="00952BD4">
        <w:rPr>
          <w:rStyle w:val="EndnoteReference"/>
          <w:vertAlign w:val="baseline"/>
        </w:rPr>
        <w:t>-</w:t>
      </w:r>
      <w:r w:rsidR="0016212B" w:rsidRPr="00952BD4">
        <w:rPr>
          <w:rStyle w:val="EndnoteReference"/>
          <w:vertAlign w:val="baseline"/>
        </w:rPr>
        <w:t>9.</w:t>
      </w:r>
      <w:r w:rsidRPr="00952BD4">
        <w:rPr>
          <w:rStyle w:val="EndnoteReference"/>
          <w:vertAlign w:val="baseline"/>
        </w:rPr>
        <w:t xml:space="preserve"> </w:t>
      </w:r>
      <w:r w:rsidR="000270C7">
        <w:t>doi:</w:t>
      </w:r>
      <w:hyperlink r:id="rId10" w:history="1">
        <w:r w:rsidR="000270C7" w:rsidRPr="000270C7">
          <w:rPr>
            <w:rStyle w:val="Hyperlink"/>
          </w:rPr>
          <w:t>10.1111/bld.12569</w:t>
        </w:r>
      </w:hyperlink>
    </w:p>
  </w:endnote>
  <w:endnote w:id="11">
    <w:p w14:paraId="764AE474" w14:textId="2736D103" w:rsidR="004771FC" w:rsidRDefault="004771FC" w:rsidP="00AD27A9">
      <w:pPr>
        <w:pStyle w:val="EndnoteText"/>
        <w:spacing w:before="120" w:after="120"/>
      </w:pPr>
      <w:r>
        <w:rPr>
          <w:rStyle w:val="EndnoteReference"/>
        </w:rPr>
        <w:endnoteRef/>
      </w:r>
      <w:r>
        <w:t xml:space="preserve"> </w:t>
      </w:r>
      <w:r w:rsidRPr="004771FC">
        <w:t>Australian Institute of Health and Welfare (2017)</w:t>
      </w:r>
      <w:r w:rsidRPr="004771FC">
        <w:rPr>
          <w:i/>
          <w:iCs/>
        </w:rPr>
        <w:t xml:space="preserve"> </w:t>
      </w:r>
      <w:hyperlink r:id="rId11" w:history="1">
        <w:r w:rsidRPr="004771FC">
          <w:rPr>
            <w:rStyle w:val="Hyperlink"/>
            <w:i/>
            <w:iCs/>
          </w:rPr>
          <w:t>Risk factors to health</w:t>
        </w:r>
      </w:hyperlink>
      <w:r w:rsidRPr="004771FC">
        <w:rPr>
          <w:i/>
          <w:iCs/>
        </w:rPr>
        <w:t>,</w:t>
      </w:r>
      <w:r w:rsidRPr="004771FC">
        <w:t xml:space="preserve"> Australian Institute of Health and Welfare, accessed 29 July 2023.</w:t>
      </w:r>
    </w:p>
  </w:endnote>
  <w:endnote w:id="12">
    <w:p w14:paraId="2F20BD71" w14:textId="3AA56B16" w:rsidR="00B86FE4" w:rsidRDefault="00B86FE4" w:rsidP="00AD27A9">
      <w:pPr>
        <w:pStyle w:val="EndnoteText"/>
        <w:spacing w:before="120" w:after="120"/>
      </w:pPr>
      <w:r>
        <w:rPr>
          <w:rStyle w:val="EndnoteReference"/>
        </w:rPr>
        <w:endnoteRef/>
      </w:r>
      <w:r>
        <w:t xml:space="preserve"> </w:t>
      </w:r>
      <w:r w:rsidR="00C7097A" w:rsidRPr="00C7097A">
        <w:t xml:space="preserve">Williams JS and Egede LE (2016) ‘The Association between Multimorbidity and Quality of Life, Health Status, and Functional Disability in Adults’, </w:t>
      </w:r>
      <w:r w:rsidR="00C7097A" w:rsidRPr="00952BD4">
        <w:rPr>
          <w:i/>
          <w:iCs/>
        </w:rPr>
        <w:t>The American Journal of the Medical Sciences</w:t>
      </w:r>
      <w:r w:rsidR="00C7097A" w:rsidRPr="00C7097A">
        <w:t xml:space="preserve">, 352(1):45-52, </w:t>
      </w:r>
      <w:r w:rsidR="002B39E6" w:rsidRPr="00C7097A">
        <w:t>doi:</w:t>
      </w:r>
      <w:hyperlink r:id="rId12" w:history="1">
        <w:r w:rsidR="002B39E6" w:rsidRPr="00EB6A0A">
          <w:rPr>
            <w:rStyle w:val="Hyperlink"/>
          </w:rPr>
          <w:t>10.1016/j.amjms.2016.03.004</w:t>
        </w:r>
      </w:hyperlink>
    </w:p>
  </w:endnote>
  <w:endnote w:id="13">
    <w:p w14:paraId="6886F374" w14:textId="4EB24C57" w:rsidR="00FA3F78" w:rsidRDefault="00FA3F78" w:rsidP="00AD27A9">
      <w:pPr>
        <w:pStyle w:val="EndnoteText"/>
        <w:spacing w:before="120" w:after="120"/>
      </w:pPr>
      <w:r>
        <w:rPr>
          <w:rStyle w:val="EndnoteReference"/>
        </w:rPr>
        <w:endnoteRef/>
      </w:r>
      <w:r>
        <w:t xml:space="preserve"> </w:t>
      </w:r>
      <w:r w:rsidR="00C64684" w:rsidRPr="00C64684">
        <w:t>Glover G, Williams R, Heslop P, Oyinlola J and Grey J (2017) ‘Mortality in people with intellectual disabilities in England’, </w:t>
      </w:r>
      <w:r w:rsidR="00C64684" w:rsidRPr="00C64684">
        <w:rPr>
          <w:i/>
          <w:iCs/>
        </w:rPr>
        <w:t>Journal of Intellectual Disability Research,</w:t>
      </w:r>
      <w:r w:rsidR="00C64684" w:rsidRPr="00C64684">
        <w:t> 61(1):62-74.</w:t>
      </w:r>
      <w:r w:rsidR="00955A8C">
        <w:t xml:space="preserve"> </w:t>
      </w:r>
      <w:r w:rsidR="00955A8C" w:rsidRPr="00C64684">
        <w:t>doi:</w:t>
      </w:r>
      <w:hyperlink r:id="rId13" w:history="1">
        <w:r w:rsidR="00955A8C" w:rsidRPr="00EB6A0A">
          <w:rPr>
            <w:rStyle w:val="Hyperlink"/>
          </w:rPr>
          <w:t>10.1111/jir.12314</w:t>
        </w:r>
      </w:hyperlink>
      <w:r w:rsidR="00955A8C">
        <w:rPr>
          <w:rStyle w:val="Hyperlink"/>
        </w:rPr>
        <w:t>.</w:t>
      </w:r>
    </w:p>
  </w:endnote>
  <w:endnote w:id="14">
    <w:p w14:paraId="219E25BE" w14:textId="7378ADDC" w:rsidR="00F2180C" w:rsidRDefault="00F2180C" w:rsidP="00AD27A9">
      <w:pPr>
        <w:pStyle w:val="EndnoteText"/>
        <w:spacing w:before="120" w:after="120"/>
      </w:pPr>
      <w:r>
        <w:rPr>
          <w:rStyle w:val="EndnoteReference"/>
        </w:rPr>
        <w:endnoteRef/>
      </w:r>
      <w:r>
        <w:t xml:space="preserve"> </w:t>
      </w:r>
      <w:r w:rsidR="00DB0C83" w:rsidRPr="00DB0C83">
        <w:t xml:space="preserve">Reppermund S, Heintze T, Srasuebkul P, Reeve R, Dean K, Smith M, Emerson E, Snoyman P, Baldry E, Dowse L, Szanto T, Sara G, Florio T, Johnson A, Clements M, McKenzie K and Trollor J (2019) ‘Health and wellbeing of people with intellectual disability in New South Wales, Australia: a data linkage cohort’, </w:t>
      </w:r>
      <w:r w:rsidR="00DB0C83" w:rsidRPr="00DB0C83">
        <w:rPr>
          <w:i/>
          <w:iCs/>
        </w:rPr>
        <w:t>BMJ Open</w:t>
      </w:r>
      <w:r w:rsidR="00DB0C83" w:rsidRPr="00DB0C83">
        <w:t xml:space="preserve">, 9(9):e031624, </w:t>
      </w:r>
      <w:r w:rsidR="002150E9" w:rsidRPr="00DB0C83">
        <w:t>doi:</w:t>
      </w:r>
      <w:hyperlink r:id="rId14" w:history="1">
        <w:r w:rsidR="002150E9" w:rsidRPr="009F3C38">
          <w:rPr>
            <w:rStyle w:val="Hyperlink"/>
          </w:rPr>
          <w:t>10.1136/bmjopen-2019-031624</w:t>
        </w:r>
      </w:hyperlink>
      <w:r w:rsidR="00DB0C83" w:rsidRPr="00DB0C83">
        <w:t>.</w:t>
      </w:r>
    </w:p>
  </w:endnote>
  <w:endnote w:id="15">
    <w:p w14:paraId="4087962E" w14:textId="1B78F9A0" w:rsidR="00EA3751" w:rsidRDefault="00EA3751" w:rsidP="00AD27A9">
      <w:pPr>
        <w:pStyle w:val="EndnoteText"/>
        <w:spacing w:before="120" w:after="120"/>
      </w:pPr>
      <w:r>
        <w:rPr>
          <w:rStyle w:val="EndnoteReference"/>
        </w:rPr>
        <w:endnoteRef/>
      </w:r>
      <w:r>
        <w:t xml:space="preserve"> </w:t>
      </w:r>
      <w:r w:rsidR="009C0A83" w:rsidRPr="009C0A83">
        <w:t xml:space="preserve">Salomon C and Trollor J (2019) </w:t>
      </w:r>
      <w:hyperlink r:id="rId15" w:history="1">
        <w:r w:rsidR="009C0A83" w:rsidRPr="009C0A83">
          <w:rPr>
            <w:rStyle w:val="Hyperlink"/>
            <w:i/>
            <w:iCs/>
          </w:rPr>
          <w:t>A scoping review of causes and contributors to deaths of people with disability in Australia</w:t>
        </w:r>
      </w:hyperlink>
      <w:r w:rsidR="009C0A83" w:rsidRPr="009C0A83">
        <w:t>, report to the NDIS Quality and Safeguards Commission, Department of Developmental Disability Neuropsychiatry UNSW.</w:t>
      </w:r>
    </w:p>
  </w:endnote>
  <w:endnote w:id="16">
    <w:p w14:paraId="78A6CF6A" w14:textId="0785B68A" w:rsidR="00AB5EFF" w:rsidRDefault="00AB5EFF" w:rsidP="00AD27A9">
      <w:pPr>
        <w:pStyle w:val="EndnoteText"/>
        <w:spacing w:before="120" w:after="120"/>
      </w:pPr>
      <w:r>
        <w:rPr>
          <w:rStyle w:val="EndnoteReference"/>
        </w:rPr>
        <w:endnoteRef/>
      </w:r>
      <w:r>
        <w:t xml:space="preserve"> </w:t>
      </w:r>
      <w:r w:rsidRPr="00AB5EFF">
        <w:t xml:space="preserve">World Health Organization (n.d) </w:t>
      </w:r>
      <w:hyperlink r:id="rId16" w:anchor="tab=tab_1" w:history="1">
        <w:r w:rsidRPr="00AB5EFF">
          <w:rPr>
            <w:rStyle w:val="Hyperlink"/>
            <w:i/>
            <w:iCs/>
          </w:rPr>
          <w:t>Social determinants of health</w:t>
        </w:r>
      </w:hyperlink>
      <w:r w:rsidRPr="00AB5EFF">
        <w:t>, WHO website, accessed 27 September 2023.</w:t>
      </w:r>
    </w:p>
  </w:endnote>
  <w:endnote w:id="17">
    <w:p w14:paraId="12A0F682" w14:textId="6B13FCDC" w:rsidR="002D4927" w:rsidRDefault="002D4927" w:rsidP="00AD27A9">
      <w:pPr>
        <w:pStyle w:val="EndnoteText"/>
        <w:spacing w:before="120" w:after="120"/>
      </w:pPr>
      <w:r>
        <w:rPr>
          <w:rStyle w:val="EndnoteReference"/>
        </w:rPr>
        <w:endnoteRef/>
      </w:r>
      <w:r>
        <w:t xml:space="preserve"> </w:t>
      </w:r>
      <w:r w:rsidRPr="002D4927">
        <w:t xml:space="preserve">Emerson E (2013) ‘Childhood exposure to environmental adversity and the well-being of people with intellectual disabilities’, </w:t>
      </w:r>
      <w:r w:rsidRPr="002D4927">
        <w:rPr>
          <w:i/>
          <w:iCs/>
        </w:rPr>
        <w:t>Journal of Intellectual Disability Research</w:t>
      </w:r>
      <w:r w:rsidRPr="002D4927">
        <w:t xml:space="preserve">, 57(7):589-600, </w:t>
      </w:r>
      <w:r w:rsidR="005F146A" w:rsidRPr="002D4927">
        <w:t>doi:</w:t>
      </w:r>
      <w:hyperlink r:id="rId17" w:history="1">
        <w:r w:rsidR="005F146A" w:rsidRPr="009F3C38">
          <w:rPr>
            <w:rStyle w:val="Hyperlink"/>
          </w:rPr>
          <w:t>10.1111/j.1365-2788.2012.01577.x</w:t>
        </w:r>
      </w:hyperlink>
      <w:r w:rsidRPr="002D4927">
        <w:t xml:space="preserve">. </w:t>
      </w:r>
    </w:p>
  </w:endnote>
  <w:endnote w:id="18">
    <w:p w14:paraId="09651D1B" w14:textId="1CBAB3AD" w:rsidR="00882E26" w:rsidRDefault="00882E26" w:rsidP="00AD27A9">
      <w:pPr>
        <w:pStyle w:val="EndnoteText"/>
        <w:spacing w:before="120" w:after="120"/>
      </w:pPr>
      <w:r>
        <w:rPr>
          <w:rStyle w:val="EndnoteReference"/>
        </w:rPr>
        <w:endnoteRef/>
      </w:r>
      <w:r>
        <w:t xml:space="preserve"> </w:t>
      </w:r>
      <w:r w:rsidR="00035333" w:rsidRPr="00035333">
        <w:t>Newton DC and McGillivray JA (2019) ‘Perspectives of carers of people with intellectual disability accessing general practice: “I’d travel to the ends of the earth for the right person”</w:t>
      </w:r>
      <w:r w:rsidR="00035333" w:rsidRPr="00035333">
        <w:rPr>
          <w:rFonts w:ascii="Cambria Math" w:hAnsi="Cambria Math" w:cs="Cambria Math"/>
        </w:rPr>
        <w:t>⁣</w:t>
      </w:r>
      <w:r w:rsidR="00035333" w:rsidRPr="00035333">
        <w:t>’, </w:t>
      </w:r>
      <w:r w:rsidR="00035333" w:rsidRPr="00035333">
        <w:rPr>
          <w:i/>
          <w:iCs/>
        </w:rPr>
        <w:t>Journal of Intellectual &amp; Developmental Disability</w:t>
      </w:r>
      <w:r w:rsidR="00035333" w:rsidRPr="00035333">
        <w:t>, 44(1):64-72, doi:</w:t>
      </w:r>
      <w:hyperlink r:id="rId18" w:history="1">
        <w:r w:rsidR="00035333" w:rsidRPr="00F45A5C">
          <w:rPr>
            <w:rStyle w:val="Hyperlink"/>
          </w:rPr>
          <w:t>10.3109/13668250.2017.1310821</w:t>
        </w:r>
      </w:hyperlink>
      <w:r w:rsidR="00035333" w:rsidRPr="00035333">
        <w:t>.</w:t>
      </w:r>
    </w:p>
  </w:endnote>
  <w:endnote w:id="19">
    <w:p w14:paraId="6070DC7F" w14:textId="0548D7CF" w:rsidR="0002235F" w:rsidRDefault="0002235F" w:rsidP="00AD27A9">
      <w:pPr>
        <w:pStyle w:val="EndnoteText"/>
        <w:spacing w:before="120" w:after="120"/>
      </w:pPr>
      <w:r>
        <w:rPr>
          <w:rStyle w:val="EndnoteReference"/>
        </w:rPr>
        <w:endnoteRef/>
      </w:r>
      <w:r>
        <w:t xml:space="preserve"> </w:t>
      </w:r>
      <w:r w:rsidRPr="0002235F">
        <w:t xml:space="preserve">Australian Institute of Health and Welfare (2022) </w:t>
      </w:r>
      <w:hyperlink r:id="rId19" w:history="1">
        <w:r w:rsidRPr="0002235F">
          <w:rPr>
            <w:rStyle w:val="Hyperlink"/>
            <w:i/>
            <w:iCs/>
          </w:rPr>
          <w:t>People with disability in Australia</w:t>
        </w:r>
      </w:hyperlink>
      <w:r w:rsidRPr="0002235F">
        <w:t>, Australian Institute of Health and Welfare, accessed 28 July 2023.</w:t>
      </w:r>
    </w:p>
  </w:endnote>
  <w:endnote w:id="20">
    <w:p w14:paraId="54F2E636" w14:textId="34E0272A" w:rsidR="00EF5038" w:rsidRDefault="00EF5038" w:rsidP="00AD27A9">
      <w:pPr>
        <w:pStyle w:val="EndnoteText"/>
        <w:spacing w:before="120" w:after="120"/>
      </w:pPr>
      <w:r>
        <w:rPr>
          <w:rStyle w:val="EndnoteReference"/>
        </w:rPr>
        <w:endnoteRef/>
      </w:r>
      <w:r>
        <w:t xml:space="preserve"> </w:t>
      </w:r>
      <w:r w:rsidRPr="00EF5038">
        <w:t xml:space="preserve">Monash Health </w:t>
      </w:r>
      <w:hyperlink r:id="rId20" w:history="1">
        <w:r w:rsidRPr="00EF5038">
          <w:rPr>
            <w:rStyle w:val="Hyperlink"/>
            <w:i/>
            <w:iCs/>
          </w:rPr>
          <w:t>Fact Sheet – Working with people with an intellectual disability in healthcare settings</w:t>
        </w:r>
      </w:hyperlink>
      <w:r w:rsidRPr="00EF5038">
        <w:rPr>
          <w:i/>
          <w:iCs/>
        </w:rPr>
        <w:t xml:space="preserve">, </w:t>
      </w:r>
      <w:r w:rsidRPr="00EF5038">
        <w:t xml:space="preserve">Centre for Developmental Disability Health website, accessed </w:t>
      </w:r>
      <w:r w:rsidR="00976DEC">
        <w:t xml:space="preserve">4 August </w:t>
      </w:r>
      <w:r w:rsidRPr="00EF5038">
        <w:t>2023.</w:t>
      </w:r>
    </w:p>
  </w:endnote>
  <w:endnote w:id="21">
    <w:p w14:paraId="42B4E066" w14:textId="34A0B4CF" w:rsidR="00DB375C" w:rsidRDefault="00DB375C" w:rsidP="00AD27A9">
      <w:pPr>
        <w:pStyle w:val="EndnoteText"/>
        <w:spacing w:before="120" w:after="120"/>
      </w:pPr>
      <w:r>
        <w:rPr>
          <w:rStyle w:val="EndnoteReference"/>
        </w:rPr>
        <w:endnoteRef/>
      </w:r>
      <w:r>
        <w:t xml:space="preserve"> </w:t>
      </w:r>
      <w:r w:rsidR="001258B1" w:rsidRPr="001258B1">
        <w:t xml:space="preserve">Irwin KE, Park ER, Fields LE, Corveleyn AE, Greer JA, Perez GK, Callaway CA, Jacobs JM, Nierenberg AA, Temel JS, Ryan DP and Pirl WF (2019) ‘Bridge: Person-Centered Collaborative Care for Patients with Serious Mental Illness and Cancer’, </w:t>
      </w:r>
      <w:r w:rsidR="001258B1" w:rsidRPr="001258B1">
        <w:rPr>
          <w:i/>
          <w:iCs/>
        </w:rPr>
        <w:t>The</w:t>
      </w:r>
      <w:r w:rsidR="001258B1" w:rsidRPr="001258B1">
        <w:t xml:space="preserve"> </w:t>
      </w:r>
      <w:r w:rsidR="001258B1" w:rsidRPr="001258B1">
        <w:rPr>
          <w:i/>
          <w:iCs/>
        </w:rPr>
        <w:t>Oncologist</w:t>
      </w:r>
      <w:r w:rsidR="001258B1" w:rsidRPr="001258B1">
        <w:t>, 24(7):901-910</w:t>
      </w:r>
      <w:r w:rsidR="00C73515" w:rsidRPr="001258B1">
        <w:t>, doi:</w:t>
      </w:r>
      <w:hyperlink r:id="rId21" w:history="1">
        <w:r w:rsidR="00C73515" w:rsidRPr="009F3C38">
          <w:rPr>
            <w:rStyle w:val="Hyperlink"/>
          </w:rPr>
          <w:t>10.1634/theoncologist.2018-0488</w:t>
        </w:r>
      </w:hyperlink>
      <w:r w:rsidR="001258B1" w:rsidRPr="001258B1">
        <w:t xml:space="preserve">. </w:t>
      </w:r>
    </w:p>
  </w:endnote>
  <w:endnote w:id="22">
    <w:p w14:paraId="1B19473B" w14:textId="0EAA1DAF" w:rsidR="00345405" w:rsidRDefault="00345405" w:rsidP="00AD27A9">
      <w:pPr>
        <w:pStyle w:val="EndnoteText"/>
        <w:spacing w:before="120" w:after="120"/>
      </w:pPr>
      <w:r>
        <w:rPr>
          <w:rStyle w:val="EndnoteReference"/>
        </w:rPr>
        <w:endnoteRef/>
      </w:r>
      <w:r>
        <w:t xml:space="preserve"> </w:t>
      </w:r>
      <w:r w:rsidR="00464504" w:rsidRPr="00464504">
        <w:t xml:space="preserve">National Mental Health Commission (2016) </w:t>
      </w:r>
      <w:hyperlink r:id="rId22" w:history="1">
        <w:r w:rsidR="00464504" w:rsidRPr="00464504">
          <w:rPr>
            <w:rStyle w:val="Hyperlink"/>
          </w:rPr>
          <w:t>Equally well consensus statement: Improving the physical health and wellbeing of people living with mental illness in Australia [PDF 2506KB]</w:t>
        </w:r>
      </w:hyperlink>
      <w:r w:rsidR="00464504" w:rsidRPr="00464504">
        <w:t>, National Mental Health Commission</w:t>
      </w:r>
      <w:r w:rsidR="006779C0">
        <w:t>.</w:t>
      </w:r>
    </w:p>
  </w:endnote>
  <w:endnote w:id="23">
    <w:p w14:paraId="706F8E13" w14:textId="39614C54" w:rsidR="00A64816" w:rsidRDefault="00A64816" w:rsidP="00ED1B18">
      <w:pPr>
        <w:pStyle w:val="EndnoteText"/>
      </w:pPr>
      <w:r>
        <w:rPr>
          <w:rStyle w:val="EndnoteReference"/>
        </w:rPr>
        <w:endnoteRef/>
      </w:r>
      <w:r>
        <w:t xml:space="preserve"> </w:t>
      </w:r>
      <w:r w:rsidR="00966B4F">
        <w:t>Heslop P and Lauer E (2023) ‘</w:t>
      </w:r>
      <w:r w:rsidR="00ED1B18">
        <w:t xml:space="preserve">Strategies to prevent or reduce inequalities in specific avoidable causes of death for adults with intellectual disability: A systematic review’, </w:t>
      </w:r>
      <w:r w:rsidR="00AF7E22" w:rsidRPr="00952BD4">
        <w:rPr>
          <w:i/>
          <w:iCs/>
        </w:rPr>
        <w:t>British Journal of Learning Disabilities</w:t>
      </w:r>
      <w:r w:rsidR="00AF7E22">
        <w:t xml:space="preserve">, </w:t>
      </w:r>
      <w:r w:rsidR="00476B79">
        <w:t>doi:</w:t>
      </w:r>
      <w:hyperlink r:id="rId23" w:history="1">
        <w:r w:rsidR="00476B79" w:rsidRPr="00476B79">
          <w:rPr>
            <w:rStyle w:val="Hyperlink"/>
          </w:rPr>
          <w:t>10.1111/bld.12576</w:t>
        </w:r>
      </w:hyperlink>
      <w:r w:rsidR="00476B79">
        <w:t>.</w:t>
      </w:r>
    </w:p>
  </w:endnote>
  <w:endnote w:id="24">
    <w:p w14:paraId="1B17F437" w14:textId="0D821CB3" w:rsidR="0030179D" w:rsidRDefault="0030179D" w:rsidP="00AD27A9">
      <w:pPr>
        <w:pStyle w:val="EndnoteText"/>
        <w:spacing w:before="120" w:after="120"/>
      </w:pPr>
      <w:r>
        <w:rPr>
          <w:rStyle w:val="EndnoteReference"/>
        </w:rPr>
        <w:endnoteRef/>
      </w:r>
      <w:r>
        <w:t xml:space="preserve"> </w:t>
      </w:r>
      <w:r w:rsidRPr="0030179D">
        <w:t xml:space="preserve">Drum CE, Krahn G, Culley C and Hammond L (2005) ‘Recognizing and Responding to the Health Disparities of People with Disabilities’, </w:t>
      </w:r>
      <w:r w:rsidRPr="0030179D">
        <w:rPr>
          <w:i/>
          <w:iCs/>
        </w:rPr>
        <w:t>Californian Journal of Health Promotion</w:t>
      </w:r>
      <w:r w:rsidRPr="0030179D">
        <w:t xml:space="preserve">, 3(3):29-42, </w:t>
      </w:r>
      <w:r w:rsidR="007640C4" w:rsidRPr="0030179D">
        <w:t>doi:</w:t>
      </w:r>
      <w:hyperlink r:id="rId24" w:history="1">
        <w:r w:rsidR="007640C4" w:rsidRPr="009F3C38">
          <w:rPr>
            <w:rStyle w:val="Hyperlink"/>
          </w:rPr>
          <w:t>10.32398/cjhp.v3i3.647</w:t>
        </w:r>
      </w:hyperlink>
      <w:r w:rsidRPr="0030179D">
        <w:t>.</w:t>
      </w:r>
    </w:p>
  </w:endnote>
  <w:endnote w:id="25">
    <w:p w14:paraId="1829F7FA" w14:textId="43C4EAE0" w:rsidR="00AF7F67" w:rsidRDefault="00AF7F67" w:rsidP="00AD27A9">
      <w:pPr>
        <w:pStyle w:val="EndnoteText"/>
        <w:spacing w:before="120" w:after="120"/>
      </w:pPr>
      <w:r>
        <w:rPr>
          <w:rStyle w:val="EndnoteReference"/>
        </w:rPr>
        <w:endnoteRef/>
      </w:r>
      <w:r>
        <w:t xml:space="preserve"> </w:t>
      </w:r>
      <w:r w:rsidRPr="009C4EEB">
        <w:t>Australian Institute of Health and Welfare (2014) </w:t>
      </w:r>
      <w:r w:rsidRPr="00AF7F67">
        <w:t xml:space="preserve">‘8.1 Prevention for a healthier future’ in </w:t>
      </w:r>
      <w:hyperlink r:id="rId25" w:history="1">
        <w:r w:rsidRPr="009C4EEB">
          <w:rPr>
            <w:rStyle w:val="Hyperlink"/>
            <w:i/>
            <w:iCs/>
          </w:rPr>
          <w:t>Australia's health 2014</w:t>
        </w:r>
      </w:hyperlink>
      <w:r w:rsidRPr="009C4EEB">
        <w:t>, AIHW,</w:t>
      </w:r>
      <w:r w:rsidRPr="00AF7F67">
        <w:t xml:space="preserve"> a</w:t>
      </w:r>
      <w:r w:rsidRPr="009C4EEB">
        <w:t xml:space="preserve">ccessed </w:t>
      </w:r>
      <w:r w:rsidRPr="00AF7F67">
        <w:t>4 August</w:t>
      </w:r>
      <w:r w:rsidRPr="009C4EEB">
        <w:t xml:space="preserve"> 2023</w:t>
      </w:r>
      <w:r w:rsidRPr="00AF7F67">
        <w:t>,</w:t>
      </w:r>
      <w:r w:rsidRPr="009C4EEB">
        <w:t xml:space="preserve"> </w:t>
      </w:r>
      <w:r w:rsidR="00454A5F" w:rsidRPr="009C4EEB">
        <w:t>doi:</w:t>
      </w:r>
      <w:hyperlink r:id="rId26" w:history="1">
        <w:r w:rsidR="00454A5F" w:rsidRPr="00727287">
          <w:rPr>
            <w:rStyle w:val="Hyperlink"/>
          </w:rPr>
          <w:t>10.25816/5ec1e4122547e</w:t>
        </w:r>
      </w:hyperlink>
      <w:r w:rsidR="006779C0">
        <w:t>.</w:t>
      </w:r>
    </w:p>
  </w:endnote>
  <w:endnote w:id="26">
    <w:p w14:paraId="29A1FAA9" w14:textId="4C0E13AA" w:rsidR="003F2785" w:rsidRPr="00AC2D50" w:rsidRDefault="003F2785" w:rsidP="00AD27A9">
      <w:pPr>
        <w:pStyle w:val="EndnoteText"/>
        <w:spacing w:before="120" w:after="120"/>
        <w:rPr>
          <w:b/>
        </w:rPr>
      </w:pPr>
      <w:r>
        <w:rPr>
          <w:rStyle w:val="EndnoteReference"/>
        </w:rPr>
        <w:endnoteRef/>
      </w:r>
      <w:r>
        <w:t xml:space="preserve"> </w:t>
      </w:r>
      <w:r w:rsidR="00AC2D50" w:rsidRPr="00AC2D50">
        <w:t xml:space="preserve">Carey IM, Hosking FJ, Harris T, DeWilde S, Beighton C, Shah SM and Cook DG (2017) ‘Do health checks for adults with intellectual disability reduce emergency hospital admissions? Evaluation of a natural experiment’, </w:t>
      </w:r>
      <w:r w:rsidR="00AC2D50" w:rsidRPr="00AC2D50">
        <w:rPr>
          <w:i/>
          <w:iCs/>
        </w:rPr>
        <w:t>Journal of Epidemiology and Community Health</w:t>
      </w:r>
      <w:r w:rsidR="00AC2D50" w:rsidRPr="00AC2D50">
        <w:t>, </w:t>
      </w:r>
      <w:r w:rsidR="00AC2D50" w:rsidRPr="00AC2D50">
        <w:rPr>
          <w:iCs/>
        </w:rPr>
        <w:t>71</w:t>
      </w:r>
      <w:r w:rsidR="00AC2D50" w:rsidRPr="00AC2D50">
        <w:t xml:space="preserve">(1):52–58, </w:t>
      </w:r>
      <w:r w:rsidR="00FD0F4B" w:rsidRPr="00AC2D50">
        <w:t>doi:</w:t>
      </w:r>
      <w:hyperlink r:id="rId27" w:history="1">
        <w:r w:rsidR="00FD0F4B" w:rsidRPr="009F3C38">
          <w:rPr>
            <w:rStyle w:val="Hyperlink"/>
          </w:rPr>
          <w:t>10.1136/jech-2016-207557</w:t>
        </w:r>
      </w:hyperlink>
      <w:r w:rsidR="00AC2D50" w:rsidRPr="00AC2D50">
        <w:t>.</w:t>
      </w:r>
    </w:p>
  </w:endnote>
  <w:endnote w:id="27">
    <w:p w14:paraId="091250B0" w14:textId="77777777" w:rsidR="009A6824" w:rsidRDefault="009A6824" w:rsidP="00AD27A9">
      <w:pPr>
        <w:pStyle w:val="EndnoteText"/>
        <w:spacing w:before="120" w:after="120"/>
      </w:pPr>
      <w:r>
        <w:rPr>
          <w:rStyle w:val="EndnoteReference"/>
        </w:rPr>
        <w:endnoteRef/>
      </w:r>
      <w:r>
        <w:t xml:space="preserve"> </w:t>
      </w:r>
      <w:r w:rsidRPr="009A6824">
        <w:t xml:space="preserve">Skoss R (2022) </w:t>
      </w:r>
      <w:hyperlink r:id="rId28" w:history="1">
        <w:r w:rsidRPr="009A6824">
          <w:rPr>
            <w:rStyle w:val="Hyperlink"/>
            <w:i/>
            <w:iCs/>
          </w:rPr>
          <w:t>Health care for people who need extra support: A health literacy guide to support the health of people with a cognitive impairment or intellectual disability</w:t>
        </w:r>
        <w:r w:rsidRPr="009A6824">
          <w:rPr>
            <w:rStyle w:val="Hyperlink"/>
          </w:rPr>
          <w:t xml:space="preserve"> [PDF 14.6MB]</w:t>
        </w:r>
      </w:hyperlink>
      <w:r w:rsidRPr="009A6824">
        <w:t>, Fremantle Institute for Health Research, The University of Notre Dame Australia, accessed 12 December 2023.</w:t>
      </w:r>
    </w:p>
  </w:endnote>
  <w:endnote w:id="28">
    <w:p w14:paraId="10593E5D" w14:textId="4C64B938" w:rsidR="00F23FC4" w:rsidRDefault="00F23FC4" w:rsidP="00AD27A9">
      <w:pPr>
        <w:pStyle w:val="EndnoteText"/>
        <w:spacing w:before="120" w:after="120"/>
      </w:pPr>
      <w:r>
        <w:rPr>
          <w:rStyle w:val="EndnoteReference"/>
        </w:rPr>
        <w:endnoteRef/>
      </w:r>
      <w:r>
        <w:t xml:space="preserve"> </w:t>
      </w:r>
      <w:r w:rsidR="00843CD1" w:rsidRPr="00843CD1">
        <w:t xml:space="preserve">Robertson J, Hatton C, Emerson E and Baines S (2014) ‘The impact of health checks for people with intellectual disabilities: an updated systematic review of evidence’, </w:t>
      </w:r>
      <w:r w:rsidR="00843CD1" w:rsidRPr="00843CD1">
        <w:rPr>
          <w:i/>
          <w:iCs/>
        </w:rPr>
        <w:t>Research in Developmental Disabilities,</w:t>
      </w:r>
      <w:r w:rsidR="00843CD1" w:rsidRPr="00843CD1">
        <w:t xml:space="preserve"> 35(10):2450-62, </w:t>
      </w:r>
      <w:r w:rsidR="00EE0E11" w:rsidRPr="00843CD1">
        <w:t>doi:</w:t>
      </w:r>
      <w:hyperlink r:id="rId29" w:history="1">
        <w:r w:rsidR="00EE0E11" w:rsidRPr="009F3C38">
          <w:rPr>
            <w:rStyle w:val="Hyperlink"/>
          </w:rPr>
          <w:t>10.1016/j.ridd.2014.06.007</w:t>
        </w:r>
      </w:hyperlink>
      <w:r w:rsidR="00843CD1" w:rsidRPr="00843CD1">
        <w:t>.</w:t>
      </w:r>
    </w:p>
  </w:endnote>
  <w:endnote w:id="29">
    <w:p w14:paraId="6927B7FE" w14:textId="538AAC03" w:rsidR="00A737F3" w:rsidRDefault="00A737F3" w:rsidP="00AD27A9">
      <w:pPr>
        <w:pStyle w:val="EndnoteText"/>
        <w:spacing w:before="120" w:after="120"/>
      </w:pPr>
      <w:r>
        <w:rPr>
          <w:rStyle w:val="EndnoteReference"/>
        </w:rPr>
        <w:endnoteRef/>
      </w:r>
      <w:r>
        <w:t xml:space="preserve"> </w:t>
      </w:r>
      <w:r w:rsidR="006749D9" w:rsidRPr="006749D9">
        <w:t xml:space="preserve">Moore G, du Toit A, Hutchinson J, Thompson S, Gordon R, Knight A, Graham E and Davenport D (2021) </w:t>
      </w:r>
      <w:hyperlink r:id="rId30" w:history="1">
        <w:r w:rsidR="006749D9" w:rsidRPr="006749D9">
          <w:rPr>
            <w:rStyle w:val="Hyperlink"/>
            <w:i/>
            <w:iCs/>
          </w:rPr>
          <w:t>The effectiveness of comprehensive health assessments for people with a disability: an Evidence Snapshot</w:t>
        </w:r>
      </w:hyperlink>
      <w:r w:rsidR="006749D9" w:rsidRPr="006749D9">
        <w:rPr>
          <w:i/>
          <w:iCs/>
        </w:rPr>
        <w:t>,</w:t>
      </w:r>
      <w:r w:rsidR="006749D9" w:rsidRPr="006749D9">
        <w:t xml:space="preserve"> report to the Australian Commission on Safety and Quality in Health Care, Sax Institute.</w:t>
      </w:r>
    </w:p>
  </w:endnote>
  <w:endnote w:id="30">
    <w:p w14:paraId="620EE5D6" w14:textId="490476DB" w:rsidR="00BF211C" w:rsidRDefault="00BF211C" w:rsidP="00AD27A9">
      <w:pPr>
        <w:pStyle w:val="EndnoteText"/>
        <w:spacing w:before="120" w:after="120"/>
      </w:pPr>
      <w:r>
        <w:rPr>
          <w:rStyle w:val="EndnoteReference"/>
        </w:rPr>
        <w:endnoteRef/>
      </w:r>
      <w:r>
        <w:t xml:space="preserve"> </w:t>
      </w:r>
      <w:r w:rsidR="00C602F9" w:rsidRPr="00C602F9">
        <w:t>National Disability Service (2016)</w:t>
      </w:r>
      <w:r w:rsidR="00C602F9" w:rsidRPr="00C602F9">
        <w:rPr>
          <w:i/>
          <w:iCs/>
        </w:rPr>
        <w:t xml:space="preserve"> </w:t>
      </w:r>
      <w:hyperlink r:id="rId31" w:history="1">
        <w:r w:rsidR="00C602F9" w:rsidRPr="00C602F9">
          <w:rPr>
            <w:rStyle w:val="Hyperlink"/>
            <w:i/>
            <w:iCs/>
          </w:rPr>
          <w:t>Chronic illness and people with disability: prevalence, prevention and management [PDF 272KB]</w:t>
        </w:r>
      </w:hyperlink>
      <w:r w:rsidR="00C602F9" w:rsidRPr="00C602F9">
        <w:t>, National Disability Service, accessed 4 August 2023, , accessed 4 August 2023.</w:t>
      </w:r>
    </w:p>
  </w:endnote>
  <w:endnote w:id="31">
    <w:p w14:paraId="41A211E6" w14:textId="60E75F49" w:rsidR="006112A7" w:rsidRDefault="006112A7" w:rsidP="00AD27A9">
      <w:pPr>
        <w:pStyle w:val="EndnoteText"/>
        <w:spacing w:before="120" w:after="120"/>
      </w:pPr>
      <w:r>
        <w:rPr>
          <w:rStyle w:val="EndnoteReference"/>
        </w:rPr>
        <w:endnoteRef/>
      </w:r>
      <w:r>
        <w:t xml:space="preserve"> </w:t>
      </w:r>
      <w:r w:rsidR="006779C0" w:rsidRPr="006779C0">
        <w:t xml:space="preserve">Lennox N, Bain C, Rey-Conde T, Purdie D, Bush R. and Pandeya N (2007) ‘Effects of a comprehensive health assessment programme for Australian adults with intellectual disability: a cluster randomized trial’, </w:t>
      </w:r>
      <w:r w:rsidR="006779C0" w:rsidRPr="006779C0">
        <w:rPr>
          <w:i/>
          <w:iCs/>
        </w:rPr>
        <w:t>International journal of epidemiology,</w:t>
      </w:r>
      <w:r w:rsidR="006779C0" w:rsidRPr="006779C0">
        <w:t xml:space="preserve"> 36(1):139–146, </w:t>
      </w:r>
      <w:r w:rsidR="00B71505" w:rsidRPr="006779C0">
        <w:t>doi:</w:t>
      </w:r>
      <w:hyperlink r:id="rId32" w:history="1">
        <w:r w:rsidR="00B71505" w:rsidRPr="009F3C38">
          <w:rPr>
            <w:rStyle w:val="Hyperlink"/>
          </w:rPr>
          <w:t>10.1093/ije/dyl254</w:t>
        </w:r>
      </w:hyperlink>
      <w:r w:rsidR="006779C0">
        <w:t>.</w:t>
      </w:r>
    </w:p>
  </w:endnote>
  <w:endnote w:id="32">
    <w:p w14:paraId="133CBE60" w14:textId="09CBC522" w:rsidR="00AB5C62" w:rsidRDefault="00AB5C62" w:rsidP="00AD27A9">
      <w:pPr>
        <w:pStyle w:val="EndnoteText"/>
        <w:spacing w:before="120" w:after="120"/>
      </w:pPr>
      <w:r>
        <w:rPr>
          <w:rStyle w:val="EndnoteReference"/>
        </w:rPr>
        <w:endnoteRef/>
      </w:r>
      <w:r>
        <w:t xml:space="preserve"> </w:t>
      </w:r>
      <w:r w:rsidRPr="00AB5C62">
        <w:t xml:space="preserve">Lennox N, Bain C, Rey-Conde T, Taylor M, Boyle FM, Purdie DM, and Ware RS (2010) ‘Cluster randomized-controlled trial of interventions to improve health for adults with intellectual disability who live in private dwellings’, </w:t>
      </w:r>
      <w:r w:rsidRPr="00AB5C62">
        <w:rPr>
          <w:i/>
          <w:iCs/>
        </w:rPr>
        <w:t>Journal of Applied Research in Intellectual Disabilities,</w:t>
      </w:r>
      <w:r w:rsidRPr="00AB5C62">
        <w:t xml:space="preserve"> 23(4):303–311, </w:t>
      </w:r>
      <w:r w:rsidR="00335A55" w:rsidRPr="00AB5C62">
        <w:t>doi:</w:t>
      </w:r>
      <w:hyperlink r:id="rId33" w:history="1">
        <w:r w:rsidR="00335A55" w:rsidRPr="00251832">
          <w:rPr>
            <w:rStyle w:val="Hyperlink"/>
          </w:rPr>
          <w:t>10.1111/j.1468-3148.2009.00533.x</w:t>
        </w:r>
      </w:hyperlink>
      <w:r w:rsidR="00335A55">
        <w:rPr>
          <w:rStyle w:val="Hyperlink"/>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3A9E5" w14:textId="77777777" w:rsidR="00E86623" w:rsidRDefault="00E86623" w:rsidP="00362AB6">
    <w:pPr>
      <w:pStyle w:val="Footer"/>
    </w:pPr>
  </w:p>
  <w:p w14:paraId="01A958D0" w14:textId="6314F5D6" w:rsidR="00E86623" w:rsidRPr="00080615" w:rsidRDefault="00E86623" w:rsidP="009D7A35">
    <w:pPr>
      <w:pStyle w:val="Footer"/>
      <w:pBdr>
        <w:top w:val="single" w:sz="4" w:space="1" w:color="auto"/>
      </w:pBdr>
      <w:jc w:val="both"/>
    </w:pPr>
    <w:r>
      <w:t>Practice Alert: Comprehensive health assessment</w:t>
    </w:r>
    <w:r>
      <w:tab/>
    </w:r>
    <w:r>
      <w:tab/>
      <w:t xml:space="preserve">Page </w:t>
    </w:r>
    <w:r>
      <w:fldChar w:fldCharType="begin"/>
    </w:r>
    <w:r>
      <w:instrText xml:space="preserve"> PAGE   \* MERGEFORMAT </w:instrText>
    </w:r>
    <w:r>
      <w:fldChar w:fldCharType="separate"/>
    </w:r>
    <w:r w:rsidR="00A35F82">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18C23" w14:textId="77777777" w:rsidR="00E86623" w:rsidRDefault="00E86623" w:rsidP="00715CAE">
    <w:pPr>
      <w:pStyle w:val="Footer"/>
      <w:jc w:val="right"/>
      <w:rPr>
        <w:sz w:val="18"/>
        <w:szCs w:val="18"/>
      </w:rPr>
    </w:pPr>
  </w:p>
  <w:p w14:paraId="1F19DE14" w14:textId="19C7332A" w:rsidR="00E86623" w:rsidRPr="00080615" w:rsidRDefault="00E86623" w:rsidP="009359E9">
    <w:pPr>
      <w:pStyle w:val="Footer"/>
      <w:pBdr>
        <w:top w:val="single" w:sz="4" w:space="1" w:color="auto"/>
      </w:pBdr>
      <w:jc w:val="both"/>
    </w:pPr>
    <w:r>
      <w:t>Practice Alert: Comprehensive health assessment</w:t>
    </w:r>
    <w:r>
      <w:tab/>
    </w:r>
    <w:r>
      <w:tab/>
      <w:t xml:space="preserve">Page </w:t>
    </w:r>
    <w:r>
      <w:fldChar w:fldCharType="begin"/>
    </w:r>
    <w:r>
      <w:instrText xml:space="preserve"> PAGE   \* MERGEFORMAT </w:instrText>
    </w:r>
    <w:r>
      <w:fldChar w:fldCharType="separate"/>
    </w:r>
    <w:r w:rsidR="00A35F8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01CEF" w14:textId="77777777" w:rsidR="00CA3788" w:rsidRDefault="00CA3788" w:rsidP="008E21DE">
      <w:r>
        <w:separator/>
      </w:r>
    </w:p>
  </w:footnote>
  <w:footnote w:type="continuationSeparator" w:id="0">
    <w:p w14:paraId="1CF5D7A8" w14:textId="77777777" w:rsidR="00CA3788" w:rsidRDefault="00CA3788" w:rsidP="008E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B528F" w14:textId="31C97B4A" w:rsidR="007A3242" w:rsidRDefault="007A3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63889" w14:textId="198BA21F" w:rsidR="00E86623" w:rsidRDefault="00E86623">
    <w:pPr>
      <w:pStyle w:val="Header"/>
    </w:pPr>
  </w:p>
  <w:p w14:paraId="2103B890" w14:textId="77777777" w:rsidR="00E86623" w:rsidRDefault="00E86623">
    <w:pPr>
      <w:pStyle w:val="Header"/>
    </w:pPr>
    <w:r>
      <w:rPr>
        <w:b w:val="0"/>
        <w:bCs/>
        <w:noProof/>
        <w:lang w:eastAsia="en-AU"/>
      </w:rPr>
      <mc:AlternateContent>
        <mc:Choice Requires="wps">
          <w:drawing>
            <wp:inline distT="0" distB="0" distL="0" distR="0" wp14:anchorId="161331BC" wp14:editId="7967A414">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DC83C5"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DBD3B" w14:textId="27137DAF" w:rsidR="00E86623" w:rsidRDefault="00E86623">
    <w:pPr>
      <w:pStyle w:val="Header"/>
    </w:pPr>
    <w:r>
      <w:rPr>
        <w:noProof/>
        <w:lang w:eastAsia="en-AU"/>
      </w:rPr>
      <w:ptab w:relativeTo="margin" w:alignment="left" w:leader="none"/>
    </w:r>
    <w:r>
      <w:rPr>
        <w:noProof/>
        <w:lang w:eastAsia="en-AU"/>
      </w:rPr>
      <w:drawing>
        <wp:inline distT="0" distB="0" distL="0" distR="0" wp14:anchorId="180E889B" wp14:editId="009B672C">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D0B6E"/>
    <w:multiLevelType w:val="hybridMultilevel"/>
    <w:tmpl w:val="586C9FA2"/>
    <w:lvl w:ilvl="0" w:tplc="9D36AA9E">
      <w:start w:val="1"/>
      <w:numFmt w:val="decimal"/>
      <w:pStyle w:val="Heading2-numbered"/>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FD196C"/>
    <w:multiLevelType w:val="hybridMultilevel"/>
    <w:tmpl w:val="118462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8C34CF2"/>
    <w:multiLevelType w:val="hybridMultilevel"/>
    <w:tmpl w:val="6192A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3154B9D"/>
    <w:multiLevelType w:val="hybridMultilevel"/>
    <w:tmpl w:val="0BCE5CC8"/>
    <w:lvl w:ilvl="0" w:tplc="00389C5E">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1441BE"/>
    <w:multiLevelType w:val="hybridMultilevel"/>
    <w:tmpl w:val="EF0681BA"/>
    <w:lvl w:ilvl="0" w:tplc="3C8896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474E8C"/>
    <w:multiLevelType w:val="hybridMultilevel"/>
    <w:tmpl w:val="E790122A"/>
    <w:lvl w:ilvl="0" w:tplc="4E66EF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662E84"/>
    <w:multiLevelType w:val="hybridMultilevel"/>
    <w:tmpl w:val="740A0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B85EEB"/>
    <w:multiLevelType w:val="hybridMultilevel"/>
    <w:tmpl w:val="4DBCA3BE"/>
    <w:lvl w:ilvl="0" w:tplc="610A0FF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D07841"/>
    <w:multiLevelType w:val="hybridMultilevel"/>
    <w:tmpl w:val="653AF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8A56C6"/>
    <w:multiLevelType w:val="hybridMultilevel"/>
    <w:tmpl w:val="81AE6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D85522"/>
    <w:multiLevelType w:val="hybridMultilevel"/>
    <w:tmpl w:val="7D86119C"/>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6" w15:restartNumberingAfterBreak="0">
    <w:nsid w:val="36495B31"/>
    <w:multiLevelType w:val="hybridMultilevel"/>
    <w:tmpl w:val="BC0232DA"/>
    <w:lvl w:ilvl="0" w:tplc="488477F4">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68721CC"/>
    <w:multiLevelType w:val="hybridMultilevel"/>
    <w:tmpl w:val="BA747518"/>
    <w:lvl w:ilvl="0" w:tplc="15CA6596">
      <w:start w:val="1"/>
      <w:numFmt w:val="decimal"/>
      <w:lvlText w:val="%1."/>
      <w:lvlJc w:val="left"/>
      <w:pPr>
        <w:ind w:left="716" w:hanging="432"/>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15:restartNumberingAfterBreak="0">
    <w:nsid w:val="396210ED"/>
    <w:multiLevelType w:val="multilevel"/>
    <w:tmpl w:val="EAA203F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bullet"/>
      <w:lvlText w:val=""/>
      <w:lvlJc w:val="left"/>
      <w:pPr>
        <w:ind w:left="1136" w:hanging="284"/>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3C363706"/>
    <w:multiLevelType w:val="hybridMultilevel"/>
    <w:tmpl w:val="D78CA0DC"/>
    <w:lvl w:ilvl="0" w:tplc="8488F4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E02517"/>
    <w:multiLevelType w:val="hybridMultilevel"/>
    <w:tmpl w:val="593A5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D968CA"/>
    <w:multiLevelType w:val="hybridMultilevel"/>
    <w:tmpl w:val="C6AA1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3" w15:restartNumberingAfterBreak="0">
    <w:nsid w:val="44331BD0"/>
    <w:multiLevelType w:val="hybridMultilevel"/>
    <w:tmpl w:val="6B4849C4"/>
    <w:lvl w:ilvl="0" w:tplc="4B4293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634007"/>
    <w:multiLevelType w:val="hybridMultilevel"/>
    <w:tmpl w:val="3BFED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214E3E"/>
    <w:multiLevelType w:val="hybridMultilevel"/>
    <w:tmpl w:val="E72AB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6625A1"/>
    <w:multiLevelType w:val="hybridMultilevel"/>
    <w:tmpl w:val="8334E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2478C0"/>
    <w:multiLevelType w:val="hybridMultilevel"/>
    <w:tmpl w:val="4BE63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3E30BE"/>
    <w:multiLevelType w:val="hybridMultilevel"/>
    <w:tmpl w:val="B2723D12"/>
    <w:lvl w:ilvl="0" w:tplc="3E42E0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FD6BD4"/>
    <w:multiLevelType w:val="hybridMultilevel"/>
    <w:tmpl w:val="C0040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7615A0"/>
    <w:multiLevelType w:val="multilevel"/>
    <w:tmpl w:val="8F9A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38312F"/>
    <w:multiLevelType w:val="hybridMultilevel"/>
    <w:tmpl w:val="295AB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615703"/>
    <w:multiLevelType w:val="multilevel"/>
    <w:tmpl w:val="803CF862"/>
    <w:numStyleLink w:val="List1Numbered"/>
  </w:abstractNum>
  <w:abstractNum w:abstractNumId="35" w15:restartNumberingAfterBreak="0">
    <w:nsid w:val="603637AA"/>
    <w:multiLevelType w:val="hybridMultilevel"/>
    <w:tmpl w:val="5022B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061BCC"/>
    <w:multiLevelType w:val="multilevel"/>
    <w:tmpl w:val="3D9CD252"/>
    <w:lvl w:ilvl="0">
      <w:start w:val="1"/>
      <w:numFmt w:val="bullet"/>
      <w:lvlText w:val=""/>
      <w:lvlJc w:val="left"/>
      <w:pPr>
        <w:ind w:left="644" w:hanging="284"/>
      </w:pPr>
      <w:rPr>
        <w:rFonts w:ascii="Symbol" w:hAnsi="Symbol" w:hint="default"/>
        <w:color w:val="auto"/>
      </w:rPr>
    </w:lvl>
    <w:lvl w:ilvl="1">
      <w:start w:val="1"/>
      <w:numFmt w:val="bullet"/>
      <w:lvlText w:val="–"/>
      <w:lvlJc w:val="left"/>
      <w:pPr>
        <w:ind w:left="928" w:hanging="284"/>
      </w:pPr>
      <w:rPr>
        <w:rFonts w:ascii="Arial" w:hAnsi="Arial" w:hint="default"/>
        <w:color w:val="auto"/>
      </w:rPr>
    </w:lvl>
    <w:lvl w:ilvl="2">
      <w:start w:val="1"/>
      <w:numFmt w:val="bullet"/>
      <w:lvlText w:val="»"/>
      <w:lvlJc w:val="left"/>
      <w:pPr>
        <w:ind w:left="1212" w:hanging="284"/>
      </w:pPr>
      <w:rPr>
        <w:rFonts w:ascii="Arial" w:hAnsi="Arial" w:hint="default"/>
        <w:color w:val="auto"/>
      </w:rPr>
    </w:lvl>
    <w:lvl w:ilvl="3">
      <w:start w:val="1"/>
      <w:numFmt w:val="bullet"/>
      <w:lvlText w:val="o"/>
      <w:lvlJc w:val="left"/>
      <w:pPr>
        <w:ind w:left="1496" w:hanging="284"/>
      </w:pPr>
      <w:rPr>
        <w:rFonts w:ascii="Courier New" w:hAnsi="Courier New" w:cs="Courier New" w:hint="default"/>
      </w:rPr>
    </w:lvl>
    <w:lvl w:ilvl="4">
      <w:start w:val="1"/>
      <w:numFmt w:val="lowerLetter"/>
      <w:lvlText w:val="(%5)"/>
      <w:lvlJc w:val="left"/>
      <w:pPr>
        <w:ind w:left="1780" w:hanging="284"/>
      </w:pPr>
      <w:rPr>
        <w:rFonts w:hint="default"/>
      </w:rPr>
    </w:lvl>
    <w:lvl w:ilvl="5">
      <w:start w:val="1"/>
      <w:numFmt w:val="lowerRoman"/>
      <w:lvlText w:val="(%6)"/>
      <w:lvlJc w:val="left"/>
      <w:pPr>
        <w:ind w:left="2064" w:hanging="284"/>
      </w:pPr>
      <w:rPr>
        <w:rFonts w:hint="default"/>
      </w:rPr>
    </w:lvl>
    <w:lvl w:ilvl="6">
      <w:start w:val="1"/>
      <w:numFmt w:val="decimal"/>
      <w:lvlText w:val="%7."/>
      <w:lvlJc w:val="left"/>
      <w:pPr>
        <w:ind w:left="2348" w:hanging="284"/>
      </w:pPr>
      <w:rPr>
        <w:rFonts w:hint="default"/>
      </w:rPr>
    </w:lvl>
    <w:lvl w:ilvl="7">
      <w:start w:val="1"/>
      <w:numFmt w:val="lowerLetter"/>
      <w:lvlText w:val="%8."/>
      <w:lvlJc w:val="left"/>
      <w:pPr>
        <w:ind w:left="2632" w:hanging="284"/>
      </w:pPr>
      <w:rPr>
        <w:rFonts w:hint="default"/>
      </w:rPr>
    </w:lvl>
    <w:lvl w:ilvl="8">
      <w:start w:val="1"/>
      <w:numFmt w:val="lowerRoman"/>
      <w:lvlText w:val="%9."/>
      <w:lvlJc w:val="left"/>
      <w:pPr>
        <w:ind w:left="2916" w:hanging="284"/>
      </w:pPr>
      <w:rPr>
        <w:rFonts w:hint="default"/>
      </w:rPr>
    </w:lvl>
  </w:abstractNum>
  <w:abstractNum w:abstractNumId="37" w15:restartNumberingAfterBreak="0">
    <w:nsid w:val="6D4F423B"/>
    <w:multiLevelType w:val="multilevel"/>
    <w:tmpl w:val="4A7CCC2C"/>
    <w:numStyleLink w:val="DefaultBullets"/>
  </w:abstractNum>
  <w:abstractNum w:abstractNumId="38" w15:restartNumberingAfterBreak="0">
    <w:nsid w:val="6F8D5227"/>
    <w:multiLevelType w:val="hybridMultilevel"/>
    <w:tmpl w:val="D6F4E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656F87"/>
    <w:multiLevelType w:val="hybridMultilevel"/>
    <w:tmpl w:val="DEF04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1" w15:restartNumberingAfterBreak="0">
    <w:nsid w:val="7627098C"/>
    <w:multiLevelType w:val="hybridMultilevel"/>
    <w:tmpl w:val="C450A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394645"/>
    <w:multiLevelType w:val="hybridMultilevel"/>
    <w:tmpl w:val="648CD30A"/>
    <w:lvl w:ilvl="0" w:tplc="C58C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3E69E4"/>
    <w:multiLevelType w:val="hybridMultilevel"/>
    <w:tmpl w:val="397A9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0B67C4"/>
    <w:multiLevelType w:val="multilevel"/>
    <w:tmpl w:val="FE688822"/>
    <w:numStyleLink w:val="BoxedBullets"/>
  </w:abstractNum>
  <w:abstractNum w:abstractNumId="45" w15:restartNumberingAfterBreak="0">
    <w:nsid w:val="7B7178AF"/>
    <w:multiLevelType w:val="multilevel"/>
    <w:tmpl w:val="2D74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BC58C0"/>
    <w:multiLevelType w:val="hybridMultilevel"/>
    <w:tmpl w:val="20188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D6565C"/>
    <w:multiLevelType w:val="hybridMultilevel"/>
    <w:tmpl w:val="B9186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8857844">
    <w:abstractNumId w:val="3"/>
  </w:num>
  <w:num w:numId="2" w16cid:durableId="377121833">
    <w:abstractNumId w:val="30"/>
  </w:num>
  <w:num w:numId="3" w16cid:durableId="1739277940">
    <w:abstractNumId w:val="44"/>
  </w:num>
  <w:num w:numId="4" w16cid:durableId="2030377458">
    <w:abstractNumId w:val="22"/>
  </w:num>
  <w:num w:numId="5" w16cid:durableId="1764960234">
    <w:abstractNumId w:val="8"/>
  </w:num>
  <w:num w:numId="6" w16cid:durableId="301079488">
    <w:abstractNumId w:val="7"/>
  </w:num>
  <w:num w:numId="7" w16cid:durableId="950943100">
    <w:abstractNumId w:val="34"/>
  </w:num>
  <w:num w:numId="8" w16cid:durableId="443966734">
    <w:abstractNumId w:val="31"/>
  </w:num>
  <w:num w:numId="9" w16cid:durableId="4795806">
    <w:abstractNumId w:val="9"/>
  </w:num>
  <w:num w:numId="10" w16cid:durableId="124783588">
    <w:abstractNumId w:val="40"/>
  </w:num>
  <w:num w:numId="11" w16cid:durableId="325940734">
    <w:abstractNumId w:val="37"/>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2049917463">
    <w:abstractNumId w:val="6"/>
  </w:num>
  <w:num w:numId="13" w16cid:durableId="802036664">
    <w:abstractNumId w:val="32"/>
  </w:num>
  <w:num w:numId="14" w16cid:durableId="1690830921">
    <w:abstractNumId w:val="47"/>
  </w:num>
  <w:num w:numId="15" w16cid:durableId="1516378406">
    <w:abstractNumId w:val="2"/>
  </w:num>
  <w:num w:numId="16" w16cid:durableId="315452186">
    <w:abstractNumId w:val="35"/>
  </w:num>
  <w:num w:numId="17" w16cid:durableId="916985345">
    <w:abstractNumId w:val="11"/>
  </w:num>
  <w:num w:numId="18" w16cid:durableId="1965772907">
    <w:abstractNumId w:val="26"/>
  </w:num>
  <w:num w:numId="19" w16cid:durableId="1026980546">
    <w:abstractNumId w:val="21"/>
  </w:num>
  <w:num w:numId="20" w16cid:durableId="1014068495">
    <w:abstractNumId w:val="25"/>
  </w:num>
  <w:num w:numId="21" w16cid:durableId="1000041678">
    <w:abstractNumId w:val="38"/>
  </w:num>
  <w:num w:numId="22" w16cid:durableId="1275862425">
    <w:abstractNumId w:val="20"/>
  </w:num>
  <w:num w:numId="23" w16cid:durableId="906842152">
    <w:abstractNumId w:val="19"/>
  </w:num>
  <w:num w:numId="24" w16cid:durableId="1244030281">
    <w:abstractNumId w:val="27"/>
  </w:num>
  <w:num w:numId="25" w16cid:durableId="1376395212">
    <w:abstractNumId w:val="41"/>
  </w:num>
  <w:num w:numId="26" w16cid:durableId="917599220">
    <w:abstractNumId w:val="13"/>
  </w:num>
  <w:num w:numId="27" w16cid:durableId="1933318342">
    <w:abstractNumId w:val="14"/>
  </w:num>
  <w:num w:numId="28" w16cid:durableId="812792698">
    <w:abstractNumId w:val="18"/>
  </w:num>
  <w:num w:numId="29" w16cid:durableId="1556161725">
    <w:abstractNumId w:val="36"/>
  </w:num>
  <w:num w:numId="30" w16cid:durableId="88087043">
    <w:abstractNumId w:val="45"/>
  </w:num>
  <w:num w:numId="31" w16cid:durableId="1072848977">
    <w:abstractNumId w:val="1"/>
  </w:num>
  <w:num w:numId="32" w16cid:durableId="1487628287">
    <w:abstractNumId w:val="42"/>
  </w:num>
  <w:num w:numId="33" w16cid:durableId="1837114981">
    <w:abstractNumId w:val="23"/>
  </w:num>
  <w:num w:numId="34" w16cid:durableId="1976711747">
    <w:abstractNumId w:val="4"/>
  </w:num>
  <w:num w:numId="35" w16cid:durableId="1985616488">
    <w:abstractNumId w:val="28"/>
  </w:num>
  <w:num w:numId="36" w16cid:durableId="397167012">
    <w:abstractNumId w:val="43"/>
  </w:num>
  <w:num w:numId="37" w16cid:durableId="735513025">
    <w:abstractNumId w:val="5"/>
  </w:num>
  <w:num w:numId="38" w16cid:durableId="1933277269">
    <w:abstractNumId w:val="46"/>
  </w:num>
  <w:num w:numId="39" w16cid:durableId="1905526944">
    <w:abstractNumId w:val="0"/>
  </w:num>
  <w:num w:numId="40" w16cid:durableId="1532298079">
    <w:abstractNumId w:val="12"/>
  </w:num>
  <w:num w:numId="41" w16cid:durableId="599069911">
    <w:abstractNumId w:val="10"/>
  </w:num>
  <w:num w:numId="42" w16cid:durableId="1182549693">
    <w:abstractNumId w:val="15"/>
  </w:num>
  <w:num w:numId="43" w16cid:durableId="623342763">
    <w:abstractNumId w:val="17"/>
  </w:num>
  <w:num w:numId="44" w16cid:durableId="2125491966">
    <w:abstractNumId w:val="39"/>
  </w:num>
  <w:num w:numId="45" w16cid:durableId="1635983331">
    <w:abstractNumId w:val="16"/>
  </w:num>
  <w:num w:numId="46" w16cid:durableId="188876094">
    <w:abstractNumId w:val="24"/>
  </w:num>
  <w:num w:numId="47" w16cid:durableId="753671088">
    <w:abstractNumId w:val="33"/>
  </w:num>
  <w:num w:numId="48" w16cid:durableId="65495947">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8C38F44-50B4-4360-AFFC-B2FAD264BD26}"/>
    <w:docVar w:name="dgnword-eventsink" w:val="466221416"/>
    <w:docVar w:name="dgnword-lastRevisionsView" w:val="0"/>
  </w:docVars>
  <w:rsids>
    <w:rsidRoot w:val="00BB6F8E"/>
    <w:rsid w:val="00000034"/>
    <w:rsid w:val="00000A69"/>
    <w:rsid w:val="000013B4"/>
    <w:rsid w:val="000015F3"/>
    <w:rsid w:val="00001F90"/>
    <w:rsid w:val="0001470B"/>
    <w:rsid w:val="000165D3"/>
    <w:rsid w:val="00020DC8"/>
    <w:rsid w:val="0002219F"/>
    <w:rsid w:val="0002235F"/>
    <w:rsid w:val="000270C7"/>
    <w:rsid w:val="00034433"/>
    <w:rsid w:val="00035333"/>
    <w:rsid w:val="00037653"/>
    <w:rsid w:val="00043D08"/>
    <w:rsid w:val="000470BF"/>
    <w:rsid w:val="0005524F"/>
    <w:rsid w:val="00056D72"/>
    <w:rsid w:val="000605ED"/>
    <w:rsid w:val="00060B5C"/>
    <w:rsid w:val="0006183D"/>
    <w:rsid w:val="00061E35"/>
    <w:rsid w:val="00063052"/>
    <w:rsid w:val="0006366C"/>
    <w:rsid w:val="000721DF"/>
    <w:rsid w:val="00073162"/>
    <w:rsid w:val="00080615"/>
    <w:rsid w:val="00083793"/>
    <w:rsid w:val="000838A9"/>
    <w:rsid w:val="00090E93"/>
    <w:rsid w:val="0009336A"/>
    <w:rsid w:val="000974C9"/>
    <w:rsid w:val="000A06B8"/>
    <w:rsid w:val="000A38BD"/>
    <w:rsid w:val="000A402C"/>
    <w:rsid w:val="000B082D"/>
    <w:rsid w:val="000B346C"/>
    <w:rsid w:val="000C19A5"/>
    <w:rsid w:val="000C1BBC"/>
    <w:rsid w:val="000C1C25"/>
    <w:rsid w:val="000C252F"/>
    <w:rsid w:val="000C5959"/>
    <w:rsid w:val="000C64EC"/>
    <w:rsid w:val="000C7CE9"/>
    <w:rsid w:val="000D4C4F"/>
    <w:rsid w:val="000D7AA7"/>
    <w:rsid w:val="000E48A1"/>
    <w:rsid w:val="000F0FF6"/>
    <w:rsid w:val="000F11C1"/>
    <w:rsid w:val="000F1BFD"/>
    <w:rsid w:val="000F2803"/>
    <w:rsid w:val="000F3A54"/>
    <w:rsid w:val="000F48FC"/>
    <w:rsid w:val="000F6E23"/>
    <w:rsid w:val="000F7594"/>
    <w:rsid w:val="0010008B"/>
    <w:rsid w:val="0010091F"/>
    <w:rsid w:val="00104014"/>
    <w:rsid w:val="001058AC"/>
    <w:rsid w:val="00106F1D"/>
    <w:rsid w:val="00111E75"/>
    <w:rsid w:val="00111F14"/>
    <w:rsid w:val="00112B65"/>
    <w:rsid w:val="00117E87"/>
    <w:rsid w:val="00122222"/>
    <w:rsid w:val="00123C96"/>
    <w:rsid w:val="001258B1"/>
    <w:rsid w:val="00140303"/>
    <w:rsid w:val="001417A2"/>
    <w:rsid w:val="0014582E"/>
    <w:rsid w:val="001505E9"/>
    <w:rsid w:val="0015106F"/>
    <w:rsid w:val="001566C1"/>
    <w:rsid w:val="00157720"/>
    <w:rsid w:val="0016212B"/>
    <w:rsid w:val="00162EBA"/>
    <w:rsid w:val="00164EB5"/>
    <w:rsid w:val="00170933"/>
    <w:rsid w:val="00172F88"/>
    <w:rsid w:val="00173E61"/>
    <w:rsid w:val="00175AC0"/>
    <w:rsid w:val="001803E7"/>
    <w:rsid w:val="00182709"/>
    <w:rsid w:val="00182825"/>
    <w:rsid w:val="00184E6D"/>
    <w:rsid w:val="00190BCA"/>
    <w:rsid w:val="001916AA"/>
    <w:rsid w:val="00192DCE"/>
    <w:rsid w:val="00192E25"/>
    <w:rsid w:val="00197591"/>
    <w:rsid w:val="001975E7"/>
    <w:rsid w:val="00197787"/>
    <w:rsid w:val="001A02C4"/>
    <w:rsid w:val="001A1A13"/>
    <w:rsid w:val="001A4048"/>
    <w:rsid w:val="001A466A"/>
    <w:rsid w:val="001A6460"/>
    <w:rsid w:val="001A79F8"/>
    <w:rsid w:val="001B233E"/>
    <w:rsid w:val="001C5241"/>
    <w:rsid w:val="001C7233"/>
    <w:rsid w:val="001D03C6"/>
    <w:rsid w:val="001D0CCB"/>
    <w:rsid w:val="001D23C3"/>
    <w:rsid w:val="001D320F"/>
    <w:rsid w:val="001D4196"/>
    <w:rsid w:val="001D4A4D"/>
    <w:rsid w:val="001D7ED7"/>
    <w:rsid w:val="001E1C6F"/>
    <w:rsid w:val="001E352F"/>
    <w:rsid w:val="001E3C70"/>
    <w:rsid w:val="001E5679"/>
    <w:rsid w:val="001E640E"/>
    <w:rsid w:val="001E7767"/>
    <w:rsid w:val="001F0FD2"/>
    <w:rsid w:val="001F1FA5"/>
    <w:rsid w:val="001F4CBC"/>
    <w:rsid w:val="001F4F91"/>
    <w:rsid w:val="001F54F9"/>
    <w:rsid w:val="001F6856"/>
    <w:rsid w:val="001F7FF1"/>
    <w:rsid w:val="00201052"/>
    <w:rsid w:val="00202593"/>
    <w:rsid w:val="002036EF"/>
    <w:rsid w:val="002150E9"/>
    <w:rsid w:val="00220E64"/>
    <w:rsid w:val="0022620F"/>
    <w:rsid w:val="00226685"/>
    <w:rsid w:val="00231AAC"/>
    <w:rsid w:val="002356E8"/>
    <w:rsid w:val="00240AD3"/>
    <w:rsid w:val="00243B03"/>
    <w:rsid w:val="00245120"/>
    <w:rsid w:val="00250DAB"/>
    <w:rsid w:val="00255564"/>
    <w:rsid w:val="00260565"/>
    <w:rsid w:val="002610F4"/>
    <w:rsid w:val="00264437"/>
    <w:rsid w:val="00267B7C"/>
    <w:rsid w:val="00270524"/>
    <w:rsid w:val="002732C1"/>
    <w:rsid w:val="0027344B"/>
    <w:rsid w:val="002804D3"/>
    <w:rsid w:val="00282E8A"/>
    <w:rsid w:val="00284D1A"/>
    <w:rsid w:val="00284F41"/>
    <w:rsid w:val="002907AF"/>
    <w:rsid w:val="002914DA"/>
    <w:rsid w:val="00293890"/>
    <w:rsid w:val="002A0072"/>
    <w:rsid w:val="002A2081"/>
    <w:rsid w:val="002A62D5"/>
    <w:rsid w:val="002B2686"/>
    <w:rsid w:val="002B2961"/>
    <w:rsid w:val="002B39E6"/>
    <w:rsid w:val="002B6526"/>
    <w:rsid w:val="002B6686"/>
    <w:rsid w:val="002C4E50"/>
    <w:rsid w:val="002D0895"/>
    <w:rsid w:val="002D0FE6"/>
    <w:rsid w:val="002D4927"/>
    <w:rsid w:val="002D6854"/>
    <w:rsid w:val="002D695D"/>
    <w:rsid w:val="002E1F74"/>
    <w:rsid w:val="002E6AC2"/>
    <w:rsid w:val="002E6D01"/>
    <w:rsid w:val="002E6D0E"/>
    <w:rsid w:val="002F6FB1"/>
    <w:rsid w:val="003002D6"/>
    <w:rsid w:val="0030095B"/>
    <w:rsid w:val="00301042"/>
    <w:rsid w:val="00301595"/>
    <w:rsid w:val="003016A3"/>
    <w:rsid w:val="0030179D"/>
    <w:rsid w:val="00304F8D"/>
    <w:rsid w:val="0030770B"/>
    <w:rsid w:val="0031039A"/>
    <w:rsid w:val="003104EA"/>
    <w:rsid w:val="0031099C"/>
    <w:rsid w:val="00316DB6"/>
    <w:rsid w:val="00330929"/>
    <w:rsid w:val="00333328"/>
    <w:rsid w:val="003339E4"/>
    <w:rsid w:val="00335A55"/>
    <w:rsid w:val="0033688B"/>
    <w:rsid w:val="00336925"/>
    <w:rsid w:val="003375D5"/>
    <w:rsid w:val="00342127"/>
    <w:rsid w:val="00344075"/>
    <w:rsid w:val="003449A0"/>
    <w:rsid w:val="00344BB0"/>
    <w:rsid w:val="00345405"/>
    <w:rsid w:val="0034598E"/>
    <w:rsid w:val="0034695C"/>
    <w:rsid w:val="00347AC4"/>
    <w:rsid w:val="00357780"/>
    <w:rsid w:val="00357D15"/>
    <w:rsid w:val="00362AB6"/>
    <w:rsid w:val="00373985"/>
    <w:rsid w:val="00373CA8"/>
    <w:rsid w:val="00374E6E"/>
    <w:rsid w:val="00377B6A"/>
    <w:rsid w:val="0038383C"/>
    <w:rsid w:val="00387BCB"/>
    <w:rsid w:val="00393127"/>
    <w:rsid w:val="00394C90"/>
    <w:rsid w:val="003954F0"/>
    <w:rsid w:val="00395DDA"/>
    <w:rsid w:val="003972B2"/>
    <w:rsid w:val="003A17F9"/>
    <w:rsid w:val="003A5CD9"/>
    <w:rsid w:val="003A63A8"/>
    <w:rsid w:val="003A6ECC"/>
    <w:rsid w:val="003A764C"/>
    <w:rsid w:val="003B0F71"/>
    <w:rsid w:val="003B13E4"/>
    <w:rsid w:val="003B5CEE"/>
    <w:rsid w:val="003B622C"/>
    <w:rsid w:val="003C0873"/>
    <w:rsid w:val="003C150A"/>
    <w:rsid w:val="003C49B9"/>
    <w:rsid w:val="003C60DF"/>
    <w:rsid w:val="003C7D51"/>
    <w:rsid w:val="003D05EC"/>
    <w:rsid w:val="003D0F94"/>
    <w:rsid w:val="003D3533"/>
    <w:rsid w:val="003D50C0"/>
    <w:rsid w:val="003E53D6"/>
    <w:rsid w:val="003E70D2"/>
    <w:rsid w:val="003F016D"/>
    <w:rsid w:val="003F2785"/>
    <w:rsid w:val="003F29B8"/>
    <w:rsid w:val="00405AD0"/>
    <w:rsid w:val="00407E61"/>
    <w:rsid w:val="00410986"/>
    <w:rsid w:val="004115BB"/>
    <w:rsid w:val="00411F12"/>
    <w:rsid w:val="00414CC1"/>
    <w:rsid w:val="004154E2"/>
    <w:rsid w:val="004171AF"/>
    <w:rsid w:val="00420605"/>
    <w:rsid w:val="00424746"/>
    <w:rsid w:val="00425001"/>
    <w:rsid w:val="00427DE4"/>
    <w:rsid w:val="00427EF6"/>
    <w:rsid w:val="00435102"/>
    <w:rsid w:val="004400B5"/>
    <w:rsid w:val="00440789"/>
    <w:rsid w:val="004425E6"/>
    <w:rsid w:val="0044512A"/>
    <w:rsid w:val="00450F61"/>
    <w:rsid w:val="00451F70"/>
    <w:rsid w:val="00453F39"/>
    <w:rsid w:val="00454A5F"/>
    <w:rsid w:val="00454F19"/>
    <w:rsid w:val="00455245"/>
    <w:rsid w:val="00460B22"/>
    <w:rsid w:val="00464504"/>
    <w:rsid w:val="00464801"/>
    <w:rsid w:val="00467742"/>
    <w:rsid w:val="00467964"/>
    <w:rsid w:val="0047488C"/>
    <w:rsid w:val="00474927"/>
    <w:rsid w:val="00476B79"/>
    <w:rsid w:val="00476C86"/>
    <w:rsid w:val="004771FC"/>
    <w:rsid w:val="00477A13"/>
    <w:rsid w:val="0048128E"/>
    <w:rsid w:val="00487C16"/>
    <w:rsid w:val="00490FAB"/>
    <w:rsid w:val="0049233E"/>
    <w:rsid w:val="0049394B"/>
    <w:rsid w:val="00493DCF"/>
    <w:rsid w:val="0049413C"/>
    <w:rsid w:val="004A19EA"/>
    <w:rsid w:val="004A20C7"/>
    <w:rsid w:val="004A5C90"/>
    <w:rsid w:val="004A6C20"/>
    <w:rsid w:val="004A6F6C"/>
    <w:rsid w:val="004B2FB5"/>
    <w:rsid w:val="004B6E1D"/>
    <w:rsid w:val="004C1257"/>
    <w:rsid w:val="004C3700"/>
    <w:rsid w:val="004C7DE7"/>
    <w:rsid w:val="004D16AF"/>
    <w:rsid w:val="004D3DC8"/>
    <w:rsid w:val="004D4273"/>
    <w:rsid w:val="004D460E"/>
    <w:rsid w:val="004E6EFB"/>
    <w:rsid w:val="004F2BFC"/>
    <w:rsid w:val="004F2C6E"/>
    <w:rsid w:val="004F2F04"/>
    <w:rsid w:val="004F3314"/>
    <w:rsid w:val="004F696B"/>
    <w:rsid w:val="004F709F"/>
    <w:rsid w:val="0050020D"/>
    <w:rsid w:val="0051105E"/>
    <w:rsid w:val="00512E6E"/>
    <w:rsid w:val="005162B1"/>
    <w:rsid w:val="005217AC"/>
    <w:rsid w:val="00521E9C"/>
    <w:rsid w:val="0052401E"/>
    <w:rsid w:val="0052642D"/>
    <w:rsid w:val="00526DBC"/>
    <w:rsid w:val="00532F29"/>
    <w:rsid w:val="00534D53"/>
    <w:rsid w:val="00544666"/>
    <w:rsid w:val="00544AB1"/>
    <w:rsid w:val="00546807"/>
    <w:rsid w:val="00563652"/>
    <w:rsid w:val="00566408"/>
    <w:rsid w:val="00566AB6"/>
    <w:rsid w:val="00575F25"/>
    <w:rsid w:val="005760E5"/>
    <w:rsid w:val="0058051D"/>
    <w:rsid w:val="00580CD4"/>
    <w:rsid w:val="00581974"/>
    <w:rsid w:val="005907A7"/>
    <w:rsid w:val="005919D8"/>
    <w:rsid w:val="00593C19"/>
    <w:rsid w:val="005940AA"/>
    <w:rsid w:val="005974D9"/>
    <w:rsid w:val="005A0254"/>
    <w:rsid w:val="005A3E71"/>
    <w:rsid w:val="005A49DA"/>
    <w:rsid w:val="005A4B66"/>
    <w:rsid w:val="005A5738"/>
    <w:rsid w:val="005A59FF"/>
    <w:rsid w:val="005A5CDE"/>
    <w:rsid w:val="005A6B3A"/>
    <w:rsid w:val="005A7845"/>
    <w:rsid w:val="005B053D"/>
    <w:rsid w:val="005B12D9"/>
    <w:rsid w:val="005B4513"/>
    <w:rsid w:val="005C119E"/>
    <w:rsid w:val="005C2A91"/>
    <w:rsid w:val="005C4C1A"/>
    <w:rsid w:val="005C5CE1"/>
    <w:rsid w:val="005D05FF"/>
    <w:rsid w:val="005D211D"/>
    <w:rsid w:val="005D243B"/>
    <w:rsid w:val="005D6C90"/>
    <w:rsid w:val="005E0161"/>
    <w:rsid w:val="005E552D"/>
    <w:rsid w:val="005E62BA"/>
    <w:rsid w:val="005E7FA5"/>
    <w:rsid w:val="005F0A40"/>
    <w:rsid w:val="005F146A"/>
    <w:rsid w:val="005F2FF6"/>
    <w:rsid w:val="005F7F40"/>
    <w:rsid w:val="006033FA"/>
    <w:rsid w:val="00604ABA"/>
    <w:rsid w:val="00606B46"/>
    <w:rsid w:val="006112A7"/>
    <w:rsid w:val="00611CB7"/>
    <w:rsid w:val="00615F48"/>
    <w:rsid w:val="0061795F"/>
    <w:rsid w:val="00622DCA"/>
    <w:rsid w:val="00624E24"/>
    <w:rsid w:val="00624FB4"/>
    <w:rsid w:val="00625854"/>
    <w:rsid w:val="00627280"/>
    <w:rsid w:val="00633990"/>
    <w:rsid w:val="00634DDC"/>
    <w:rsid w:val="0063709D"/>
    <w:rsid w:val="00637BBB"/>
    <w:rsid w:val="00641512"/>
    <w:rsid w:val="00644DA1"/>
    <w:rsid w:val="006455DE"/>
    <w:rsid w:val="00645C1A"/>
    <w:rsid w:val="00645C50"/>
    <w:rsid w:val="0064769E"/>
    <w:rsid w:val="00647A61"/>
    <w:rsid w:val="00647E1B"/>
    <w:rsid w:val="00651348"/>
    <w:rsid w:val="0065264E"/>
    <w:rsid w:val="00654A84"/>
    <w:rsid w:val="00655143"/>
    <w:rsid w:val="0065591C"/>
    <w:rsid w:val="00656831"/>
    <w:rsid w:val="00656971"/>
    <w:rsid w:val="00663409"/>
    <w:rsid w:val="0066654F"/>
    <w:rsid w:val="006679C7"/>
    <w:rsid w:val="00672C9E"/>
    <w:rsid w:val="00673DBD"/>
    <w:rsid w:val="006749D9"/>
    <w:rsid w:val="00676359"/>
    <w:rsid w:val="006779C0"/>
    <w:rsid w:val="00680A20"/>
    <w:rsid w:val="00680F04"/>
    <w:rsid w:val="0068529B"/>
    <w:rsid w:val="006871D3"/>
    <w:rsid w:val="00693EA2"/>
    <w:rsid w:val="00693FBE"/>
    <w:rsid w:val="00694C52"/>
    <w:rsid w:val="0069676D"/>
    <w:rsid w:val="00697ED9"/>
    <w:rsid w:val="006A0029"/>
    <w:rsid w:val="006A01E4"/>
    <w:rsid w:val="006A768F"/>
    <w:rsid w:val="006B2C44"/>
    <w:rsid w:val="006B35DF"/>
    <w:rsid w:val="006C26B3"/>
    <w:rsid w:val="006D368C"/>
    <w:rsid w:val="006D3EE5"/>
    <w:rsid w:val="006D46AF"/>
    <w:rsid w:val="006D5D5B"/>
    <w:rsid w:val="006D6810"/>
    <w:rsid w:val="006D6D91"/>
    <w:rsid w:val="006E0C37"/>
    <w:rsid w:val="006E35BC"/>
    <w:rsid w:val="006E49CF"/>
    <w:rsid w:val="006F0E5E"/>
    <w:rsid w:val="006F1CAA"/>
    <w:rsid w:val="00705CF5"/>
    <w:rsid w:val="00707E60"/>
    <w:rsid w:val="00710C49"/>
    <w:rsid w:val="00712D0E"/>
    <w:rsid w:val="00715CAE"/>
    <w:rsid w:val="007168C0"/>
    <w:rsid w:val="007264C7"/>
    <w:rsid w:val="007270EB"/>
    <w:rsid w:val="00732399"/>
    <w:rsid w:val="00734E3D"/>
    <w:rsid w:val="0073767E"/>
    <w:rsid w:val="00741BE9"/>
    <w:rsid w:val="00742B2F"/>
    <w:rsid w:val="0074335D"/>
    <w:rsid w:val="007446D3"/>
    <w:rsid w:val="007479C6"/>
    <w:rsid w:val="0075406C"/>
    <w:rsid w:val="00754943"/>
    <w:rsid w:val="0076078B"/>
    <w:rsid w:val="0076219A"/>
    <w:rsid w:val="007640C4"/>
    <w:rsid w:val="00764424"/>
    <w:rsid w:val="00764D19"/>
    <w:rsid w:val="00765384"/>
    <w:rsid w:val="00765AAF"/>
    <w:rsid w:val="0076709C"/>
    <w:rsid w:val="00767278"/>
    <w:rsid w:val="00780958"/>
    <w:rsid w:val="0078103B"/>
    <w:rsid w:val="00783DE1"/>
    <w:rsid w:val="00790399"/>
    <w:rsid w:val="00796561"/>
    <w:rsid w:val="00796A23"/>
    <w:rsid w:val="007A05A1"/>
    <w:rsid w:val="007A3242"/>
    <w:rsid w:val="007A3694"/>
    <w:rsid w:val="007A5398"/>
    <w:rsid w:val="007A5887"/>
    <w:rsid w:val="007A6E46"/>
    <w:rsid w:val="007B0A73"/>
    <w:rsid w:val="007B1D46"/>
    <w:rsid w:val="007B2CF5"/>
    <w:rsid w:val="007B356A"/>
    <w:rsid w:val="007B4305"/>
    <w:rsid w:val="007B6C34"/>
    <w:rsid w:val="007B6F7D"/>
    <w:rsid w:val="007C0532"/>
    <w:rsid w:val="007C2641"/>
    <w:rsid w:val="007C513A"/>
    <w:rsid w:val="007D3369"/>
    <w:rsid w:val="007D4FD3"/>
    <w:rsid w:val="007D6DC2"/>
    <w:rsid w:val="007D71C8"/>
    <w:rsid w:val="007E32AC"/>
    <w:rsid w:val="007E4399"/>
    <w:rsid w:val="007E4B78"/>
    <w:rsid w:val="007F20C8"/>
    <w:rsid w:val="007F76D6"/>
    <w:rsid w:val="00822512"/>
    <w:rsid w:val="00826D1C"/>
    <w:rsid w:val="00834BEA"/>
    <w:rsid w:val="0083511A"/>
    <w:rsid w:val="008407FE"/>
    <w:rsid w:val="00842C79"/>
    <w:rsid w:val="0084302A"/>
    <w:rsid w:val="00843CD1"/>
    <w:rsid w:val="00844324"/>
    <w:rsid w:val="00844FD8"/>
    <w:rsid w:val="008459B6"/>
    <w:rsid w:val="00846230"/>
    <w:rsid w:val="00846D1B"/>
    <w:rsid w:val="00846F51"/>
    <w:rsid w:val="008511A4"/>
    <w:rsid w:val="00871319"/>
    <w:rsid w:val="00871612"/>
    <w:rsid w:val="00876451"/>
    <w:rsid w:val="00880F00"/>
    <w:rsid w:val="00882E26"/>
    <w:rsid w:val="00884FB3"/>
    <w:rsid w:val="00885A9A"/>
    <w:rsid w:val="008869E1"/>
    <w:rsid w:val="00890DC5"/>
    <w:rsid w:val="00892288"/>
    <w:rsid w:val="00895DF7"/>
    <w:rsid w:val="008A1D61"/>
    <w:rsid w:val="008A217C"/>
    <w:rsid w:val="008A5363"/>
    <w:rsid w:val="008A649A"/>
    <w:rsid w:val="008B16A3"/>
    <w:rsid w:val="008B5EE7"/>
    <w:rsid w:val="008B727A"/>
    <w:rsid w:val="008B7938"/>
    <w:rsid w:val="008C2CE5"/>
    <w:rsid w:val="008C5763"/>
    <w:rsid w:val="008C6817"/>
    <w:rsid w:val="008C7066"/>
    <w:rsid w:val="008D1526"/>
    <w:rsid w:val="008D1D02"/>
    <w:rsid w:val="008D50DA"/>
    <w:rsid w:val="008E21DE"/>
    <w:rsid w:val="008E3A0D"/>
    <w:rsid w:val="008E46F8"/>
    <w:rsid w:val="008E50AF"/>
    <w:rsid w:val="008F0C38"/>
    <w:rsid w:val="008F33AB"/>
    <w:rsid w:val="008F3A2C"/>
    <w:rsid w:val="009002BA"/>
    <w:rsid w:val="00901A4B"/>
    <w:rsid w:val="0090273E"/>
    <w:rsid w:val="00903CEA"/>
    <w:rsid w:val="00904F1B"/>
    <w:rsid w:val="0090679C"/>
    <w:rsid w:val="00906CC6"/>
    <w:rsid w:val="009178D5"/>
    <w:rsid w:val="00923335"/>
    <w:rsid w:val="00924F64"/>
    <w:rsid w:val="0092679E"/>
    <w:rsid w:val="00930117"/>
    <w:rsid w:val="00932C18"/>
    <w:rsid w:val="009335D1"/>
    <w:rsid w:val="009359E9"/>
    <w:rsid w:val="0093618E"/>
    <w:rsid w:val="00937ED1"/>
    <w:rsid w:val="00941B81"/>
    <w:rsid w:val="00944488"/>
    <w:rsid w:val="00946AF7"/>
    <w:rsid w:val="009470A3"/>
    <w:rsid w:val="00951325"/>
    <w:rsid w:val="00952BD4"/>
    <w:rsid w:val="009539C8"/>
    <w:rsid w:val="00953B8A"/>
    <w:rsid w:val="0095511B"/>
    <w:rsid w:val="00955A8C"/>
    <w:rsid w:val="00957487"/>
    <w:rsid w:val="00966B4F"/>
    <w:rsid w:val="00967F8B"/>
    <w:rsid w:val="009754FE"/>
    <w:rsid w:val="00976DEC"/>
    <w:rsid w:val="009771C9"/>
    <w:rsid w:val="00980822"/>
    <w:rsid w:val="00982478"/>
    <w:rsid w:val="00982B61"/>
    <w:rsid w:val="009862B0"/>
    <w:rsid w:val="00987DD4"/>
    <w:rsid w:val="00994643"/>
    <w:rsid w:val="00995096"/>
    <w:rsid w:val="009A0D3D"/>
    <w:rsid w:val="009A3A88"/>
    <w:rsid w:val="009A6824"/>
    <w:rsid w:val="009B044C"/>
    <w:rsid w:val="009B12C8"/>
    <w:rsid w:val="009B2825"/>
    <w:rsid w:val="009B5D42"/>
    <w:rsid w:val="009B60FF"/>
    <w:rsid w:val="009C04BE"/>
    <w:rsid w:val="009C0A83"/>
    <w:rsid w:val="009D06E2"/>
    <w:rsid w:val="009D0C5B"/>
    <w:rsid w:val="009D42E1"/>
    <w:rsid w:val="009D4CE5"/>
    <w:rsid w:val="009D621F"/>
    <w:rsid w:val="009D6C1A"/>
    <w:rsid w:val="009D7A35"/>
    <w:rsid w:val="009E1750"/>
    <w:rsid w:val="009E5FA8"/>
    <w:rsid w:val="009E74DF"/>
    <w:rsid w:val="009E7ECE"/>
    <w:rsid w:val="009F0A8F"/>
    <w:rsid w:val="009F4EAA"/>
    <w:rsid w:val="009F5E50"/>
    <w:rsid w:val="009F740C"/>
    <w:rsid w:val="009F7CDF"/>
    <w:rsid w:val="00A01530"/>
    <w:rsid w:val="00A02BCC"/>
    <w:rsid w:val="00A059B6"/>
    <w:rsid w:val="00A06055"/>
    <w:rsid w:val="00A06F5D"/>
    <w:rsid w:val="00A07E4A"/>
    <w:rsid w:val="00A109AA"/>
    <w:rsid w:val="00A12543"/>
    <w:rsid w:val="00A133BB"/>
    <w:rsid w:val="00A17307"/>
    <w:rsid w:val="00A2125E"/>
    <w:rsid w:val="00A22C3A"/>
    <w:rsid w:val="00A24BCB"/>
    <w:rsid w:val="00A263E7"/>
    <w:rsid w:val="00A35F82"/>
    <w:rsid w:val="00A36A14"/>
    <w:rsid w:val="00A37D9C"/>
    <w:rsid w:val="00A40E7F"/>
    <w:rsid w:val="00A47899"/>
    <w:rsid w:val="00A479CE"/>
    <w:rsid w:val="00A506A1"/>
    <w:rsid w:val="00A52CAB"/>
    <w:rsid w:val="00A575D4"/>
    <w:rsid w:val="00A60009"/>
    <w:rsid w:val="00A612E3"/>
    <w:rsid w:val="00A6414C"/>
    <w:rsid w:val="00A643DD"/>
    <w:rsid w:val="00A64816"/>
    <w:rsid w:val="00A654A2"/>
    <w:rsid w:val="00A670D3"/>
    <w:rsid w:val="00A67EFE"/>
    <w:rsid w:val="00A700DC"/>
    <w:rsid w:val="00A73185"/>
    <w:rsid w:val="00A733FA"/>
    <w:rsid w:val="00A737F3"/>
    <w:rsid w:val="00A755CA"/>
    <w:rsid w:val="00A77DAA"/>
    <w:rsid w:val="00A85A75"/>
    <w:rsid w:val="00A860DA"/>
    <w:rsid w:val="00A8647C"/>
    <w:rsid w:val="00A932F1"/>
    <w:rsid w:val="00A93AE1"/>
    <w:rsid w:val="00A97F62"/>
    <w:rsid w:val="00AA094B"/>
    <w:rsid w:val="00AA13EA"/>
    <w:rsid w:val="00AA2EAB"/>
    <w:rsid w:val="00AA56E4"/>
    <w:rsid w:val="00AA67B8"/>
    <w:rsid w:val="00AB12D5"/>
    <w:rsid w:val="00AB1922"/>
    <w:rsid w:val="00AB1FDE"/>
    <w:rsid w:val="00AB592A"/>
    <w:rsid w:val="00AB5C62"/>
    <w:rsid w:val="00AB5EFF"/>
    <w:rsid w:val="00AC08C8"/>
    <w:rsid w:val="00AC2B0F"/>
    <w:rsid w:val="00AC2D4C"/>
    <w:rsid w:val="00AC2D50"/>
    <w:rsid w:val="00AC4BDE"/>
    <w:rsid w:val="00AC5354"/>
    <w:rsid w:val="00AD0168"/>
    <w:rsid w:val="00AD061E"/>
    <w:rsid w:val="00AD27A9"/>
    <w:rsid w:val="00AD336C"/>
    <w:rsid w:val="00AD5383"/>
    <w:rsid w:val="00AD735D"/>
    <w:rsid w:val="00AD7AD7"/>
    <w:rsid w:val="00AE52DE"/>
    <w:rsid w:val="00AF04F8"/>
    <w:rsid w:val="00AF0899"/>
    <w:rsid w:val="00AF4B95"/>
    <w:rsid w:val="00AF7E22"/>
    <w:rsid w:val="00AF7F67"/>
    <w:rsid w:val="00B00348"/>
    <w:rsid w:val="00B16B28"/>
    <w:rsid w:val="00B21DCB"/>
    <w:rsid w:val="00B21EC9"/>
    <w:rsid w:val="00B25115"/>
    <w:rsid w:val="00B3100F"/>
    <w:rsid w:val="00B31F9C"/>
    <w:rsid w:val="00B31FC0"/>
    <w:rsid w:val="00B347CF"/>
    <w:rsid w:val="00B353FA"/>
    <w:rsid w:val="00B42587"/>
    <w:rsid w:val="00B42593"/>
    <w:rsid w:val="00B44BA0"/>
    <w:rsid w:val="00B478C9"/>
    <w:rsid w:val="00B47B76"/>
    <w:rsid w:val="00B542B3"/>
    <w:rsid w:val="00B603C0"/>
    <w:rsid w:val="00B66E9E"/>
    <w:rsid w:val="00B7018C"/>
    <w:rsid w:val="00B70331"/>
    <w:rsid w:val="00B71505"/>
    <w:rsid w:val="00B8047B"/>
    <w:rsid w:val="00B83AB4"/>
    <w:rsid w:val="00B8601E"/>
    <w:rsid w:val="00B86425"/>
    <w:rsid w:val="00B86FE4"/>
    <w:rsid w:val="00B872AD"/>
    <w:rsid w:val="00B938EA"/>
    <w:rsid w:val="00BA4FF9"/>
    <w:rsid w:val="00BA7DE2"/>
    <w:rsid w:val="00BB19E2"/>
    <w:rsid w:val="00BB265E"/>
    <w:rsid w:val="00BB2967"/>
    <w:rsid w:val="00BB2FD0"/>
    <w:rsid w:val="00BB5481"/>
    <w:rsid w:val="00BB6F8E"/>
    <w:rsid w:val="00BC1E1F"/>
    <w:rsid w:val="00BC1F0B"/>
    <w:rsid w:val="00BC2180"/>
    <w:rsid w:val="00BC3BA1"/>
    <w:rsid w:val="00BC6F8A"/>
    <w:rsid w:val="00BD0889"/>
    <w:rsid w:val="00BE1186"/>
    <w:rsid w:val="00BE1DEF"/>
    <w:rsid w:val="00BE6312"/>
    <w:rsid w:val="00BE7F1E"/>
    <w:rsid w:val="00BF01E0"/>
    <w:rsid w:val="00BF1AA9"/>
    <w:rsid w:val="00BF211C"/>
    <w:rsid w:val="00BF2169"/>
    <w:rsid w:val="00BF463B"/>
    <w:rsid w:val="00BF5949"/>
    <w:rsid w:val="00C00626"/>
    <w:rsid w:val="00C013F2"/>
    <w:rsid w:val="00C0421C"/>
    <w:rsid w:val="00C051C9"/>
    <w:rsid w:val="00C0732B"/>
    <w:rsid w:val="00C10202"/>
    <w:rsid w:val="00C1305C"/>
    <w:rsid w:val="00C173BC"/>
    <w:rsid w:val="00C17A5F"/>
    <w:rsid w:val="00C21944"/>
    <w:rsid w:val="00C224ED"/>
    <w:rsid w:val="00C240D8"/>
    <w:rsid w:val="00C242C7"/>
    <w:rsid w:val="00C247D7"/>
    <w:rsid w:val="00C2698C"/>
    <w:rsid w:val="00C30DB9"/>
    <w:rsid w:val="00C31B8D"/>
    <w:rsid w:val="00C31EAE"/>
    <w:rsid w:val="00C320EC"/>
    <w:rsid w:val="00C3294F"/>
    <w:rsid w:val="00C35CF9"/>
    <w:rsid w:val="00C361BA"/>
    <w:rsid w:val="00C36345"/>
    <w:rsid w:val="00C36473"/>
    <w:rsid w:val="00C409C1"/>
    <w:rsid w:val="00C43B36"/>
    <w:rsid w:val="00C52C59"/>
    <w:rsid w:val="00C532DD"/>
    <w:rsid w:val="00C53561"/>
    <w:rsid w:val="00C53B88"/>
    <w:rsid w:val="00C54738"/>
    <w:rsid w:val="00C55328"/>
    <w:rsid w:val="00C5554B"/>
    <w:rsid w:val="00C55C1F"/>
    <w:rsid w:val="00C600C5"/>
    <w:rsid w:val="00C602F9"/>
    <w:rsid w:val="00C610F3"/>
    <w:rsid w:val="00C64684"/>
    <w:rsid w:val="00C6621F"/>
    <w:rsid w:val="00C7097A"/>
    <w:rsid w:val="00C710F9"/>
    <w:rsid w:val="00C7145C"/>
    <w:rsid w:val="00C73515"/>
    <w:rsid w:val="00C73ACC"/>
    <w:rsid w:val="00C816A6"/>
    <w:rsid w:val="00C835D8"/>
    <w:rsid w:val="00C85CBF"/>
    <w:rsid w:val="00C87F13"/>
    <w:rsid w:val="00C90D84"/>
    <w:rsid w:val="00C90DF2"/>
    <w:rsid w:val="00C92B65"/>
    <w:rsid w:val="00C94D68"/>
    <w:rsid w:val="00C964ED"/>
    <w:rsid w:val="00CA08C0"/>
    <w:rsid w:val="00CA1F73"/>
    <w:rsid w:val="00CA3788"/>
    <w:rsid w:val="00CA6905"/>
    <w:rsid w:val="00CB5B5E"/>
    <w:rsid w:val="00CB64BD"/>
    <w:rsid w:val="00CB6A0D"/>
    <w:rsid w:val="00CB6D03"/>
    <w:rsid w:val="00CC02E5"/>
    <w:rsid w:val="00CC292B"/>
    <w:rsid w:val="00CC74A9"/>
    <w:rsid w:val="00CC79EB"/>
    <w:rsid w:val="00CD246E"/>
    <w:rsid w:val="00CD54D0"/>
    <w:rsid w:val="00CD6D5B"/>
    <w:rsid w:val="00CE0C48"/>
    <w:rsid w:val="00CE305F"/>
    <w:rsid w:val="00CE4BD0"/>
    <w:rsid w:val="00D03DB2"/>
    <w:rsid w:val="00D04675"/>
    <w:rsid w:val="00D05C96"/>
    <w:rsid w:val="00D07F98"/>
    <w:rsid w:val="00D10BB5"/>
    <w:rsid w:val="00D16D4C"/>
    <w:rsid w:val="00D16E43"/>
    <w:rsid w:val="00D21508"/>
    <w:rsid w:val="00D23537"/>
    <w:rsid w:val="00D23BA4"/>
    <w:rsid w:val="00D240C2"/>
    <w:rsid w:val="00D24AC1"/>
    <w:rsid w:val="00D25236"/>
    <w:rsid w:val="00D25549"/>
    <w:rsid w:val="00D263C5"/>
    <w:rsid w:val="00D27D66"/>
    <w:rsid w:val="00D32C2A"/>
    <w:rsid w:val="00D3331A"/>
    <w:rsid w:val="00D338A3"/>
    <w:rsid w:val="00D343FB"/>
    <w:rsid w:val="00D35A76"/>
    <w:rsid w:val="00D374C8"/>
    <w:rsid w:val="00D43DF5"/>
    <w:rsid w:val="00D4452C"/>
    <w:rsid w:val="00D45166"/>
    <w:rsid w:val="00D45828"/>
    <w:rsid w:val="00D47A35"/>
    <w:rsid w:val="00D5128F"/>
    <w:rsid w:val="00D56847"/>
    <w:rsid w:val="00D61230"/>
    <w:rsid w:val="00D651A7"/>
    <w:rsid w:val="00D7183C"/>
    <w:rsid w:val="00D727EB"/>
    <w:rsid w:val="00D73E60"/>
    <w:rsid w:val="00D847E1"/>
    <w:rsid w:val="00D8617A"/>
    <w:rsid w:val="00D929A8"/>
    <w:rsid w:val="00D9727A"/>
    <w:rsid w:val="00DA2003"/>
    <w:rsid w:val="00DA2698"/>
    <w:rsid w:val="00DB0C83"/>
    <w:rsid w:val="00DB0F29"/>
    <w:rsid w:val="00DB29F2"/>
    <w:rsid w:val="00DB375C"/>
    <w:rsid w:val="00DC003F"/>
    <w:rsid w:val="00DC6C3B"/>
    <w:rsid w:val="00DC7941"/>
    <w:rsid w:val="00DD27D8"/>
    <w:rsid w:val="00DE06F0"/>
    <w:rsid w:val="00DE418A"/>
    <w:rsid w:val="00DE54FD"/>
    <w:rsid w:val="00DE7909"/>
    <w:rsid w:val="00DF4EC7"/>
    <w:rsid w:val="00DF74BA"/>
    <w:rsid w:val="00E01D48"/>
    <w:rsid w:val="00E0370F"/>
    <w:rsid w:val="00E06DAA"/>
    <w:rsid w:val="00E07153"/>
    <w:rsid w:val="00E12D96"/>
    <w:rsid w:val="00E14484"/>
    <w:rsid w:val="00E14A3C"/>
    <w:rsid w:val="00E17651"/>
    <w:rsid w:val="00E20E01"/>
    <w:rsid w:val="00E243C4"/>
    <w:rsid w:val="00E25179"/>
    <w:rsid w:val="00E260AC"/>
    <w:rsid w:val="00E330A2"/>
    <w:rsid w:val="00E34897"/>
    <w:rsid w:val="00E350EE"/>
    <w:rsid w:val="00E36D99"/>
    <w:rsid w:val="00E40290"/>
    <w:rsid w:val="00E47467"/>
    <w:rsid w:val="00E619A2"/>
    <w:rsid w:val="00E65E35"/>
    <w:rsid w:val="00E711F3"/>
    <w:rsid w:val="00E7734F"/>
    <w:rsid w:val="00E81147"/>
    <w:rsid w:val="00E82647"/>
    <w:rsid w:val="00E829A6"/>
    <w:rsid w:val="00E8311A"/>
    <w:rsid w:val="00E851B5"/>
    <w:rsid w:val="00E86623"/>
    <w:rsid w:val="00EA3751"/>
    <w:rsid w:val="00EA4689"/>
    <w:rsid w:val="00EA4C74"/>
    <w:rsid w:val="00EB7CC3"/>
    <w:rsid w:val="00ED0192"/>
    <w:rsid w:val="00ED1091"/>
    <w:rsid w:val="00ED1B18"/>
    <w:rsid w:val="00ED7020"/>
    <w:rsid w:val="00ED736E"/>
    <w:rsid w:val="00ED765A"/>
    <w:rsid w:val="00EE0E11"/>
    <w:rsid w:val="00EE1298"/>
    <w:rsid w:val="00EE194D"/>
    <w:rsid w:val="00EE31AC"/>
    <w:rsid w:val="00EE737C"/>
    <w:rsid w:val="00EE73AF"/>
    <w:rsid w:val="00EF0C4E"/>
    <w:rsid w:val="00EF108C"/>
    <w:rsid w:val="00EF15BA"/>
    <w:rsid w:val="00EF2DF7"/>
    <w:rsid w:val="00EF4BE7"/>
    <w:rsid w:val="00EF5038"/>
    <w:rsid w:val="00F00A00"/>
    <w:rsid w:val="00F13F4D"/>
    <w:rsid w:val="00F163A8"/>
    <w:rsid w:val="00F2180C"/>
    <w:rsid w:val="00F23FC4"/>
    <w:rsid w:val="00F2720E"/>
    <w:rsid w:val="00F3209F"/>
    <w:rsid w:val="00F328ED"/>
    <w:rsid w:val="00F334B7"/>
    <w:rsid w:val="00F34A15"/>
    <w:rsid w:val="00F36173"/>
    <w:rsid w:val="00F41613"/>
    <w:rsid w:val="00F430D7"/>
    <w:rsid w:val="00F449D8"/>
    <w:rsid w:val="00F45A5C"/>
    <w:rsid w:val="00F4684A"/>
    <w:rsid w:val="00F46A44"/>
    <w:rsid w:val="00F5000F"/>
    <w:rsid w:val="00F50728"/>
    <w:rsid w:val="00F50DD3"/>
    <w:rsid w:val="00F53671"/>
    <w:rsid w:val="00F5374C"/>
    <w:rsid w:val="00F54083"/>
    <w:rsid w:val="00F54F12"/>
    <w:rsid w:val="00F5660D"/>
    <w:rsid w:val="00F601BA"/>
    <w:rsid w:val="00F61655"/>
    <w:rsid w:val="00F61F0B"/>
    <w:rsid w:val="00F63FB9"/>
    <w:rsid w:val="00F649DD"/>
    <w:rsid w:val="00F678AE"/>
    <w:rsid w:val="00F70AE7"/>
    <w:rsid w:val="00F70C63"/>
    <w:rsid w:val="00F716AD"/>
    <w:rsid w:val="00F71929"/>
    <w:rsid w:val="00F751BE"/>
    <w:rsid w:val="00F7587C"/>
    <w:rsid w:val="00F779F1"/>
    <w:rsid w:val="00F77ED3"/>
    <w:rsid w:val="00F901F5"/>
    <w:rsid w:val="00F92ECC"/>
    <w:rsid w:val="00F9318C"/>
    <w:rsid w:val="00F95DD5"/>
    <w:rsid w:val="00FA0029"/>
    <w:rsid w:val="00FA06D0"/>
    <w:rsid w:val="00FA24BD"/>
    <w:rsid w:val="00FA3160"/>
    <w:rsid w:val="00FA3DAF"/>
    <w:rsid w:val="00FA3F78"/>
    <w:rsid w:val="00FB3FE3"/>
    <w:rsid w:val="00FB5166"/>
    <w:rsid w:val="00FB5762"/>
    <w:rsid w:val="00FB5DBE"/>
    <w:rsid w:val="00FB77A7"/>
    <w:rsid w:val="00FC4904"/>
    <w:rsid w:val="00FD0F4B"/>
    <w:rsid w:val="00FD19E7"/>
    <w:rsid w:val="00FD1E70"/>
    <w:rsid w:val="00FD66D7"/>
    <w:rsid w:val="00FE2D8F"/>
    <w:rsid w:val="00FE3CB2"/>
    <w:rsid w:val="00FE3DA3"/>
    <w:rsid w:val="00FF0532"/>
    <w:rsid w:val="00FF266F"/>
    <w:rsid w:val="00FF38B5"/>
    <w:rsid w:val="00FF6A64"/>
    <w:rsid w:val="09F661E1"/>
    <w:rsid w:val="37604C32"/>
    <w:rsid w:val="60A8192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898E8"/>
  <w15:chartTrackingRefBased/>
  <w15:docId w15:val="{5A7451C6-7E92-419B-B45A-F16F5FD8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0EC"/>
    <w:rPr>
      <w:rFonts w:ascii="Calibri" w:hAnsi="Calibri" w:cs="Calibri"/>
      <w:color w:val="auto"/>
      <w:sz w:val="22"/>
      <w:szCs w:val="22"/>
    </w:rPr>
  </w:style>
  <w:style w:type="paragraph" w:styleId="Heading1">
    <w:name w:val="heading 1"/>
    <w:basedOn w:val="Normal"/>
    <w:next w:val="Normal"/>
    <w:link w:val="Heading1Char"/>
    <w:uiPriority w:val="9"/>
    <w:qFormat/>
    <w:rsid w:val="00C0732B"/>
    <w:pPr>
      <w:keepNext/>
      <w:keepLines/>
      <w:spacing w:before="240" w:line="276"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06366C"/>
    <w:pPr>
      <w:keepNext/>
      <w:keepLines/>
      <w:spacing w:line="24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284D1A"/>
    <w:pPr>
      <w:keepNext/>
      <w:keepLines/>
      <w:spacing w:before="240" w:line="276"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D3DC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DC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06366C"/>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autoRedefine/>
    <w:uiPriority w:val="2"/>
    <w:qFormat/>
    <w:rsid w:val="003A17F9"/>
    <w:pPr>
      <w:numPr>
        <w:numId w:val="34"/>
      </w:numPr>
      <w:spacing w:after="240"/>
      <w:contextualSpacing/>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C0732B"/>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284D1A"/>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BB6F8E"/>
    <w:pPr>
      <w:ind w:left="720"/>
      <w:contextualSpacing/>
    </w:pPr>
  </w:style>
  <w:style w:type="character" w:customStyle="1" w:styleId="published-date4">
    <w:name w:val="published-date4"/>
    <w:basedOn w:val="DefaultParagraphFont"/>
    <w:rsid w:val="00BB6F8E"/>
  </w:style>
  <w:style w:type="character" w:styleId="CommentReference">
    <w:name w:val="annotation reference"/>
    <w:basedOn w:val="DefaultParagraphFont"/>
    <w:uiPriority w:val="99"/>
    <w:semiHidden/>
    <w:unhideWhenUsed/>
    <w:rsid w:val="00BB6F8E"/>
    <w:rPr>
      <w:sz w:val="16"/>
      <w:szCs w:val="16"/>
    </w:rPr>
  </w:style>
  <w:style w:type="paragraph" w:styleId="CommentText">
    <w:name w:val="annotation text"/>
    <w:basedOn w:val="Normal"/>
    <w:link w:val="CommentTextChar"/>
    <w:uiPriority w:val="99"/>
    <w:unhideWhenUsed/>
    <w:rsid w:val="00BB6F8E"/>
    <w:rPr>
      <w:sz w:val="20"/>
      <w:szCs w:val="20"/>
    </w:rPr>
  </w:style>
  <w:style w:type="character" w:customStyle="1" w:styleId="CommentTextChar">
    <w:name w:val="Comment Text Char"/>
    <w:basedOn w:val="DefaultParagraphFont"/>
    <w:link w:val="CommentText"/>
    <w:uiPriority w:val="99"/>
    <w:rsid w:val="00BB6F8E"/>
    <w:rPr>
      <w:rFonts w:ascii="Calibri" w:hAnsi="Calibri" w:cs="Calibri"/>
      <w:color w:val="auto"/>
    </w:rPr>
  </w:style>
  <w:style w:type="paragraph" w:styleId="NormalWeb">
    <w:name w:val="Normal (Web)"/>
    <w:basedOn w:val="Normal"/>
    <w:uiPriority w:val="99"/>
    <w:semiHidden/>
    <w:unhideWhenUsed/>
    <w:rsid w:val="00BB6F8E"/>
    <w:pPr>
      <w:spacing w:after="180"/>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B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8E"/>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FB3FE3"/>
    <w:rPr>
      <w:b/>
      <w:bCs/>
    </w:rPr>
  </w:style>
  <w:style w:type="character" w:customStyle="1" w:styleId="CommentSubjectChar">
    <w:name w:val="Comment Subject Char"/>
    <w:basedOn w:val="CommentTextChar"/>
    <w:link w:val="CommentSubject"/>
    <w:uiPriority w:val="99"/>
    <w:semiHidden/>
    <w:rsid w:val="00FB3FE3"/>
    <w:rPr>
      <w:rFonts w:ascii="Calibri" w:hAnsi="Calibri" w:cs="Calibri"/>
      <w:b/>
      <w:bCs/>
      <w:color w:val="auto"/>
    </w:rPr>
  </w:style>
  <w:style w:type="paragraph" w:customStyle="1" w:styleId="Default">
    <w:name w:val="Default"/>
    <w:rsid w:val="00164EB5"/>
    <w:pPr>
      <w:autoSpaceDE w:val="0"/>
      <w:autoSpaceDN w:val="0"/>
      <w:adjustRightInd w:val="0"/>
      <w:spacing w:before="0" w:after="0"/>
    </w:pPr>
    <w:rPr>
      <w:rFonts w:ascii="Arial" w:hAnsi="Arial" w:cs="Arial"/>
      <w:color w:val="000000"/>
      <w:sz w:val="24"/>
      <w:szCs w:val="24"/>
    </w:rPr>
  </w:style>
  <w:style w:type="paragraph" w:styleId="Revision">
    <w:name w:val="Revision"/>
    <w:hidden/>
    <w:uiPriority w:val="99"/>
    <w:semiHidden/>
    <w:rsid w:val="00606B46"/>
    <w:pPr>
      <w:spacing w:before="0" w:after="0"/>
    </w:pPr>
    <w:rPr>
      <w:rFonts w:ascii="Calibri" w:hAnsi="Calibri" w:cs="Calibri"/>
      <w:color w:val="auto"/>
      <w:sz w:val="22"/>
      <w:szCs w:val="22"/>
    </w:rPr>
  </w:style>
  <w:style w:type="paragraph" w:customStyle="1" w:styleId="Body">
    <w:name w:val="Body"/>
    <w:basedOn w:val="Normal"/>
    <w:next w:val="Normal"/>
    <w:qFormat/>
    <w:rsid w:val="00000034"/>
    <w:pPr>
      <w:pBdr>
        <w:top w:val="nil"/>
        <w:left w:val="nil"/>
        <w:bottom w:val="nil"/>
        <w:right w:val="nil"/>
        <w:between w:val="nil"/>
        <w:bar w:val="nil"/>
      </w:pBdr>
      <w:spacing w:after="240"/>
      <w:ind w:right="-35"/>
    </w:pPr>
    <w:rPr>
      <w:rFonts w:eastAsia="Arial Unicode MS"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000034"/>
    <w:pPr>
      <w:keepNext/>
      <w:pBdr>
        <w:top w:val="single" w:sz="48" w:space="6" w:color="5F2E74" w:themeColor="text2"/>
      </w:pBdr>
      <w:spacing w:before="360" w:after="200"/>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1Documentnameh1">
    <w:name w:val="1. Document name h1"/>
    <w:qFormat/>
    <w:rsid w:val="009E5FA8"/>
    <w:pPr>
      <w:keepNext/>
      <w:pBdr>
        <w:top w:val="single" w:sz="8" w:space="5" w:color="auto"/>
        <w:left w:val="single" w:sz="8" w:space="10" w:color="auto"/>
        <w:bottom w:val="single" w:sz="8" w:space="10" w:color="auto"/>
        <w:right w:val="single" w:sz="8" w:space="10" w:color="auto"/>
      </w:pBdr>
      <w:shd w:val="clear" w:color="auto" w:fill="431C55"/>
      <w:spacing w:before="240" w:after="360" w:line="288" w:lineRule="auto"/>
      <w:ind w:right="-35"/>
      <w:outlineLvl w:val="0"/>
    </w:pPr>
    <w:rPr>
      <w:rFonts w:ascii="Calibri" w:eastAsia="Arial Unicode MS" w:hAnsi="Calibri" w:cs="Arial Unicode MS"/>
      <w:b/>
      <w:bCs/>
      <w:color w:val="FFFFFF"/>
      <w:spacing w:val="6"/>
      <w:sz w:val="32"/>
      <w:szCs w:val="32"/>
      <w:bdr w:val="nil"/>
      <w:lang w:eastAsia="en-AU"/>
      <w14:textOutline w14:w="0" w14:cap="flat" w14:cmpd="sng" w14:algn="ctr">
        <w14:noFill/>
        <w14:prstDash w14:val="solid"/>
        <w14:bevel/>
      </w14:textOutline>
    </w:rPr>
  </w:style>
  <w:style w:type="paragraph" w:customStyle="1" w:styleId="3Titleh3">
    <w:name w:val="3. Title h3"/>
    <w:next w:val="Heading3"/>
    <w:qFormat/>
    <w:rsid w:val="009E5FA8"/>
    <w:pPr>
      <w:keepNext/>
      <w:pBdr>
        <w:top w:val="single" w:sz="8" w:space="5" w:color="auto"/>
        <w:left w:val="single" w:sz="8" w:space="10" w:color="auto"/>
        <w:bottom w:val="single" w:sz="8" w:space="10" w:color="auto"/>
        <w:right w:val="single" w:sz="8" w:space="10" w:color="auto"/>
      </w:pBdr>
      <w:shd w:val="clear" w:color="auto" w:fill="431C55"/>
      <w:spacing w:before="0"/>
      <w:ind w:right="-35"/>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customStyle="1" w:styleId="4Titledescription">
    <w:name w:val="4. Title description"/>
    <w:next w:val="BodyText"/>
    <w:qFormat/>
    <w:rsid w:val="009E5FA8"/>
    <w:pPr>
      <w:pBdr>
        <w:top w:val="single" w:sz="8" w:space="5" w:color="auto"/>
        <w:left w:val="single" w:sz="8" w:space="10" w:color="auto"/>
        <w:bottom w:val="single" w:sz="8" w:space="10" w:color="auto"/>
        <w:right w:val="single" w:sz="8" w:space="10" w:color="auto"/>
      </w:pBdr>
      <w:shd w:val="clear" w:color="auto" w:fill="431C55"/>
      <w:spacing w:before="240" w:after="0"/>
      <w:ind w:right="-35"/>
    </w:pPr>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style>
  <w:style w:type="paragraph" w:customStyle="1" w:styleId="5AboutHeadingh4">
    <w:name w:val="5. About Heading h4"/>
    <w:basedOn w:val="Normal"/>
    <w:next w:val="Heading4"/>
    <w:qFormat/>
    <w:rsid w:val="009E5FA8"/>
    <w:pPr>
      <w:keepNext/>
      <w:pBdr>
        <w:top w:val="single" w:sz="8" w:space="10" w:color="FBF7FD"/>
        <w:left w:val="single" w:sz="8" w:space="10" w:color="FBF7FD"/>
        <w:bottom w:val="single" w:sz="8" w:space="10" w:color="FBF7FD"/>
        <w:right w:val="single" w:sz="8" w:space="10" w:color="FBF7FD"/>
      </w:pBdr>
      <w:shd w:val="clear" w:color="auto" w:fill="F7F0FA"/>
      <w:spacing w:after="200"/>
      <w:ind w:right="-35"/>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9E5FA8"/>
    <w:pPr>
      <w:numPr>
        <w:numId w:val="12"/>
      </w:numPr>
      <w:pBdr>
        <w:top w:val="single" w:sz="8" w:space="10" w:color="FBF7FD"/>
        <w:left w:val="single" w:sz="8" w:space="10" w:color="FBF7FD"/>
        <w:bottom w:val="single" w:sz="8" w:space="10" w:color="FBF7FD"/>
        <w:right w:val="single" w:sz="8" w:space="10" w:color="FBF7FD"/>
      </w:pBdr>
      <w:shd w:val="clear" w:color="auto" w:fill="F7F0FA"/>
      <w:spacing w:after="240"/>
      <w:ind w:left="284" w:right="-35" w:hanging="284"/>
    </w:pPr>
    <w:rPr>
      <w:rFonts w:eastAsia="Arial Unicode MS"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9E5FA8"/>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9E5FA8"/>
  </w:style>
  <w:style w:type="character" w:customStyle="1" w:styleId="BodyTextChar">
    <w:name w:val="Body Text Char"/>
    <w:basedOn w:val="DefaultParagraphFont"/>
    <w:link w:val="BodyText"/>
    <w:uiPriority w:val="99"/>
    <w:semiHidden/>
    <w:rsid w:val="009E5FA8"/>
    <w:rPr>
      <w:rFonts w:ascii="Calibri" w:hAnsi="Calibri" w:cs="Calibri"/>
      <w:color w:val="auto"/>
      <w:sz w:val="22"/>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rsid w:val="004D3DC8"/>
    <w:rPr>
      <w:rFonts w:ascii="Calibri" w:hAnsi="Calibri" w:cs="Calibri"/>
      <w:color w:val="auto"/>
      <w:sz w:val="22"/>
      <w:szCs w:val="22"/>
    </w:rPr>
  </w:style>
  <w:style w:type="character" w:customStyle="1" w:styleId="Heading8Char">
    <w:name w:val="Heading 8 Char"/>
    <w:basedOn w:val="DefaultParagraphFont"/>
    <w:link w:val="Heading8"/>
    <w:uiPriority w:val="9"/>
    <w:semiHidden/>
    <w:rsid w:val="004D3D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DC8"/>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C55328"/>
    <w:rPr>
      <w:color w:val="605E5C"/>
      <w:shd w:val="clear" w:color="auto" w:fill="E1DFDD"/>
    </w:rPr>
  </w:style>
  <w:style w:type="character" w:customStyle="1" w:styleId="None">
    <w:name w:val="None"/>
    <w:rsid w:val="008A5363"/>
  </w:style>
  <w:style w:type="character" w:customStyle="1" w:styleId="UnresolvedMention2">
    <w:name w:val="Unresolved Mention2"/>
    <w:basedOn w:val="DefaultParagraphFont"/>
    <w:uiPriority w:val="99"/>
    <w:semiHidden/>
    <w:unhideWhenUsed/>
    <w:rsid w:val="00532F29"/>
    <w:rPr>
      <w:color w:val="605E5C"/>
      <w:shd w:val="clear" w:color="auto" w:fill="E1DFDD"/>
    </w:rPr>
  </w:style>
  <w:style w:type="paragraph" w:customStyle="1" w:styleId="Heading2-numbered">
    <w:name w:val="Heading 2 - numbered"/>
    <w:basedOn w:val="Heading2"/>
    <w:link w:val="Heading2-numberedChar"/>
    <w:qFormat/>
    <w:rsid w:val="005E7FA5"/>
    <w:pPr>
      <w:numPr>
        <w:numId w:val="39"/>
      </w:numPr>
      <w:suppressAutoHyphens/>
      <w:spacing w:before="360" w:after="200" w:line="360" w:lineRule="atLeast"/>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5E7FA5"/>
    <w:rPr>
      <w:rFonts w:ascii="Calibri" w:eastAsia="Times New Roman" w:hAnsi="Calibri" w:cs="Times New Roman"/>
      <w:b/>
      <w:color w:val="85367B"/>
      <w:sz w:val="34"/>
      <w:szCs w:val="34"/>
    </w:rPr>
  </w:style>
  <w:style w:type="character" w:customStyle="1" w:styleId="UnresolvedMention3">
    <w:name w:val="Unresolved Mention3"/>
    <w:basedOn w:val="DefaultParagraphFont"/>
    <w:uiPriority w:val="99"/>
    <w:semiHidden/>
    <w:unhideWhenUsed/>
    <w:rsid w:val="00546807"/>
    <w:rPr>
      <w:color w:val="605E5C"/>
      <w:shd w:val="clear" w:color="auto" w:fill="E1DFDD"/>
    </w:rPr>
  </w:style>
  <w:style w:type="paragraph" w:styleId="EndnoteText">
    <w:name w:val="endnote text"/>
    <w:basedOn w:val="Normal"/>
    <w:link w:val="EndnoteTextChar"/>
    <w:uiPriority w:val="99"/>
    <w:semiHidden/>
    <w:unhideWhenUsed/>
    <w:rsid w:val="00710C49"/>
    <w:pPr>
      <w:spacing w:before="0" w:after="0"/>
    </w:pPr>
    <w:rPr>
      <w:sz w:val="20"/>
      <w:szCs w:val="20"/>
    </w:rPr>
  </w:style>
  <w:style w:type="character" w:customStyle="1" w:styleId="EndnoteTextChar">
    <w:name w:val="Endnote Text Char"/>
    <w:basedOn w:val="DefaultParagraphFont"/>
    <w:link w:val="EndnoteText"/>
    <w:uiPriority w:val="99"/>
    <w:semiHidden/>
    <w:rsid w:val="00710C49"/>
    <w:rPr>
      <w:rFonts w:ascii="Calibri" w:hAnsi="Calibri" w:cs="Calibri"/>
      <w:color w:val="auto"/>
    </w:rPr>
  </w:style>
  <w:style w:type="character" w:styleId="EndnoteReference">
    <w:name w:val="endnote reference"/>
    <w:basedOn w:val="DefaultParagraphFont"/>
    <w:uiPriority w:val="99"/>
    <w:unhideWhenUsed/>
    <w:rsid w:val="00710C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8955">
      <w:bodyDiv w:val="1"/>
      <w:marLeft w:val="0"/>
      <w:marRight w:val="0"/>
      <w:marTop w:val="0"/>
      <w:marBottom w:val="0"/>
      <w:divBdr>
        <w:top w:val="none" w:sz="0" w:space="0" w:color="auto"/>
        <w:left w:val="none" w:sz="0" w:space="0" w:color="auto"/>
        <w:bottom w:val="none" w:sz="0" w:space="0" w:color="auto"/>
        <w:right w:val="none" w:sz="0" w:space="0" w:color="auto"/>
      </w:divBdr>
    </w:div>
    <w:div w:id="215776627">
      <w:bodyDiv w:val="1"/>
      <w:marLeft w:val="0"/>
      <w:marRight w:val="0"/>
      <w:marTop w:val="0"/>
      <w:marBottom w:val="0"/>
      <w:divBdr>
        <w:top w:val="none" w:sz="0" w:space="0" w:color="auto"/>
        <w:left w:val="none" w:sz="0" w:space="0" w:color="auto"/>
        <w:bottom w:val="none" w:sz="0" w:space="0" w:color="auto"/>
        <w:right w:val="none" w:sz="0" w:space="0" w:color="auto"/>
      </w:divBdr>
      <w:divsChild>
        <w:div w:id="15473192">
          <w:marLeft w:val="0"/>
          <w:marRight w:val="0"/>
          <w:marTop w:val="0"/>
          <w:marBottom w:val="0"/>
          <w:divBdr>
            <w:top w:val="none" w:sz="0" w:space="0" w:color="auto"/>
            <w:left w:val="none" w:sz="0" w:space="0" w:color="auto"/>
            <w:bottom w:val="none" w:sz="0" w:space="0" w:color="auto"/>
            <w:right w:val="none" w:sz="0" w:space="0" w:color="auto"/>
          </w:divBdr>
          <w:divsChild>
            <w:div w:id="806776052">
              <w:marLeft w:val="0"/>
              <w:marRight w:val="0"/>
              <w:marTop w:val="0"/>
              <w:marBottom w:val="0"/>
              <w:divBdr>
                <w:top w:val="none" w:sz="0" w:space="0" w:color="auto"/>
                <w:left w:val="none" w:sz="0" w:space="0" w:color="auto"/>
                <w:bottom w:val="none" w:sz="0" w:space="0" w:color="auto"/>
                <w:right w:val="none" w:sz="0" w:space="0" w:color="auto"/>
              </w:divBdr>
              <w:divsChild>
                <w:div w:id="2795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4083">
      <w:bodyDiv w:val="1"/>
      <w:marLeft w:val="0"/>
      <w:marRight w:val="0"/>
      <w:marTop w:val="0"/>
      <w:marBottom w:val="0"/>
      <w:divBdr>
        <w:top w:val="none" w:sz="0" w:space="0" w:color="auto"/>
        <w:left w:val="none" w:sz="0" w:space="0" w:color="auto"/>
        <w:bottom w:val="none" w:sz="0" w:space="0" w:color="auto"/>
        <w:right w:val="none" w:sz="0" w:space="0" w:color="auto"/>
      </w:divBdr>
      <w:divsChild>
        <w:div w:id="739525250">
          <w:marLeft w:val="0"/>
          <w:marRight w:val="0"/>
          <w:marTop w:val="0"/>
          <w:marBottom w:val="0"/>
          <w:divBdr>
            <w:top w:val="none" w:sz="0" w:space="0" w:color="auto"/>
            <w:left w:val="none" w:sz="0" w:space="0" w:color="auto"/>
            <w:bottom w:val="none" w:sz="0" w:space="0" w:color="auto"/>
            <w:right w:val="none" w:sz="0" w:space="0" w:color="auto"/>
          </w:divBdr>
          <w:divsChild>
            <w:div w:id="189683426">
              <w:marLeft w:val="0"/>
              <w:marRight w:val="0"/>
              <w:marTop w:val="0"/>
              <w:marBottom w:val="0"/>
              <w:divBdr>
                <w:top w:val="none" w:sz="0" w:space="0" w:color="auto"/>
                <w:left w:val="none" w:sz="0" w:space="0" w:color="auto"/>
                <w:bottom w:val="none" w:sz="0" w:space="0" w:color="auto"/>
                <w:right w:val="none" w:sz="0" w:space="0" w:color="auto"/>
              </w:divBdr>
              <w:divsChild>
                <w:div w:id="298875836">
                  <w:marLeft w:val="0"/>
                  <w:marRight w:val="0"/>
                  <w:marTop w:val="0"/>
                  <w:marBottom w:val="0"/>
                  <w:divBdr>
                    <w:top w:val="none" w:sz="0" w:space="0" w:color="auto"/>
                    <w:left w:val="none" w:sz="0" w:space="0" w:color="auto"/>
                    <w:bottom w:val="none" w:sz="0" w:space="0" w:color="auto"/>
                    <w:right w:val="none" w:sz="0" w:space="0" w:color="auto"/>
                  </w:divBdr>
                  <w:divsChild>
                    <w:div w:id="409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976311">
      <w:bodyDiv w:val="1"/>
      <w:marLeft w:val="0"/>
      <w:marRight w:val="0"/>
      <w:marTop w:val="0"/>
      <w:marBottom w:val="0"/>
      <w:divBdr>
        <w:top w:val="none" w:sz="0" w:space="0" w:color="auto"/>
        <w:left w:val="none" w:sz="0" w:space="0" w:color="auto"/>
        <w:bottom w:val="none" w:sz="0" w:space="0" w:color="auto"/>
        <w:right w:val="none" w:sz="0" w:space="0" w:color="auto"/>
      </w:divBdr>
    </w:div>
    <w:div w:id="637759328">
      <w:bodyDiv w:val="1"/>
      <w:marLeft w:val="0"/>
      <w:marRight w:val="0"/>
      <w:marTop w:val="0"/>
      <w:marBottom w:val="0"/>
      <w:divBdr>
        <w:top w:val="none" w:sz="0" w:space="0" w:color="auto"/>
        <w:left w:val="none" w:sz="0" w:space="0" w:color="auto"/>
        <w:bottom w:val="none" w:sz="0" w:space="0" w:color="auto"/>
        <w:right w:val="none" w:sz="0" w:space="0" w:color="auto"/>
      </w:divBdr>
    </w:div>
    <w:div w:id="673412821">
      <w:bodyDiv w:val="1"/>
      <w:marLeft w:val="0"/>
      <w:marRight w:val="0"/>
      <w:marTop w:val="0"/>
      <w:marBottom w:val="0"/>
      <w:divBdr>
        <w:top w:val="none" w:sz="0" w:space="0" w:color="auto"/>
        <w:left w:val="none" w:sz="0" w:space="0" w:color="auto"/>
        <w:bottom w:val="none" w:sz="0" w:space="0" w:color="auto"/>
        <w:right w:val="none" w:sz="0" w:space="0" w:color="auto"/>
      </w:divBdr>
    </w:div>
    <w:div w:id="678316140">
      <w:bodyDiv w:val="1"/>
      <w:marLeft w:val="0"/>
      <w:marRight w:val="0"/>
      <w:marTop w:val="0"/>
      <w:marBottom w:val="0"/>
      <w:divBdr>
        <w:top w:val="none" w:sz="0" w:space="0" w:color="auto"/>
        <w:left w:val="none" w:sz="0" w:space="0" w:color="auto"/>
        <w:bottom w:val="none" w:sz="0" w:space="0" w:color="auto"/>
        <w:right w:val="none" w:sz="0" w:space="0" w:color="auto"/>
      </w:divBdr>
    </w:div>
    <w:div w:id="829759461">
      <w:bodyDiv w:val="1"/>
      <w:marLeft w:val="0"/>
      <w:marRight w:val="0"/>
      <w:marTop w:val="0"/>
      <w:marBottom w:val="0"/>
      <w:divBdr>
        <w:top w:val="none" w:sz="0" w:space="0" w:color="auto"/>
        <w:left w:val="none" w:sz="0" w:space="0" w:color="auto"/>
        <w:bottom w:val="none" w:sz="0" w:space="0" w:color="auto"/>
        <w:right w:val="none" w:sz="0" w:space="0" w:color="auto"/>
      </w:divBdr>
      <w:divsChild>
        <w:div w:id="1632977816">
          <w:marLeft w:val="0"/>
          <w:marRight w:val="0"/>
          <w:marTop w:val="0"/>
          <w:marBottom w:val="0"/>
          <w:divBdr>
            <w:top w:val="none" w:sz="0" w:space="0" w:color="auto"/>
            <w:left w:val="none" w:sz="0" w:space="0" w:color="auto"/>
            <w:bottom w:val="none" w:sz="0" w:space="0" w:color="auto"/>
            <w:right w:val="none" w:sz="0" w:space="0" w:color="auto"/>
          </w:divBdr>
          <w:divsChild>
            <w:div w:id="1910380912">
              <w:marLeft w:val="0"/>
              <w:marRight w:val="0"/>
              <w:marTop w:val="0"/>
              <w:marBottom w:val="0"/>
              <w:divBdr>
                <w:top w:val="none" w:sz="0" w:space="0" w:color="auto"/>
                <w:left w:val="none" w:sz="0" w:space="0" w:color="auto"/>
                <w:bottom w:val="none" w:sz="0" w:space="0" w:color="auto"/>
                <w:right w:val="none" w:sz="0" w:space="0" w:color="auto"/>
              </w:divBdr>
              <w:divsChild>
                <w:div w:id="501046738">
                  <w:marLeft w:val="0"/>
                  <w:marRight w:val="0"/>
                  <w:marTop w:val="0"/>
                  <w:marBottom w:val="0"/>
                  <w:divBdr>
                    <w:top w:val="none" w:sz="0" w:space="0" w:color="auto"/>
                    <w:left w:val="none" w:sz="0" w:space="0" w:color="auto"/>
                    <w:bottom w:val="none" w:sz="0" w:space="0" w:color="auto"/>
                    <w:right w:val="none" w:sz="0" w:space="0" w:color="auto"/>
                  </w:divBdr>
                  <w:divsChild>
                    <w:div w:id="7772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50250">
          <w:marLeft w:val="0"/>
          <w:marRight w:val="0"/>
          <w:marTop w:val="0"/>
          <w:marBottom w:val="0"/>
          <w:divBdr>
            <w:top w:val="none" w:sz="0" w:space="0" w:color="auto"/>
            <w:left w:val="none" w:sz="0" w:space="0" w:color="auto"/>
            <w:bottom w:val="none" w:sz="0" w:space="0" w:color="auto"/>
            <w:right w:val="none" w:sz="0" w:space="0" w:color="auto"/>
          </w:divBdr>
        </w:div>
      </w:divsChild>
    </w:div>
    <w:div w:id="1013804771">
      <w:bodyDiv w:val="1"/>
      <w:marLeft w:val="0"/>
      <w:marRight w:val="0"/>
      <w:marTop w:val="0"/>
      <w:marBottom w:val="0"/>
      <w:divBdr>
        <w:top w:val="none" w:sz="0" w:space="0" w:color="auto"/>
        <w:left w:val="none" w:sz="0" w:space="0" w:color="auto"/>
        <w:bottom w:val="none" w:sz="0" w:space="0" w:color="auto"/>
        <w:right w:val="none" w:sz="0" w:space="0" w:color="auto"/>
      </w:divBdr>
    </w:div>
    <w:div w:id="1323971803">
      <w:bodyDiv w:val="1"/>
      <w:marLeft w:val="0"/>
      <w:marRight w:val="0"/>
      <w:marTop w:val="0"/>
      <w:marBottom w:val="0"/>
      <w:divBdr>
        <w:top w:val="none" w:sz="0" w:space="0" w:color="auto"/>
        <w:left w:val="none" w:sz="0" w:space="0" w:color="auto"/>
        <w:bottom w:val="none" w:sz="0" w:space="0" w:color="auto"/>
        <w:right w:val="none" w:sz="0" w:space="0" w:color="auto"/>
      </w:divBdr>
      <w:divsChild>
        <w:div w:id="305596061">
          <w:marLeft w:val="0"/>
          <w:marRight w:val="0"/>
          <w:marTop w:val="0"/>
          <w:marBottom w:val="0"/>
          <w:divBdr>
            <w:top w:val="single" w:sz="6" w:space="8" w:color="BBBBBB"/>
            <w:left w:val="single" w:sz="6" w:space="8" w:color="BBBBBB"/>
            <w:bottom w:val="single" w:sz="6" w:space="8" w:color="BBBBBB"/>
            <w:right w:val="single" w:sz="6" w:space="8" w:color="BBBBBB"/>
          </w:divBdr>
          <w:divsChild>
            <w:div w:id="1440762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60295632">
      <w:bodyDiv w:val="1"/>
      <w:marLeft w:val="0"/>
      <w:marRight w:val="0"/>
      <w:marTop w:val="0"/>
      <w:marBottom w:val="0"/>
      <w:divBdr>
        <w:top w:val="none" w:sz="0" w:space="0" w:color="auto"/>
        <w:left w:val="none" w:sz="0" w:space="0" w:color="auto"/>
        <w:bottom w:val="none" w:sz="0" w:space="0" w:color="auto"/>
        <w:right w:val="none" w:sz="0" w:space="0" w:color="auto"/>
      </w:divBdr>
      <w:divsChild>
        <w:div w:id="1287544899">
          <w:marLeft w:val="0"/>
          <w:marRight w:val="0"/>
          <w:marTop w:val="0"/>
          <w:marBottom w:val="0"/>
          <w:divBdr>
            <w:top w:val="none" w:sz="0" w:space="0" w:color="auto"/>
            <w:left w:val="none" w:sz="0" w:space="0" w:color="auto"/>
            <w:bottom w:val="none" w:sz="0" w:space="0" w:color="auto"/>
            <w:right w:val="none" w:sz="0" w:space="0" w:color="auto"/>
          </w:divBdr>
          <w:divsChild>
            <w:div w:id="12737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27686">
      <w:bodyDiv w:val="1"/>
      <w:marLeft w:val="0"/>
      <w:marRight w:val="0"/>
      <w:marTop w:val="0"/>
      <w:marBottom w:val="0"/>
      <w:divBdr>
        <w:top w:val="none" w:sz="0" w:space="0" w:color="auto"/>
        <w:left w:val="none" w:sz="0" w:space="0" w:color="auto"/>
        <w:bottom w:val="none" w:sz="0" w:space="0" w:color="auto"/>
        <w:right w:val="none" w:sz="0" w:space="0" w:color="auto"/>
      </w:divBdr>
      <w:divsChild>
        <w:div w:id="623392626">
          <w:marLeft w:val="0"/>
          <w:marRight w:val="0"/>
          <w:marTop w:val="0"/>
          <w:marBottom w:val="0"/>
          <w:divBdr>
            <w:top w:val="none" w:sz="0" w:space="0" w:color="auto"/>
            <w:left w:val="none" w:sz="0" w:space="0" w:color="auto"/>
            <w:bottom w:val="none" w:sz="0" w:space="0" w:color="auto"/>
            <w:right w:val="none" w:sz="0" w:space="0" w:color="auto"/>
          </w:divBdr>
          <w:divsChild>
            <w:div w:id="709961578">
              <w:marLeft w:val="0"/>
              <w:marRight w:val="0"/>
              <w:marTop w:val="0"/>
              <w:marBottom w:val="0"/>
              <w:divBdr>
                <w:top w:val="none" w:sz="0" w:space="0" w:color="auto"/>
                <w:left w:val="none" w:sz="0" w:space="0" w:color="auto"/>
                <w:bottom w:val="none" w:sz="0" w:space="0" w:color="auto"/>
                <w:right w:val="none" w:sz="0" w:space="0" w:color="auto"/>
              </w:divBdr>
              <w:divsChild>
                <w:div w:id="1845630775">
                  <w:marLeft w:val="0"/>
                  <w:marRight w:val="0"/>
                  <w:marTop w:val="0"/>
                  <w:marBottom w:val="0"/>
                  <w:divBdr>
                    <w:top w:val="none" w:sz="0" w:space="0" w:color="auto"/>
                    <w:left w:val="none" w:sz="0" w:space="0" w:color="auto"/>
                    <w:bottom w:val="none" w:sz="0" w:space="0" w:color="auto"/>
                    <w:right w:val="none" w:sz="0" w:space="0" w:color="auto"/>
                  </w:divBdr>
                  <w:divsChild>
                    <w:div w:id="18733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20658">
          <w:marLeft w:val="0"/>
          <w:marRight w:val="0"/>
          <w:marTop w:val="0"/>
          <w:marBottom w:val="0"/>
          <w:divBdr>
            <w:top w:val="none" w:sz="0" w:space="0" w:color="auto"/>
            <w:left w:val="none" w:sz="0" w:space="0" w:color="auto"/>
            <w:bottom w:val="none" w:sz="0" w:space="0" w:color="auto"/>
            <w:right w:val="none" w:sz="0" w:space="0" w:color="auto"/>
          </w:divBdr>
        </w:div>
      </w:divsChild>
    </w:div>
    <w:div w:id="1525822033">
      <w:bodyDiv w:val="1"/>
      <w:marLeft w:val="0"/>
      <w:marRight w:val="0"/>
      <w:marTop w:val="0"/>
      <w:marBottom w:val="0"/>
      <w:divBdr>
        <w:top w:val="none" w:sz="0" w:space="0" w:color="auto"/>
        <w:left w:val="none" w:sz="0" w:space="0" w:color="auto"/>
        <w:bottom w:val="none" w:sz="0" w:space="0" w:color="auto"/>
        <w:right w:val="none" w:sz="0" w:space="0" w:color="auto"/>
      </w:divBdr>
      <w:divsChild>
        <w:div w:id="937833031">
          <w:marLeft w:val="0"/>
          <w:marRight w:val="0"/>
          <w:marTop w:val="0"/>
          <w:marBottom w:val="0"/>
          <w:divBdr>
            <w:top w:val="none" w:sz="0" w:space="0" w:color="auto"/>
            <w:left w:val="none" w:sz="0" w:space="0" w:color="auto"/>
            <w:bottom w:val="none" w:sz="0" w:space="0" w:color="auto"/>
            <w:right w:val="none" w:sz="0" w:space="0" w:color="auto"/>
          </w:divBdr>
          <w:divsChild>
            <w:div w:id="951590665">
              <w:marLeft w:val="0"/>
              <w:marRight w:val="0"/>
              <w:marTop w:val="0"/>
              <w:marBottom w:val="0"/>
              <w:divBdr>
                <w:top w:val="none" w:sz="0" w:space="0" w:color="auto"/>
                <w:left w:val="none" w:sz="0" w:space="0" w:color="auto"/>
                <w:bottom w:val="none" w:sz="0" w:space="0" w:color="auto"/>
                <w:right w:val="none" w:sz="0" w:space="0" w:color="auto"/>
              </w:divBdr>
              <w:divsChild>
                <w:div w:id="1062102011">
                  <w:marLeft w:val="0"/>
                  <w:marRight w:val="0"/>
                  <w:marTop w:val="0"/>
                  <w:marBottom w:val="0"/>
                  <w:divBdr>
                    <w:top w:val="none" w:sz="0" w:space="0" w:color="auto"/>
                    <w:left w:val="none" w:sz="0" w:space="0" w:color="auto"/>
                    <w:bottom w:val="none" w:sz="0" w:space="0" w:color="auto"/>
                    <w:right w:val="none" w:sz="0" w:space="0" w:color="auto"/>
                  </w:divBdr>
                  <w:divsChild>
                    <w:div w:id="18559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9725">
          <w:marLeft w:val="0"/>
          <w:marRight w:val="0"/>
          <w:marTop w:val="0"/>
          <w:marBottom w:val="0"/>
          <w:divBdr>
            <w:top w:val="none" w:sz="0" w:space="0" w:color="auto"/>
            <w:left w:val="none" w:sz="0" w:space="0" w:color="auto"/>
            <w:bottom w:val="none" w:sz="0" w:space="0" w:color="auto"/>
            <w:right w:val="none" w:sz="0" w:space="0" w:color="auto"/>
          </w:divBdr>
        </w:div>
      </w:divsChild>
    </w:div>
    <w:div w:id="1618028095">
      <w:bodyDiv w:val="1"/>
      <w:marLeft w:val="0"/>
      <w:marRight w:val="0"/>
      <w:marTop w:val="0"/>
      <w:marBottom w:val="0"/>
      <w:divBdr>
        <w:top w:val="none" w:sz="0" w:space="0" w:color="auto"/>
        <w:left w:val="none" w:sz="0" w:space="0" w:color="auto"/>
        <w:bottom w:val="none" w:sz="0" w:space="0" w:color="auto"/>
        <w:right w:val="none" w:sz="0" w:space="0" w:color="auto"/>
      </w:divBdr>
    </w:div>
    <w:div w:id="1856115296">
      <w:bodyDiv w:val="1"/>
      <w:marLeft w:val="0"/>
      <w:marRight w:val="0"/>
      <w:marTop w:val="0"/>
      <w:marBottom w:val="0"/>
      <w:divBdr>
        <w:top w:val="none" w:sz="0" w:space="0" w:color="auto"/>
        <w:left w:val="none" w:sz="0" w:space="0" w:color="auto"/>
        <w:bottom w:val="none" w:sz="0" w:space="0" w:color="auto"/>
        <w:right w:val="none" w:sz="0" w:space="0" w:color="auto"/>
      </w:divBdr>
    </w:div>
    <w:div w:id="1993025775">
      <w:bodyDiv w:val="1"/>
      <w:marLeft w:val="0"/>
      <w:marRight w:val="0"/>
      <w:marTop w:val="0"/>
      <w:marBottom w:val="0"/>
      <w:divBdr>
        <w:top w:val="none" w:sz="0" w:space="0" w:color="auto"/>
        <w:left w:val="none" w:sz="0" w:space="0" w:color="auto"/>
        <w:bottom w:val="none" w:sz="0" w:space="0" w:color="auto"/>
        <w:right w:val="none" w:sz="0" w:space="0" w:color="auto"/>
      </w:divBdr>
    </w:div>
    <w:div w:id="1994211887">
      <w:bodyDiv w:val="1"/>
      <w:marLeft w:val="0"/>
      <w:marRight w:val="0"/>
      <w:marTop w:val="0"/>
      <w:marBottom w:val="0"/>
      <w:divBdr>
        <w:top w:val="none" w:sz="0" w:space="0" w:color="auto"/>
        <w:left w:val="none" w:sz="0" w:space="0" w:color="auto"/>
        <w:bottom w:val="none" w:sz="0" w:space="0" w:color="auto"/>
        <w:right w:val="none" w:sz="0" w:space="0" w:color="auto"/>
      </w:divBdr>
      <w:divsChild>
        <w:div w:id="1067461226">
          <w:marLeft w:val="0"/>
          <w:marRight w:val="0"/>
          <w:marTop w:val="0"/>
          <w:marBottom w:val="0"/>
          <w:divBdr>
            <w:top w:val="none" w:sz="0" w:space="0" w:color="auto"/>
            <w:left w:val="none" w:sz="0" w:space="0" w:color="auto"/>
            <w:bottom w:val="none" w:sz="0" w:space="0" w:color="auto"/>
            <w:right w:val="none" w:sz="0" w:space="0" w:color="auto"/>
          </w:divBdr>
          <w:divsChild>
            <w:div w:id="656037972">
              <w:marLeft w:val="0"/>
              <w:marRight w:val="0"/>
              <w:marTop w:val="0"/>
              <w:marBottom w:val="0"/>
              <w:divBdr>
                <w:top w:val="none" w:sz="0" w:space="0" w:color="auto"/>
                <w:left w:val="none" w:sz="0" w:space="0" w:color="auto"/>
                <w:bottom w:val="none" w:sz="0" w:space="0" w:color="auto"/>
                <w:right w:val="none" w:sz="0" w:space="0" w:color="auto"/>
              </w:divBdr>
              <w:divsChild>
                <w:div w:id="120657852">
                  <w:marLeft w:val="0"/>
                  <w:marRight w:val="0"/>
                  <w:marTop w:val="0"/>
                  <w:marBottom w:val="0"/>
                  <w:divBdr>
                    <w:top w:val="none" w:sz="0" w:space="0" w:color="auto"/>
                    <w:left w:val="none" w:sz="0" w:space="0" w:color="auto"/>
                    <w:bottom w:val="none" w:sz="0" w:space="0" w:color="auto"/>
                    <w:right w:val="none" w:sz="0" w:space="0" w:color="auto"/>
                  </w:divBdr>
                  <w:divsChild>
                    <w:div w:id="20341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07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commission.gov.au/workerresources" TargetMode="External"/><Relationship Id="rId18" Type="http://schemas.openxmlformats.org/officeDocument/2006/relationships/hyperlink" Target="https://www.legislation.gov.au/Details/F2018N00041" TargetMode="External"/><Relationship Id="rId26" Type="http://schemas.openxmlformats.org/officeDocument/2006/relationships/hyperlink" Target="https://cid.org.au/resource/tips-help-mental-health/" TargetMode="External"/><Relationship Id="rId39" Type="http://schemas.openxmlformats.org/officeDocument/2006/relationships/hyperlink" Target="https://www.health.gov.au/resources/publications/chap-adult-standard?language=en" TargetMode="External"/><Relationship Id="rId21" Type="http://schemas.openxmlformats.org/officeDocument/2006/relationships/hyperlink" Target="https://www.3dn.unsw.edu.au/resources" TargetMode="External"/><Relationship Id="rId34" Type="http://schemas.openxmlformats.org/officeDocument/2006/relationships/hyperlink" Target="https://www.safetyandquality.gov.au/standards/nsqhs-standards" TargetMode="External"/><Relationship Id="rId42" Type="http://schemas.openxmlformats.org/officeDocument/2006/relationships/hyperlink" Target="https://autismandhealth.org/inc/forms/hc_symptoms_worksheet.pdf" TargetMode="External"/><Relationship Id="rId47" Type="http://schemas.openxmlformats.org/officeDocument/2006/relationships/hyperlink" Target="https://qcidd.centre.uq.edu.au/resources/ablex-series" TargetMode="External"/><Relationship Id="rId50" Type="http://schemas.openxmlformats.org/officeDocument/2006/relationships/hyperlink" Target="https://aci.health.nsw.gov.au/resources/intellectual-disability" TargetMode="External"/><Relationship Id="rId55" Type="http://schemas.openxmlformats.org/officeDocument/2006/relationships/hyperlink" Target="https://www.ideas.org.au/component/finder/search.html?q=supported+decision+making+&amp;Itemid=506"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commission.gov.au/providers/ndis-code-conduct" TargetMode="External"/><Relationship Id="rId20" Type="http://schemas.openxmlformats.org/officeDocument/2006/relationships/hyperlink" Target="https://workforcecapability.ndiscommission.gov.au/framework" TargetMode="External"/><Relationship Id="rId29" Type="http://schemas.openxmlformats.org/officeDocument/2006/relationships/hyperlink" Target="https://www.notredame.edu.au/__data/assets/pdf_file/0025/327463/Health-Care-Guide.pdf" TargetMode="External"/><Relationship Id="rId41" Type="http://schemas.openxmlformats.org/officeDocument/2006/relationships/hyperlink" Target="https://cid.org.au/resource/my-health-matters-folder/" TargetMode="External"/><Relationship Id="rId54" Type="http://schemas.openxmlformats.org/officeDocument/2006/relationships/hyperlink" Target="https://www.tag.nsw.gov.au/guardianship/supported-decision-making-and-capacity"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3dn.unsw.edu.au/projects/nhmrc-partnership-project-preventive-healthcare-people-intellectual-disability" TargetMode="External"/><Relationship Id="rId32" Type="http://schemas.openxmlformats.org/officeDocument/2006/relationships/hyperlink" Target="https://www.health.gov.au/our-work/phn/your-local-PHN?utm_source=health.gov.au&amp;utm_medium=callout-auto-custom&amp;utm_campaign=digital_transformation" TargetMode="External"/><Relationship Id="rId37" Type="http://schemas.openxmlformats.org/officeDocument/2006/relationships/hyperlink" Target="https://cid.org.au/resource/types-of-health-checks-fact-sheet/" TargetMode="External"/><Relationship Id="rId40" Type="http://schemas.openxmlformats.org/officeDocument/2006/relationships/hyperlink" Target="https://www.downsyndrome.org.au/services-and-supports/professionals/health-screening-tool/" TargetMode="External"/><Relationship Id="rId45" Type="http://schemas.openxmlformats.org/officeDocument/2006/relationships/hyperlink" Target="https://communicationhub.com.au/" TargetMode="External"/><Relationship Id="rId53" Type="http://schemas.openxmlformats.org/officeDocument/2006/relationships/hyperlink" Target="https://support-my-decision.org.au/"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ealth.gov.au/resources/publications/chap-adult-standard?language=en" TargetMode="External"/><Relationship Id="rId23" Type="http://schemas.openxmlformats.org/officeDocument/2006/relationships/hyperlink" Target="https://www.3dn.unsw.edu.au/sites/default/files/documents/3DN_GettingHelp_MentalHealth_ERv1.pdf" TargetMode="External"/><Relationship Id="rId28" Type="http://schemas.openxmlformats.org/officeDocument/2006/relationships/hyperlink" Target="https://cddh.monashhealth.org/index.php/my-health-family-and-support/resources-and-links-disabilities/" TargetMode="External"/><Relationship Id="rId36" Type="http://schemas.openxmlformats.org/officeDocument/2006/relationships/hyperlink" Target="https://cid.org.au/resource/yearly-health-check-fact-sheet/" TargetMode="External"/><Relationship Id="rId49" Type="http://schemas.openxmlformats.org/officeDocument/2006/relationships/hyperlink" Target="https://cddh.monashhealth.org/wp-content/uploads/2021/01/2017-working-with-people-with-intellectual-disabilities.pdf" TargetMode="External"/><Relationship Id="rId57" Type="http://schemas.openxmlformats.org/officeDocument/2006/relationships/header" Target="header2.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discommission.gov.au/providers/registered-ndis-providers/provider-obligations-and-requirements/ndis-practice-standards-0" TargetMode="External"/><Relationship Id="rId31" Type="http://schemas.openxmlformats.org/officeDocument/2006/relationships/hyperlink" Target="https://www.healthdirect.gov.au/australian-health-services" TargetMode="External"/><Relationship Id="rId44" Type="http://schemas.openxmlformats.org/officeDocument/2006/relationships/hyperlink" Target="https://idhealtheducation.edu.au/carers-and-family/" TargetMode="External"/><Relationship Id="rId52" Type="http://schemas.openxmlformats.org/officeDocument/2006/relationships/hyperlink" Target="https://waindividualisedservices.org.au/resources/supported-decision-making/"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health.gov.au/internet/main/publishing.nsf/Content/mbsprimarycare_mbsitem_general_factsheet" TargetMode="External"/><Relationship Id="rId22" Type="http://schemas.openxmlformats.org/officeDocument/2006/relationships/hyperlink" Target="https://www.3dn.unsw.edu.au/resources-lived-experience" TargetMode="External"/><Relationship Id="rId27" Type="http://schemas.openxmlformats.org/officeDocument/2006/relationships/hyperlink" Target="https://cid.org.au/our-health-fact-sheets/" TargetMode="External"/><Relationship Id="rId30" Type="http://schemas.openxmlformats.org/officeDocument/2006/relationships/hyperlink" Target="https://www.ideas.org.au/component/finder/search.html?q=health+&amp;Itemid=506" TargetMode="External"/><Relationship Id="rId35" Type="http://schemas.openxmlformats.org/officeDocument/2006/relationships/hyperlink" Target="https://www1.health.gov.au/internet/main/publishing.nsf/Content/mbsprimarycare_mbsitem_intellectual_disability" TargetMode="External"/><Relationship Id="rId43" Type="http://schemas.openxmlformats.org/officeDocument/2006/relationships/hyperlink" Target="https://aci.health.nsw.gov.au/networks/intellectual-disability/resources/say-less-show-more" TargetMode="External"/><Relationship Id="rId48" Type="http://schemas.openxmlformats.org/officeDocument/2006/relationships/hyperlink" Target="https://www.3dn.unsw.edu.au/content/health-mental-health-elearning"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inclusionmelbourne.org.au/resource/choice/" TargetMode="External"/><Relationship Id="rId3" Type="http://schemas.openxmlformats.org/officeDocument/2006/relationships/customXml" Target="../customXml/item3.xml"/><Relationship Id="rId12" Type="http://schemas.openxmlformats.org/officeDocument/2006/relationships/hyperlink" Target="https://www.who.int/health-topics/social-determinants-of-health" TargetMode="External"/><Relationship Id="rId17" Type="http://schemas.openxmlformats.org/officeDocument/2006/relationships/hyperlink" Target="https://www.legislation.gov.au/F2018L00631/latest/text" TargetMode="External"/><Relationship Id="rId25" Type="http://schemas.openxmlformats.org/officeDocument/2006/relationships/hyperlink" Target="https://cid.org.au/resource/mental-health-guide/" TargetMode="External"/><Relationship Id="rId33" Type="http://schemas.openxmlformats.org/officeDocument/2006/relationships/hyperlink" Target="https://www.safetyandquality.gov.au/consumers/understanding-your-rights" TargetMode="External"/><Relationship Id="rId38" Type="http://schemas.openxmlformats.org/officeDocument/2006/relationships/hyperlink" Target="https://www.safetyandquality.gov.au/publications-and-resources/resource-library/goals-care-easy-english" TargetMode="External"/><Relationship Id="rId46" Type="http://schemas.openxmlformats.org/officeDocument/2006/relationships/hyperlink" Target="http://www.patientprovidercommunication.org/userfiles/file/1_1MedicalEncounterCommunicationBoard.pdf" TargetMode="External"/><Relationship Id="rId59"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s://pubmed.ncbi.nlm.nih.gov/34873769/" TargetMode="External"/><Relationship Id="rId13" Type="http://schemas.openxmlformats.org/officeDocument/2006/relationships/hyperlink" Target="https://pubmed.ncbi.nlm.nih.gov/27489075/" TargetMode="External"/><Relationship Id="rId18" Type="http://schemas.openxmlformats.org/officeDocument/2006/relationships/hyperlink" Target="https://doi.org/10.3109/13668250.2017.1310821" TargetMode="External"/><Relationship Id="rId26" Type="http://schemas.openxmlformats.org/officeDocument/2006/relationships/hyperlink" Target="https://www.aihw.gov.au/reports/australias-health/australias-health-2014/overview" TargetMode="External"/><Relationship Id="rId3" Type="http://schemas.openxmlformats.org/officeDocument/2006/relationships/hyperlink" Target="https://www.vichealth.vic.gov.au/sites/default/files/VH_Disability-Summary_web.pdf" TargetMode="External"/><Relationship Id="rId21" Type="http://schemas.openxmlformats.org/officeDocument/2006/relationships/hyperlink" Target="https://academic.oup.com/oncolo/article/24/7/901/6439239?login=true" TargetMode="External"/><Relationship Id="rId7" Type="http://schemas.openxmlformats.org/officeDocument/2006/relationships/hyperlink" Target="https://pubmed.ncbi.nlm.nih.gov/21122730/" TargetMode="External"/><Relationship Id="rId12" Type="http://schemas.openxmlformats.org/officeDocument/2006/relationships/hyperlink" Target="https://pubmed.ncbi.nlm.nih.gov/27432034/" TargetMode="External"/><Relationship Id="rId17" Type="http://schemas.openxmlformats.org/officeDocument/2006/relationships/hyperlink" Target="https://pubmed.ncbi.nlm.nih.gov/22676228/" TargetMode="External"/><Relationship Id="rId25" Type="http://schemas.openxmlformats.org/officeDocument/2006/relationships/hyperlink" Target="https://www.aihw.gov.au/reports/australias-health/australias-health-2014" TargetMode="External"/><Relationship Id="rId33" Type="http://schemas.openxmlformats.org/officeDocument/2006/relationships/hyperlink" Target="https://www.semanticscholar.org/paper/Cluster-Randomized-Controlled-Trial-of-to-Improve-Lennox-Bain/955296c66863cb1d4acbaa8da866a5179b6e934f" TargetMode="External"/><Relationship Id="rId2" Type="http://schemas.openxmlformats.org/officeDocument/2006/relationships/hyperlink" Target="https://www.publish.csiro.au/py/PY10022" TargetMode="External"/><Relationship Id="rId16" Type="http://schemas.openxmlformats.org/officeDocument/2006/relationships/hyperlink" Target="https://www.who.int/health-topics/social-determinants-of-health" TargetMode="External"/><Relationship Id="rId20" Type="http://schemas.openxmlformats.org/officeDocument/2006/relationships/hyperlink" Target="https://cddh.monashhealth.org/index.php/resources/" TargetMode="External"/><Relationship Id="rId29" Type="http://schemas.openxmlformats.org/officeDocument/2006/relationships/hyperlink" Target="https://pubmed.ncbi.nlm.nih.gov/24984052/" TargetMode="External"/><Relationship Id="rId1" Type="http://schemas.openxmlformats.org/officeDocument/2006/relationships/hyperlink" Target="https://www.aihw.gov.au/reports/australias-health/health-of-people-with-disability" TargetMode="External"/><Relationship Id="rId6" Type="http://schemas.openxmlformats.org/officeDocument/2006/relationships/hyperlink" Target="https://pubmed.ncbi.nlm.nih.gov/24962662/" TargetMode="External"/><Relationship Id="rId11" Type="http://schemas.openxmlformats.org/officeDocument/2006/relationships/hyperlink" Target="https://www.aihw.gov.au/reports/risk-factors/risk-factors-to-health/contents/summary" TargetMode="External"/><Relationship Id="rId24" Type="http://schemas.openxmlformats.org/officeDocument/2006/relationships/hyperlink" Target="https://journals.calstate.edu/cjhp/article/view/647" TargetMode="External"/><Relationship Id="rId32" Type="http://schemas.openxmlformats.org/officeDocument/2006/relationships/hyperlink" Target="https://pubmed.ncbi.nlm.nih.gov/17218326/" TargetMode="External"/><Relationship Id="rId5" Type="http://schemas.openxmlformats.org/officeDocument/2006/relationships/hyperlink" Target="https://www.aihw.gov.au/reports/disability/access-health-services-disability/contents/summary" TargetMode="External"/><Relationship Id="rId15" Type="http://schemas.openxmlformats.org/officeDocument/2006/relationships/hyperlink" Target="https://www.ndiscommission.gov.au/document/1881" TargetMode="External"/><Relationship Id="rId23" Type="http://schemas.openxmlformats.org/officeDocument/2006/relationships/hyperlink" Target="https://onlinelibrary.wiley.com/doi/10.1111/bld.12576" TargetMode="External"/><Relationship Id="rId28" Type="http://schemas.openxmlformats.org/officeDocument/2006/relationships/hyperlink" Target="https://www.notredame.edu.au/__data/assets/pdf_file/0025/327463/Health-Care-Guide.pdf" TargetMode="External"/><Relationship Id="rId10" Type="http://schemas.openxmlformats.org/officeDocument/2006/relationships/hyperlink" Target="https://onlinelibrary.wiley.com/doi/10.1111/bld.12569" TargetMode="External"/><Relationship Id="rId19" Type="http://schemas.openxmlformats.org/officeDocument/2006/relationships/hyperlink" Target="https://www.aihw.gov.au/reports/disability/people-with-disability-in-australia/contents/health/health-risk-factors-and-behaviours" TargetMode="External"/><Relationship Id="rId31" Type="http://schemas.openxmlformats.org/officeDocument/2006/relationships/hyperlink" Target="https://www.nds.org.au/images/LearnNDevelop/Chronic-Illness-and-People-with-Intellectual-Disability.PDF" TargetMode="External"/><Relationship Id="rId4" Type="http://schemas.openxmlformats.org/officeDocument/2006/relationships/hyperlink" Target="https://pubmed.ncbi.nlm.nih.gov/25595297/" TargetMode="External"/><Relationship Id="rId9" Type="http://schemas.openxmlformats.org/officeDocument/2006/relationships/hyperlink" Target="https://onlinelibrary.wiley.com/doi/10.1002/mrdd.20098" TargetMode="External"/><Relationship Id="rId14" Type="http://schemas.openxmlformats.org/officeDocument/2006/relationships/hyperlink" Target="https://bmjopen.bmj.com/content/9/9/e031624" TargetMode="External"/><Relationship Id="rId22" Type="http://schemas.openxmlformats.org/officeDocument/2006/relationships/hyperlink" Target="https://www.equallywell.org.au/wp-content/uploads/2018/12/Equally-Well-National-Consensus-Booklet-47537.pdf" TargetMode="External"/><Relationship Id="rId27" Type="http://schemas.openxmlformats.org/officeDocument/2006/relationships/hyperlink" Target="https://jech.bmj.com/content/71/1/52" TargetMode="External"/><Relationship Id="rId30" Type="http://schemas.openxmlformats.org/officeDocument/2006/relationships/hyperlink" Target="https://www.saxinstitute.org.au/evidence-check/the-effectiveness-of-comprehensive-health-assessments-for-people-with-disabilit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4ea60a-8982-4d31-a7e8-1f8b71976754" xsi:nil="true"/>
    <Notes xmlns="dceef2fa-8a21-4012-a13e-c56cb8b42e2d" xsi:nil="true"/>
    <lcf76f155ced4ddcb4097134ff3c332f xmlns="dceef2fa-8a21-4012-a13e-c56cb8b42e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B2F229EEEB4B4D83045F0A871580C7" ma:contentTypeVersion="16" ma:contentTypeDescription="Create a new document." ma:contentTypeScope="" ma:versionID="fe16d583bbe5f16084740ed392c15503">
  <xsd:schema xmlns:xsd="http://www.w3.org/2001/XMLSchema" xmlns:xs="http://www.w3.org/2001/XMLSchema" xmlns:p="http://schemas.microsoft.com/office/2006/metadata/properties" xmlns:ns2="dceef2fa-8a21-4012-a13e-c56cb8b42e2d" xmlns:ns3="2e4ea60a-8982-4d31-a7e8-1f8b71976754" targetNamespace="http://schemas.microsoft.com/office/2006/metadata/properties" ma:root="true" ma:fieldsID="474906a8146cdf73ff649b9092ae20db" ns2:_="" ns3:_="">
    <xsd:import namespace="dceef2fa-8a21-4012-a13e-c56cb8b42e2d"/>
    <xsd:import namespace="2e4ea60a-8982-4d31-a7e8-1f8b719767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ef2fa-8a21-4012-a13e-c56cb8b4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4ea60a-8982-4d31-a7e8-1f8b719767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c23be-633a-4bca-8a28-cd2b05d541fb}" ma:internalName="TaxCatchAll" ma:showField="CatchAllData" ma:web="2e4ea60a-8982-4d31-a7e8-1f8b719767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4157D-3922-4536-88E6-FFCF3E413A36}">
  <ds:schemaRefs>
    <ds:schemaRef ds:uri="dceef2fa-8a21-4012-a13e-c56cb8b42e2d"/>
    <ds:schemaRef ds:uri="http://schemas.microsoft.com/office/2006/metadata/properties"/>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2e4ea60a-8982-4d31-a7e8-1f8b71976754"/>
    <ds:schemaRef ds:uri="http://www.w3.org/XML/1998/namespace"/>
    <ds:schemaRef ds:uri="http://purl.org/dc/dcmitype/"/>
  </ds:schemaRefs>
</ds:datastoreItem>
</file>

<file path=customXml/itemProps2.xml><?xml version="1.0" encoding="utf-8"?>
<ds:datastoreItem xmlns:ds="http://schemas.openxmlformats.org/officeDocument/2006/customXml" ds:itemID="{132D4187-64A8-4D56-8CD9-EC96EFF33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ef2fa-8a21-4012-a13e-c56cb8b42e2d"/>
    <ds:schemaRef ds:uri="2e4ea60a-8982-4d31-a7e8-1f8b7197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24A0C9-F2BE-4E71-84EB-27C34784F945}">
  <ds:schemaRefs>
    <ds:schemaRef ds:uri="http://schemas.microsoft.com/sharepoint/v3/contenttype/forms"/>
  </ds:schemaRefs>
</ds:datastoreItem>
</file>

<file path=customXml/itemProps4.xml><?xml version="1.0" encoding="utf-8"?>
<ds:datastoreItem xmlns:ds="http://schemas.openxmlformats.org/officeDocument/2006/customXml" ds:itemID="{0E6DF537-1455-4C98-953F-F11C080B8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3746</Words>
  <Characters>22514</Characters>
  <Application>Microsoft Office Word</Application>
  <DocSecurity>0</DocSecurity>
  <Lines>375</Lines>
  <Paragraphs>197</Paragraphs>
  <ScaleCrop>false</ScaleCrop>
  <HeadingPairs>
    <vt:vector size="2" baseType="variant">
      <vt:variant>
        <vt:lpstr>Title</vt:lpstr>
      </vt:variant>
      <vt:variant>
        <vt:i4>1</vt:i4>
      </vt:variant>
    </vt:vector>
  </HeadingPairs>
  <TitlesOfParts>
    <vt:vector size="1" baseType="lpstr">
      <vt:lpstr>Practice alert: Comprehensive health assessment</vt:lpstr>
    </vt:vector>
  </TitlesOfParts>
  <Company/>
  <LinksUpToDate>false</LinksUpToDate>
  <CharactersWithSpaces>26063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alert: Comprehensive health assessment</dc:title>
  <dc:subject/>
  <dc:creator>NDIS Quality and Safeguards Commission</dc:creator>
  <cp:keywords>[SEC=OFFICIAL]</cp:keywords>
  <dc:description/>
  <cp:lastModifiedBy>MCDOUGALL, Rachel</cp:lastModifiedBy>
  <cp:revision>2</cp:revision>
  <cp:lastPrinted>2020-06-19T06:33:00Z</cp:lastPrinted>
  <dcterms:created xsi:type="dcterms:W3CDTF">2025-01-14T04:45:00Z</dcterms:created>
  <dcterms:modified xsi:type="dcterms:W3CDTF">2025-01-14T04:45:00Z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47EF53DB96714B2DBEDB99E1E7FE9138</vt:lpwstr>
  </property>
  <property fmtid="{D5CDD505-2E9C-101B-9397-08002B2CF9AE}" pid="9" name="PM_ProtectiveMarkingValue_Footer">
    <vt:lpwstr>OFFICIAL</vt:lpwstr>
  </property>
  <property fmtid="{D5CDD505-2E9C-101B-9397-08002B2CF9AE}" pid="10" name="PM_Originator_Hash_SHA1">
    <vt:lpwstr>AA132583E5C7BBC40228B933FB6F931EC4CC7B32</vt:lpwstr>
  </property>
  <property fmtid="{D5CDD505-2E9C-101B-9397-08002B2CF9AE}" pid="11" name="PM_OriginationTimeStamp">
    <vt:lpwstr>2024-02-26T05:07:07Z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A6E5E2E8BF5A9BBAD1E52406A6F4F4DE</vt:lpwstr>
  </property>
  <property fmtid="{D5CDD505-2E9C-101B-9397-08002B2CF9AE}" pid="20" name="PM_Hash_Salt">
    <vt:lpwstr>291F4EEF359EF3EC19809DA139BCA2B3</vt:lpwstr>
  </property>
  <property fmtid="{D5CDD505-2E9C-101B-9397-08002B2CF9AE}" pid="21" name="PM_Hash_SHA1">
    <vt:lpwstr>1148420637718CB03134E6DBB45F7DEB8F79E134</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3FBE206DA4716569D963D13447D51133943879CEDE82676AA044D730379DCE7F</vt:lpwstr>
  </property>
  <property fmtid="{D5CDD505-2E9C-101B-9397-08002B2CF9AE}" pid="26" name="PM_OriginatorDomainName_SHA256">
    <vt:lpwstr>CE53151D70EF3143B9B6CA1DC053F41E858E2C804CF2EE5AE813E5CCE407743B</vt:lpwstr>
  </property>
  <property fmtid="{D5CDD505-2E9C-101B-9397-08002B2CF9AE}" pid="27" name="MSIP_Label_eb34d90b-fc41-464d-af60-f74d721d0790_Enabled">
    <vt:lpwstr>true</vt:lpwstr>
  </property>
  <property fmtid="{D5CDD505-2E9C-101B-9397-08002B2CF9AE}" pid="28" name="MSIP_Label_eb34d90b-fc41-464d-af60-f74d721d0790_SetDate">
    <vt:lpwstr>2024-02-26T05:07:07Z</vt:lpwstr>
  </property>
  <property fmtid="{D5CDD505-2E9C-101B-9397-08002B2CF9AE}" pid="29" name="MSIP_Label_eb34d90b-fc41-464d-af60-f74d721d0790_Method">
    <vt:lpwstr>Privileged</vt:lpwstr>
  </property>
  <property fmtid="{D5CDD505-2E9C-101B-9397-08002B2CF9AE}" pid="30" name="MSIP_Label_eb34d90b-fc41-464d-af60-f74d721d0790_Name">
    <vt:lpwstr>OFFICIAL</vt:lpwstr>
  </property>
  <property fmtid="{D5CDD505-2E9C-101B-9397-08002B2CF9AE}" pid="31" name="MSIP_Label_eb34d90b-fc41-464d-af60-f74d721d0790_SiteId">
    <vt:lpwstr>61e36dd1-ca6e-4d61-aa0a-2b4eb88317a3</vt:lpwstr>
  </property>
  <property fmtid="{D5CDD505-2E9C-101B-9397-08002B2CF9AE}" pid="32" name="MSIP_Label_eb34d90b-fc41-464d-af60-f74d721d0790_ActionId">
    <vt:lpwstr>939c465353ba4765aae08ca3d1e8b361</vt:lpwstr>
  </property>
  <property fmtid="{D5CDD505-2E9C-101B-9397-08002B2CF9AE}" pid="33" name="MSIP_Label_eb34d90b-fc41-464d-af60-f74d721d0790_ContentBits">
    <vt:lpwstr>0</vt:lpwstr>
  </property>
  <property fmtid="{D5CDD505-2E9C-101B-9397-08002B2CF9AE}" pid="34" name="PMHMAC">
    <vt:lpwstr>v=2022.1;a=SHA256;h=FB7E3BFE4D9886DED1FB1C19DD589C79D9E9220391BF95CDDB610C515AD66C22</vt:lpwstr>
  </property>
  <property fmtid="{D5CDD505-2E9C-101B-9397-08002B2CF9AE}" pid="35" name="PMUuid">
    <vt:lpwstr>v=2022.2;d=gov.au;g=46DD6D7C-8107-577B-BC6E-F348953B2E44</vt:lpwstr>
  </property>
  <property fmtid="{D5CDD505-2E9C-101B-9397-08002B2CF9AE}" pid="36" name="ContentTypeId">
    <vt:lpwstr>0x010100DFB2F229EEEB4B4D83045F0A871580C7</vt:lpwstr>
  </property>
  <property fmtid="{D5CDD505-2E9C-101B-9397-08002B2CF9AE}" pid="37" name="MediaServiceImageTags">
    <vt:lpwstr/>
  </property>
</Properties>
</file>