
<file path=[Content_Types].xml><?xml version="1.0" encoding="utf-8"?>
<Types xmlns="http://schemas.openxmlformats.org/package/2006/content-types">
  <Default Extension="rels" ContentType="application/vnd.openxmlformats-package.relationships+xml"/>
  <Default Extension="tiff" ContentType="image/tif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74E32" w14:textId="21B8712E" w:rsidR="00773D5C" w:rsidRDefault="00773D5C" w:rsidP="00773D5C">
      <w:pPr>
        <w:pStyle w:val="Heading1"/>
      </w:pPr>
      <w:bookmarkStart w:id="0" w:name="_Toc120595868"/>
      <w:bookmarkStart w:id="1" w:name="_Toc120596560"/>
      <w:bookmarkStart w:id="2" w:name="_Toc122366103"/>
      <w:bookmarkStart w:id="3" w:name="_Toc122366268"/>
      <w:r>
        <w:t xml:space="preserve">Market Spotlight: Theme analysis of complaints data </w:t>
      </w:r>
      <w:bookmarkEnd w:id="0"/>
      <w:bookmarkEnd w:id="1"/>
      <w:bookmarkEnd w:id="2"/>
      <w:bookmarkEnd w:id="3"/>
    </w:p>
    <w:p w14:paraId="3BDB4F8E" w14:textId="00B60C68" w:rsidR="00773D5C" w:rsidRDefault="007B5969" w:rsidP="00280CD6">
      <w:pPr>
        <w:pStyle w:val="Heading2-numbered"/>
        <w:ind w:left="426" w:hanging="426"/>
      </w:pPr>
      <w:r>
        <w:t>Background</w:t>
      </w:r>
    </w:p>
    <w:p w14:paraId="02A1D96D" w14:textId="6F6C7172" w:rsidR="00B627C4" w:rsidRDefault="00DD4A51" w:rsidP="007F21A7">
      <w:pPr>
        <w:pStyle w:val="Bullet1"/>
        <w:numPr>
          <w:ilvl w:val="0"/>
          <w:numId w:val="0"/>
        </w:numPr>
      </w:pPr>
      <w:r>
        <w:t xml:space="preserve">The </w:t>
      </w:r>
      <w:r w:rsidR="00CF2152">
        <w:t>NDIS Quality and Safeguards Commission</w:t>
      </w:r>
      <w:r w:rsidR="00184EDE">
        <w:t xml:space="preserve"> (the Commission) </w:t>
      </w:r>
      <w:r w:rsidR="0052686A">
        <w:t>has a core function under section 18</w:t>
      </w:r>
      <w:r w:rsidR="00AD01FC">
        <w:t>1</w:t>
      </w:r>
      <w:r w:rsidR="003F5FA8">
        <w:t>E</w:t>
      </w:r>
      <w:r w:rsidR="0052686A">
        <w:t xml:space="preserve"> of the </w:t>
      </w:r>
      <w:r w:rsidR="0052686A" w:rsidRPr="000018B7">
        <w:rPr>
          <w:i/>
          <w:iCs/>
        </w:rPr>
        <w:t xml:space="preserve">National Disability Insurance Scheme </w:t>
      </w:r>
      <w:r w:rsidR="008B2855">
        <w:t xml:space="preserve">to </w:t>
      </w:r>
      <w:r w:rsidR="00A35991">
        <w:t>provide NDIS market oversight</w:t>
      </w:r>
      <w:r w:rsidR="00296EFA">
        <w:t>.</w:t>
      </w:r>
      <w:r w:rsidR="00ED0D46">
        <w:t xml:space="preserve"> To support this </w:t>
      </w:r>
      <w:r w:rsidR="00E2019F">
        <w:t>function</w:t>
      </w:r>
      <w:r w:rsidR="001B77D1">
        <w:t xml:space="preserve">, the Commission </w:t>
      </w:r>
      <w:r w:rsidR="00F9282A">
        <w:t xml:space="preserve">conducted a </w:t>
      </w:r>
      <w:r w:rsidR="008E72F0">
        <w:t xml:space="preserve">high-level analysis of complaints </w:t>
      </w:r>
      <w:r w:rsidR="00203DB7">
        <w:t xml:space="preserve">data to support </w:t>
      </w:r>
      <w:r w:rsidR="007F21A7">
        <w:t>understanding of the market landscape.</w:t>
      </w:r>
    </w:p>
    <w:p w14:paraId="118000D5" w14:textId="4A84E164" w:rsidR="007B5969" w:rsidRDefault="00B9148A" w:rsidP="00B9148A">
      <w:pPr>
        <w:rPr>
          <w:szCs w:val="22"/>
        </w:rPr>
      </w:pPr>
      <w:r w:rsidRPr="00D04549">
        <w:rPr>
          <w:szCs w:val="22"/>
        </w:rPr>
        <w:t>The approach taken in this market analysis is unique</w:t>
      </w:r>
      <w:r>
        <w:rPr>
          <w:szCs w:val="22"/>
        </w:rPr>
        <w:t>;</w:t>
      </w:r>
      <w:r w:rsidRPr="00D04549">
        <w:rPr>
          <w:szCs w:val="22"/>
        </w:rPr>
        <w:t xml:space="preserve"> </w:t>
      </w:r>
      <w:r>
        <w:rPr>
          <w:szCs w:val="22"/>
        </w:rPr>
        <w:t>it</w:t>
      </w:r>
      <w:r w:rsidRPr="00D04549">
        <w:rPr>
          <w:szCs w:val="22"/>
        </w:rPr>
        <w:t xml:space="preserve"> </w:t>
      </w:r>
      <w:r>
        <w:rPr>
          <w:szCs w:val="22"/>
        </w:rPr>
        <w:t>examines</w:t>
      </w:r>
      <w:r w:rsidRPr="00D04549">
        <w:rPr>
          <w:szCs w:val="22"/>
        </w:rPr>
        <w:t xml:space="preserve"> </w:t>
      </w:r>
      <w:r>
        <w:rPr>
          <w:szCs w:val="22"/>
        </w:rPr>
        <w:t xml:space="preserve">the allegations and themes raised in </w:t>
      </w:r>
      <w:r w:rsidRPr="00D04549">
        <w:rPr>
          <w:szCs w:val="22"/>
        </w:rPr>
        <w:t>complaints through a market intelligence lens</w:t>
      </w:r>
      <w:r>
        <w:rPr>
          <w:szCs w:val="22"/>
        </w:rPr>
        <w:t xml:space="preserve"> to provide insight into NDIS markets.</w:t>
      </w:r>
      <w:r w:rsidRPr="00D04549">
        <w:rPr>
          <w:szCs w:val="22"/>
        </w:rPr>
        <w:t xml:space="preserve"> </w:t>
      </w:r>
      <w:r w:rsidR="004165DE">
        <w:rPr>
          <w:szCs w:val="22"/>
        </w:rPr>
        <w:t>It does</w:t>
      </w:r>
      <w:r w:rsidR="006672E7">
        <w:rPr>
          <w:szCs w:val="22"/>
        </w:rPr>
        <w:t xml:space="preserve"> not </w:t>
      </w:r>
      <w:r w:rsidR="004165DE">
        <w:rPr>
          <w:szCs w:val="22"/>
        </w:rPr>
        <w:t xml:space="preserve">investigate </w:t>
      </w:r>
      <w:r w:rsidR="006672E7">
        <w:rPr>
          <w:szCs w:val="22"/>
        </w:rPr>
        <w:t xml:space="preserve">whether </w:t>
      </w:r>
      <w:r w:rsidR="00E60B92">
        <w:rPr>
          <w:szCs w:val="22"/>
        </w:rPr>
        <w:t>the allegations</w:t>
      </w:r>
      <w:r w:rsidR="006672E7">
        <w:rPr>
          <w:szCs w:val="22"/>
        </w:rPr>
        <w:t xml:space="preserve"> were substantiated. </w:t>
      </w:r>
      <w:r w:rsidRPr="00D04549">
        <w:rPr>
          <w:szCs w:val="22"/>
        </w:rPr>
        <w:t xml:space="preserve">Markets </w:t>
      </w:r>
      <w:r>
        <w:rPr>
          <w:szCs w:val="22"/>
        </w:rPr>
        <w:t>we</w:t>
      </w:r>
      <w:r w:rsidRPr="00D04549">
        <w:rPr>
          <w:szCs w:val="22"/>
        </w:rPr>
        <w:t xml:space="preserve">re segmented by service </w:t>
      </w:r>
      <w:r>
        <w:rPr>
          <w:szCs w:val="22"/>
        </w:rPr>
        <w:t>and</w:t>
      </w:r>
      <w:r w:rsidRPr="00D04549">
        <w:rPr>
          <w:szCs w:val="22"/>
        </w:rPr>
        <w:t xml:space="preserve"> support type,</w:t>
      </w:r>
      <w:r>
        <w:rPr>
          <w:szCs w:val="22"/>
        </w:rPr>
        <w:t xml:space="preserve"> </w:t>
      </w:r>
      <w:r w:rsidRPr="00D04549">
        <w:rPr>
          <w:szCs w:val="22"/>
        </w:rPr>
        <w:t xml:space="preserve">the nature of the issues alleged in </w:t>
      </w:r>
      <w:r>
        <w:rPr>
          <w:szCs w:val="22"/>
        </w:rPr>
        <w:t>complaints</w:t>
      </w:r>
      <w:r w:rsidRPr="00D04549">
        <w:rPr>
          <w:szCs w:val="22"/>
        </w:rPr>
        <w:t xml:space="preserve">, and </w:t>
      </w:r>
      <w:r>
        <w:rPr>
          <w:szCs w:val="22"/>
        </w:rPr>
        <w:t xml:space="preserve">the provider’s registration status. </w:t>
      </w:r>
    </w:p>
    <w:p w14:paraId="7F838D79" w14:textId="3710A94D" w:rsidR="00DB0613" w:rsidRDefault="00DB0613" w:rsidP="00280CD6">
      <w:pPr>
        <w:pStyle w:val="Heading2-numbered"/>
        <w:ind w:left="426" w:hanging="426"/>
      </w:pPr>
      <w:r>
        <w:t>Methodology</w:t>
      </w:r>
    </w:p>
    <w:p w14:paraId="1864F50E" w14:textId="2CB8ABF4" w:rsidR="00225D3B" w:rsidRDefault="00225D3B" w:rsidP="00225D3B">
      <w:r>
        <w:t xml:space="preserve">The purpose of this analysis </w:t>
      </w:r>
      <w:r w:rsidR="006166B7">
        <w:t>wa</w:t>
      </w:r>
      <w:r>
        <w:t xml:space="preserve">s to identify systemic trends and inform the Commission’s understanding of themes </w:t>
      </w:r>
      <w:r w:rsidR="001D41E1">
        <w:t xml:space="preserve">and issues </w:t>
      </w:r>
      <w:r w:rsidR="00162B3F">
        <w:t xml:space="preserve">raised </w:t>
      </w:r>
      <w:r w:rsidR="009A146B">
        <w:t>in complaints</w:t>
      </w:r>
      <w:r w:rsidR="00E42F82">
        <w:t xml:space="preserve"> as </w:t>
      </w:r>
      <w:r>
        <w:t>related to specific market segments and supports.</w:t>
      </w:r>
      <w:r w:rsidRPr="009B2433">
        <w:t xml:space="preserve"> </w:t>
      </w:r>
      <w:r w:rsidR="00C307EA">
        <w:t>The analysis involved:</w:t>
      </w:r>
    </w:p>
    <w:p w14:paraId="46346762" w14:textId="42EC9706" w:rsidR="00D760C5" w:rsidRDefault="00D760C5" w:rsidP="00142222">
      <w:pPr>
        <w:pStyle w:val="Bullet1"/>
        <w:ind w:left="284"/>
      </w:pPr>
      <w:r>
        <w:t>Detailed examination of</w:t>
      </w:r>
      <w:r w:rsidR="00C33CFC">
        <w:t xml:space="preserve"> 1,500 randomised complaint records from the NDIS Commission Operating System (COS) for the period 1 October 2023 to 31 December 2023.</w:t>
      </w:r>
    </w:p>
    <w:p w14:paraId="49C12B3F" w14:textId="37CF50BB" w:rsidR="00451579" w:rsidRDefault="00375337" w:rsidP="00D30759">
      <w:pPr>
        <w:pStyle w:val="Bullet1"/>
        <w:ind w:left="284"/>
      </w:pPr>
      <w:r>
        <w:t>Review</w:t>
      </w:r>
      <w:r w:rsidR="00A74F3A">
        <w:t xml:space="preserve"> of </w:t>
      </w:r>
      <w:r w:rsidR="00142222">
        <w:t>allegations made in complaints</w:t>
      </w:r>
      <w:r w:rsidR="0095422C">
        <w:t>, in order</w:t>
      </w:r>
      <w:r w:rsidR="00142222">
        <w:t xml:space="preserve"> to identify prevalent NDIS supports and complaint themes.</w:t>
      </w:r>
      <w:r w:rsidR="00451579">
        <w:t xml:space="preserve"> </w:t>
      </w:r>
    </w:p>
    <w:p w14:paraId="5F79FDFA" w14:textId="368EF970" w:rsidR="00D30759" w:rsidRPr="00D30759" w:rsidRDefault="001845C1" w:rsidP="00D30759">
      <w:pPr>
        <w:pStyle w:val="Bullet1"/>
        <w:suppressAutoHyphens w:val="0"/>
        <w:spacing w:before="0" w:after="0" w:line="240" w:lineRule="auto"/>
        <w:ind w:left="284"/>
        <w:rPr>
          <w:rFonts w:eastAsia="Times New Roman" w:cs="Calibri"/>
          <w:szCs w:val="22"/>
          <w:lang w:eastAsia="en-AU"/>
        </w:rPr>
      </w:pPr>
      <w:r>
        <w:rPr>
          <w:lang w:eastAsia="en-AU"/>
        </w:rPr>
        <w:t>Categorising e</w:t>
      </w:r>
      <w:r w:rsidR="00D30759">
        <w:rPr>
          <w:lang w:eastAsia="en-AU"/>
        </w:rPr>
        <w:t xml:space="preserve">ach individual complaint by the theme that best captured the nature of the allegations contained within the complaint. </w:t>
      </w:r>
    </w:p>
    <w:p w14:paraId="06A7D44B" w14:textId="54F4D9D5" w:rsidR="00D30759" w:rsidRPr="00D30759" w:rsidRDefault="00D30759" w:rsidP="006166B7">
      <w:pPr>
        <w:rPr>
          <w:lang w:eastAsia="en-AU"/>
        </w:rPr>
      </w:pPr>
      <w:r w:rsidRPr="00D30759">
        <w:rPr>
          <w:lang w:eastAsia="en-AU"/>
        </w:rPr>
        <w:t xml:space="preserve">It is critical to acknowledge that complaints </w:t>
      </w:r>
      <w:r w:rsidR="00D07D1B">
        <w:rPr>
          <w:lang w:eastAsia="en-AU"/>
        </w:rPr>
        <w:t xml:space="preserve">often </w:t>
      </w:r>
      <w:r w:rsidRPr="00D30759">
        <w:rPr>
          <w:lang w:eastAsia="en-AU"/>
        </w:rPr>
        <w:t xml:space="preserve">contain multiple issues; being classified into one category </w:t>
      </w:r>
      <w:r w:rsidR="00D07D1B">
        <w:rPr>
          <w:lang w:eastAsia="en-AU"/>
        </w:rPr>
        <w:t xml:space="preserve">of complaint </w:t>
      </w:r>
      <w:r w:rsidRPr="00D30759">
        <w:rPr>
          <w:lang w:eastAsia="en-AU"/>
        </w:rPr>
        <w:t>d</w:t>
      </w:r>
      <w:r w:rsidR="00D07D1B">
        <w:rPr>
          <w:lang w:eastAsia="en-AU"/>
        </w:rPr>
        <w:t xml:space="preserve">oes not mean there were not also other allegations about a different issue. </w:t>
      </w:r>
      <w:r w:rsidRPr="00D30759">
        <w:rPr>
          <w:lang w:eastAsia="en-AU"/>
        </w:rPr>
        <w:t xml:space="preserve">  </w:t>
      </w:r>
      <w:r w:rsidR="00D07D1B">
        <w:rPr>
          <w:lang w:eastAsia="en-AU"/>
        </w:rPr>
        <w:t xml:space="preserve">For example, </w:t>
      </w:r>
      <w:r w:rsidRPr="00D30759">
        <w:rPr>
          <w:lang w:eastAsia="en-AU"/>
        </w:rPr>
        <w:t xml:space="preserve">a </w:t>
      </w:r>
      <w:r w:rsidR="00D07D1B">
        <w:rPr>
          <w:lang w:eastAsia="en-AU"/>
        </w:rPr>
        <w:t xml:space="preserve">complaint </w:t>
      </w:r>
      <w:r w:rsidRPr="00D30759">
        <w:rPr>
          <w:lang w:eastAsia="en-AU"/>
        </w:rPr>
        <w:t xml:space="preserve">containing allegations of neglect could </w:t>
      </w:r>
      <w:r w:rsidR="00D07D1B">
        <w:rPr>
          <w:lang w:eastAsia="en-AU"/>
        </w:rPr>
        <w:t xml:space="preserve">also raise issues about poor quality practices or worker conduct. </w:t>
      </w:r>
    </w:p>
    <w:p w14:paraId="65E74C7E" w14:textId="77777777" w:rsidR="00D30759" w:rsidRDefault="00D30759" w:rsidP="005C6D74">
      <w:pPr>
        <w:pStyle w:val="Bullet1"/>
        <w:numPr>
          <w:ilvl w:val="0"/>
          <w:numId w:val="0"/>
        </w:numPr>
        <w:ind w:left="284"/>
      </w:pPr>
    </w:p>
    <w:p w14:paraId="0CE7F480" w14:textId="77777777" w:rsidR="005B30D7" w:rsidRDefault="005B30D7" w:rsidP="005C6D74">
      <w:pPr>
        <w:pStyle w:val="Bullet1"/>
        <w:numPr>
          <w:ilvl w:val="0"/>
          <w:numId w:val="0"/>
        </w:numPr>
        <w:ind w:left="284"/>
      </w:pPr>
    </w:p>
    <w:p w14:paraId="651C00F9" w14:textId="77777777" w:rsidR="00954B2F" w:rsidRDefault="00954B2F" w:rsidP="00954B2F">
      <w:pPr>
        <w:suppressAutoHyphens w:val="0"/>
        <w:spacing w:before="0" w:after="0" w:line="240" w:lineRule="auto"/>
        <w:rPr>
          <w:lang w:eastAsia="en-AU"/>
        </w:rPr>
      </w:pPr>
    </w:p>
    <w:p w14:paraId="305700E2" w14:textId="694C8E0D" w:rsidR="00E823EA" w:rsidRDefault="00144CAA" w:rsidP="00B17A52">
      <w:pPr>
        <w:pStyle w:val="Heading2-numbered"/>
        <w:ind w:left="426" w:hanging="426"/>
      </w:pPr>
      <w:r>
        <w:br w:type="page"/>
      </w:r>
      <w:r w:rsidR="00E823EA">
        <w:lastRenderedPageBreak/>
        <w:t>Market context</w:t>
      </w:r>
    </w:p>
    <w:p w14:paraId="1D9A464F" w14:textId="528DCC81" w:rsidR="0012460F" w:rsidRDefault="005658A9" w:rsidP="005658A9">
      <w:pPr>
        <w:rPr>
          <w:szCs w:val="22"/>
        </w:rPr>
      </w:pPr>
      <w:r w:rsidRPr="005658A9">
        <w:rPr>
          <w:szCs w:val="22"/>
        </w:rPr>
        <w:t>As of 31 December 2023, 646,449 active participants were receiving support through the NDIS. These participants had access to a range of supports and services, which they obtained either by directly engaging with service providers or through intermediaries that connected them with an appropriate provider.</w:t>
      </w:r>
    </w:p>
    <w:p w14:paraId="00D97716" w14:textId="77777777" w:rsidR="00B86780" w:rsidRPr="00120B89" w:rsidRDefault="00B86780" w:rsidP="00B86780">
      <w:r>
        <w:t>Of the total $10.2 billion paid to registered and unregistered providers for services and supports delivered from October 2023 to December 2023, $1.2 billion (12%) was self-managed by participants, $5.7 billion (56%) was managed by a plan manager and $3.3 billion (32%) was Agency-managed.</w:t>
      </w:r>
      <w:r>
        <w:rPr>
          <w:rStyle w:val="FootnoteReference"/>
        </w:rPr>
        <w:footnoteReference w:id="2"/>
      </w:r>
      <w:r>
        <w:t xml:space="preserve"> </w:t>
      </w:r>
    </w:p>
    <w:p w14:paraId="48A11F58" w14:textId="77777777" w:rsidR="00752731" w:rsidRDefault="00752731" w:rsidP="00752731">
      <w:r>
        <w:t>From October 2023 to December 2023, $5.2 billion (52%) of total funding for the quarter was for core daily activities support, $2.3 billion (23%) was for core social participation support, $1.3 billion (13%) was for capacity building daily activities (therapeutic supports), $520 million (5%) was for support coordination services, and $140 million (1%) was for plan management services.</w:t>
      </w:r>
      <w:r>
        <w:rPr>
          <w:rStyle w:val="FootnoteReference"/>
        </w:rPr>
        <w:footnoteReference w:id="3"/>
      </w:r>
    </w:p>
    <w:p w14:paraId="038167CB" w14:textId="1D7E72BA" w:rsidR="00DE53F2" w:rsidRDefault="00752731" w:rsidP="00752731">
      <w:r>
        <w:t>The largest support category by spend, supporting more than half of all participants, was for core supports. These supports include</w:t>
      </w:r>
      <w:r w:rsidRPr="00016E3D">
        <w:t xml:space="preserve"> </w:t>
      </w:r>
      <w:r>
        <w:t xml:space="preserve">core – </w:t>
      </w:r>
      <w:r w:rsidRPr="00016E3D">
        <w:t>daily activities</w:t>
      </w:r>
      <w:r>
        <w:t xml:space="preserve">, core – social and community participation, core – consumables and transport. Core daily activities includes </w:t>
      </w:r>
      <w:r w:rsidR="00C32DC2">
        <w:t xml:space="preserve">funding for support at home, </w:t>
      </w:r>
      <w:r>
        <w:t>S</w:t>
      </w:r>
      <w:r w:rsidR="00EE5224">
        <w:t xml:space="preserve">upported </w:t>
      </w:r>
      <w:r>
        <w:t>I</w:t>
      </w:r>
      <w:r w:rsidR="00EE5224">
        <w:t xml:space="preserve">ndependent </w:t>
      </w:r>
      <w:r>
        <w:t>L</w:t>
      </w:r>
      <w:r w:rsidR="00EE5224">
        <w:t>iving (SIL)</w:t>
      </w:r>
      <w:r>
        <w:t>, Short Term Accommodation (STA), and Individualised Living Options (ILO).</w:t>
      </w:r>
      <w:r>
        <w:rPr>
          <w:rStyle w:val="FootnoteReference"/>
        </w:rPr>
        <w:footnoteReference w:id="4"/>
      </w:r>
    </w:p>
    <w:p w14:paraId="68AB7DB0" w14:textId="77777777" w:rsidR="00DE53F2" w:rsidRDefault="00DE53F2">
      <w:pPr>
        <w:suppressAutoHyphens w:val="0"/>
        <w:spacing w:before="120" w:after="120" w:line="240" w:lineRule="auto"/>
      </w:pPr>
      <w:r>
        <w:br w:type="page"/>
      </w:r>
    </w:p>
    <w:p w14:paraId="70AA1E93" w14:textId="0D1D190F" w:rsidR="00773D5C" w:rsidRDefault="00EF1EAB" w:rsidP="00280CD6">
      <w:pPr>
        <w:pStyle w:val="Heading2-numbered"/>
        <w:ind w:left="426" w:hanging="426"/>
      </w:pPr>
      <w:r>
        <w:lastRenderedPageBreak/>
        <w:t xml:space="preserve">Key </w:t>
      </w:r>
      <w:r w:rsidR="00CA68DE">
        <w:t>insights</w:t>
      </w:r>
    </w:p>
    <w:p w14:paraId="7B6C509C" w14:textId="684F390C" w:rsidR="003D66BD" w:rsidRPr="003D66BD" w:rsidRDefault="003D66BD" w:rsidP="003D66BD">
      <w:pPr>
        <w:pStyle w:val="Heading3"/>
        <w:rPr>
          <w:lang w:eastAsia="en-AU"/>
        </w:rPr>
      </w:pPr>
      <w:r w:rsidRPr="003D66BD">
        <w:rPr>
          <w:lang w:eastAsia="en-AU"/>
        </w:rPr>
        <w:t>Observations by support type</w:t>
      </w:r>
      <w:r w:rsidR="009B6600">
        <w:rPr>
          <w:lang w:eastAsia="en-AU"/>
        </w:rPr>
        <w:t xml:space="preserve"> – overall </w:t>
      </w:r>
    </w:p>
    <w:p w14:paraId="5D853D44" w14:textId="34595827" w:rsidR="009F4AE2" w:rsidRPr="00EC4FAF" w:rsidRDefault="00582144" w:rsidP="003535F2">
      <w:pPr>
        <w:rPr>
          <w:szCs w:val="22"/>
        </w:rPr>
      </w:pPr>
      <w:r>
        <w:rPr>
          <w:szCs w:val="22"/>
        </w:rPr>
        <w:t xml:space="preserve">To better understand the nature of the complaints, each complaint was </w:t>
      </w:r>
      <w:r w:rsidR="00990A3E">
        <w:rPr>
          <w:szCs w:val="22"/>
        </w:rPr>
        <w:t xml:space="preserve">categorised </w:t>
      </w:r>
      <w:r w:rsidR="00515033">
        <w:rPr>
          <w:szCs w:val="22"/>
        </w:rPr>
        <w:t xml:space="preserve">by support </w:t>
      </w:r>
      <w:r w:rsidR="00A07E83">
        <w:rPr>
          <w:szCs w:val="22"/>
        </w:rPr>
        <w:t>type</w:t>
      </w:r>
      <w:r w:rsidR="00A51CDE">
        <w:rPr>
          <w:szCs w:val="22"/>
        </w:rPr>
        <w:t xml:space="preserve">. </w:t>
      </w:r>
      <w:r w:rsidR="00244D2D">
        <w:rPr>
          <w:szCs w:val="22"/>
        </w:rPr>
        <w:t xml:space="preserve">Figure </w:t>
      </w:r>
      <w:r w:rsidR="00A35751">
        <w:rPr>
          <w:szCs w:val="22"/>
        </w:rPr>
        <w:t>1</w:t>
      </w:r>
      <w:r w:rsidR="00EE73FE">
        <w:rPr>
          <w:szCs w:val="22"/>
        </w:rPr>
        <w:t xml:space="preserve"> shows the </w:t>
      </w:r>
      <w:r w:rsidR="00EF4AD9">
        <w:rPr>
          <w:szCs w:val="22"/>
        </w:rPr>
        <w:t xml:space="preserve">1,500 </w:t>
      </w:r>
      <w:r w:rsidR="00083DEF">
        <w:rPr>
          <w:szCs w:val="22"/>
        </w:rPr>
        <w:t xml:space="preserve">assessed </w:t>
      </w:r>
      <w:r w:rsidR="00EE73FE">
        <w:rPr>
          <w:szCs w:val="22"/>
        </w:rPr>
        <w:t xml:space="preserve">complaints </w:t>
      </w:r>
      <w:r w:rsidR="00A35751">
        <w:rPr>
          <w:szCs w:val="22"/>
        </w:rPr>
        <w:t xml:space="preserve">distributed </w:t>
      </w:r>
      <w:r w:rsidR="00FC7A5A">
        <w:rPr>
          <w:szCs w:val="22"/>
        </w:rPr>
        <w:t>across the support categories:</w:t>
      </w:r>
      <w:r w:rsidR="003E39E6">
        <w:rPr>
          <w:szCs w:val="22"/>
        </w:rPr>
        <w:t xml:space="preserve"> </w:t>
      </w:r>
      <w:r w:rsidR="00515033">
        <w:rPr>
          <w:szCs w:val="22"/>
        </w:rPr>
        <w:t xml:space="preserve"> </w:t>
      </w:r>
      <w:bookmarkStart w:id="4" w:name="_Toc166846148"/>
      <w:bookmarkStart w:id="5" w:name="_Toc166854570"/>
      <w:bookmarkStart w:id="6" w:name="_Toc167262907"/>
      <w:bookmarkStart w:id="7" w:name="_Toc167375400"/>
    </w:p>
    <w:p w14:paraId="36C57627" w14:textId="7C933B5E" w:rsidR="00E47E54" w:rsidRPr="00C32DC2" w:rsidRDefault="00051C3A" w:rsidP="00E47E54">
      <w:pPr>
        <w:rPr>
          <w:b/>
          <w:lang w:eastAsia="en-AU"/>
        </w:rPr>
      </w:pPr>
      <w:r w:rsidRPr="00AA493E">
        <w:rPr>
          <w:noProof/>
          <w:lang w:eastAsia="en-AU"/>
        </w:rPr>
        <w:drawing>
          <wp:anchor distT="0" distB="0" distL="114300" distR="114300" simplePos="0" relativeHeight="251658247" behindDoc="0" locked="0" layoutInCell="1" allowOverlap="1" wp14:anchorId="3A60E2C7" wp14:editId="33CCF49C">
            <wp:simplePos x="0" y="0"/>
            <wp:positionH relativeFrom="margin">
              <wp:align>right</wp:align>
            </wp:positionH>
            <wp:positionV relativeFrom="paragraph">
              <wp:posOffset>182880</wp:posOffset>
            </wp:positionV>
            <wp:extent cx="5734685" cy="3557270"/>
            <wp:effectExtent l="0" t="0" r="0" b="0"/>
            <wp:wrapTopAndBottom/>
            <wp:docPr id="189595329" name="Chart 1" descr="Pictured is a clustered bar chart. There are 16 vertical columns. The chart represents % of total complaints clustered by Service Category and support type. &#10;The first vertical column is dark purple and refers to Daily and Community Supports - 40%. &#10;&#10;The next 3 columns are support types grouped into the Home and Living Service Category. They are a light purple in colour. The total % for Home and Living is 28% and the three columns are titled and labelled as follows - SIL, SDA - 25%, then STA - 3%, then ILO - 0%. &#10;&#10;The next 3 columns are support types grouped into the Intermediaries Service Category. They are a light green in colour. The total % for Intermediaries is 18% and the three columns are titled and labelled as follows -  Support Coordination - 13%, then Plan Management - 4%, then Recovery Coach - 1%.&#10;&#10;The next 3 columns are support types grouped into the Capacity Building Service Category. They are a dark green in colour. The total % for  Capacity Building is 8% and the three columns are titled and labelled as follows -  Therapeutic Supports - 25%, then Behaviour Support- 2%, then Employment - 0%.&#10;&#10;The next 2 columns are support types grouped into the Maintenance and Building Service Category. They are a middle green in colour. The total % for Maintenance and Building is 3% and the 2 columns are titled and labelled as follows -  Household Maintenance - 2%, then Building- 1%.&#10;&#10;The next 2 columns are support types grouped into the Products Service Category. They are a purple with a white dot pattern in colour. The total % for Products  is 1% and the 2 columns are titled and labelled as follows -  Assistive Technology - 1%, then Consumables - 0%.&#10;&#10;The last 2 columns are under the categories unknown and other. The first column in this cluster is titled Unknown it is white with a green dot pattern in colour and is labelled 1%. The second and last column of the chart is titled Other it is purple with a white stripe pattern in colour and is labelled 1%">
              <a:extLst xmlns:a="http://schemas.openxmlformats.org/drawingml/2006/main">
                <a:ext uri="{FF2B5EF4-FFF2-40B4-BE49-F238E27FC236}">
                  <a16:creationId xmlns:a16="http://schemas.microsoft.com/office/drawing/2014/main" id="{156A0E0B-F676-4FAA-AC50-FF80F2A6AE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A35751" w:rsidRPr="00C32DC2">
        <w:rPr>
          <w:b/>
          <w:lang w:eastAsia="en-AU"/>
        </w:rPr>
        <w:t xml:space="preserve">Figure 1. </w:t>
      </w:r>
      <w:r w:rsidR="008F07B6" w:rsidRPr="00C32DC2">
        <w:rPr>
          <w:b/>
          <w:lang w:eastAsia="en-AU"/>
        </w:rPr>
        <w:t>C</w:t>
      </w:r>
      <w:r w:rsidR="003E3E69" w:rsidRPr="00C32DC2">
        <w:rPr>
          <w:b/>
          <w:lang w:eastAsia="en-AU"/>
        </w:rPr>
        <w:t xml:space="preserve">omplaints by </w:t>
      </w:r>
      <w:r w:rsidR="001545C3" w:rsidRPr="00C32DC2">
        <w:rPr>
          <w:b/>
          <w:lang w:eastAsia="en-AU"/>
        </w:rPr>
        <w:t>s</w:t>
      </w:r>
      <w:r w:rsidR="003E3E69" w:rsidRPr="00C32DC2">
        <w:rPr>
          <w:b/>
          <w:lang w:eastAsia="en-AU"/>
        </w:rPr>
        <w:t xml:space="preserve">upport </w:t>
      </w:r>
      <w:r w:rsidR="001545C3" w:rsidRPr="00C32DC2">
        <w:rPr>
          <w:b/>
          <w:lang w:eastAsia="en-AU"/>
        </w:rPr>
        <w:t>t</w:t>
      </w:r>
      <w:r w:rsidR="003E3E69" w:rsidRPr="00C32DC2">
        <w:rPr>
          <w:b/>
          <w:lang w:eastAsia="en-AU"/>
        </w:rPr>
        <w:t>ype</w:t>
      </w:r>
      <w:r w:rsidR="00C32DC2" w:rsidRPr="00C32DC2">
        <w:rPr>
          <w:b/>
          <w:bCs/>
          <w:lang w:eastAsia="en-AU"/>
        </w:rPr>
        <w:t>.</w:t>
      </w:r>
    </w:p>
    <w:p w14:paraId="70EAEE35" w14:textId="77777777" w:rsidR="00506511" w:rsidRDefault="00506511" w:rsidP="00506511">
      <w:pPr>
        <w:rPr>
          <w:lang w:eastAsia="en-AU"/>
        </w:rPr>
      </w:pPr>
    </w:p>
    <w:p w14:paraId="147A36B5" w14:textId="4B114759" w:rsidR="00720DA0" w:rsidRDefault="00720DA0" w:rsidP="00720DA0">
      <w:pPr>
        <w:pStyle w:val="Bullet1"/>
        <w:ind w:left="0"/>
        <w:rPr>
          <w:lang w:eastAsia="en-AU"/>
        </w:rPr>
      </w:pPr>
      <w:r w:rsidRPr="00824E72">
        <w:t>An overwhelming</w:t>
      </w:r>
      <w:r w:rsidRPr="00824E72">
        <w:rPr>
          <w:lang w:eastAsia="en-AU"/>
        </w:rPr>
        <w:t xml:space="preserve"> 68% of complaints </w:t>
      </w:r>
      <w:r>
        <w:rPr>
          <w:lang w:eastAsia="en-AU"/>
        </w:rPr>
        <w:t>were about</w:t>
      </w:r>
      <w:r w:rsidRPr="00824E72">
        <w:rPr>
          <w:lang w:eastAsia="en-AU"/>
        </w:rPr>
        <w:t xml:space="preserve"> support types delivered by support workers</w:t>
      </w:r>
      <w:r>
        <w:rPr>
          <w:lang w:eastAsia="en-AU"/>
        </w:rPr>
        <w:t xml:space="preserve">. </w:t>
      </w:r>
      <w:r>
        <w:t xml:space="preserve">These support types included </w:t>
      </w:r>
      <w:proofErr w:type="gramStart"/>
      <w:r>
        <w:t>daily</w:t>
      </w:r>
      <w:proofErr w:type="gramEnd"/>
      <w:r>
        <w:t xml:space="preserve"> and community supports (40% of complaints) and home and living supports (28% of complaints)</w:t>
      </w:r>
      <w:r w:rsidR="00E20DB8">
        <w:t>.</w:t>
      </w:r>
    </w:p>
    <w:p w14:paraId="4714879E" w14:textId="509219E5" w:rsidR="006B1B2F" w:rsidRPr="00824E72" w:rsidRDefault="00C34A5B" w:rsidP="00720DA0">
      <w:pPr>
        <w:pStyle w:val="Bullet1"/>
        <w:ind w:left="0"/>
        <w:rPr>
          <w:lang w:eastAsia="en-AU"/>
        </w:rPr>
      </w:pPr>
      <w:r>
        <w:rPr>
          <w:lang w:eastAsia="en-AU"/>
        </w:rPr>
        <w:t xml:space="preserve">A disproportionate </w:t>
      </w:r>
      <w:proofErr w:type="gramStart"/>
      <w:r>
        <w:rPr>
          <w:lang w:eastAsia="en-AU"/>
        </w:rPr>
        <w:t>amount</w:t>
      </w:r>
      <w:proofErr w:type="gramEnd"/>
      <w:r>
        <w:rPr>
          <w:lang w:eastAsia="en-AU"/>
        </w:rPr>
        <w:t xml:space="preserve"> of </w:t>
      </w:r>
      <w:r w:rsidR="00EB75CE">
        <w:rPr>
          <w:lang w:eastAsia="en-AU"/>
        </w:rPr>
        <w:t xml:space="preserve">complaints were about </w:t>
      </w:r>
      <w:r w:rsidR="002430D2">
        <w:rPr>
          <w:lang w:eastAsia="en-AU"/>
        </w:rPr>
        <w:t>support coordination</w:t>
      </w:r>
      <w:r w:rsidR="00EB75CE">
        <w:rPr>
          <w:lang w:eastAsia="en-AU"/>
        </w:rPr>
        <w:t xml:space="preserve"> and </w:t>
      </w:r>
      <w:r w:rsidR="002430D2">
        <w:rPr>
          <w:lang w:eastAsia="en-AU"/>
        </w:rPr>
        <w:t>plan management</w:t>
      </w:r>
      <w:r w:rsidR="004831B1">
        <w:rPr>
          <w:lang w:eastAsia="en-AU"/>
        </w:rPr>
        <w:t>;</w:t>
      </w:r>
      <w:r w:rsidR="0054324B">
        <w:rPr>
          <w:lang w:eastAsia="en-AU"/>
        </w:rPr>
        <w:t xml:space="preserve"> </w:t>
      </w:r>
      <w:r w:rsidR="00F01252">
        <w:rPr>
          <w:lang w:eastAsia="en-AU"/>
        </w:rPr>
        <w:t>these</w:t>
      </w:r>
      <w:r w:rsidR="0054324B">
        <w:rPr>
          <w:lang w:eastAsia="en-AU"/>
        </w:rPr>
        <w:t xml:space="preserve"> i</w:t>
      </w:r>
      <w:r w:rsidR="004A37B5">
        <w:rPr>
          <w:lang w:eastAsia="en-AU"/>
        </w:rPr>
        <w:t xml:space="preserve">ntermediaries make up </w:t>
      </w:r>
      <w:r w:rsidR="0055289A">
        <w:rPr>
          <w:lang w:eastAsia="en-AU"/>
        </w:rPr>
        <w:t xml:space="preserve">only </w:t>
      </w:r>
      <w:r w:rsidR="0007765C">
        <w:rPr>
          <w:lang w:eastAsia="en-AU"/>
        </w:rPr>
        <w:t xml:space="preserve">a small portion of the market (around </w:t>
      </w:r>
      <w:r w:rsidR="00727547">
        <w:rPr>
          <w:lang w:eastAsia="en-AU"/>
        </w:rPr>
        <w:t xml:space="preserve">6%) but </w:t>
      </w:r>
      <w:r w:rsidR="0054324B">
        <w:rPr>
          <w:lang w:eastAsia="en-AU"/>
        </w:rPr>
        <w:t>account for 1</w:t>
      </w:r>
      <w:r>
        <w:rPr>
          <w:lang w:eastAsia="en-AU"/>
        </w:rPr>
        <w:t>7</w:t>
      </w:r>
      <w:r w:rsidR="0054324B">
        <w:rPr>
          <w:lang w:eastAsia="en-AU"/>
        </w:rPr>
        <w:t xml:space="preserve">% of </w:t>
      </w:r>
      <w:r w:rsidR="00380146">
        <w:rPr>
          <w:lang w:eastAsia="en-AU"/>
        </w:rPr>
        <w:t xml:space="preserve">all </w:t>
      </w:r>
      <w:r w:rsidR="0054324B">
        <w:rPr>
          <w:lang w:eastAsia="en-AU"/>
        </w:rPr>
        <w:t>complaints.</w:t>
      </w:r>
    </w:p>
    <w:p w14:paraId="0A025AC9" w14:textId="3D6C33F4" w:rsidR="009B6600" w:rsidRDefault="009B6600" w:rsidP="006B65A6">
      <w:pPr>
        <w:pStyle w:val="Heading3"/>
        <w:rPr>
          <w:lang w:eastAsia="en-AU"/>
        </w:rPr>
      </w:pPr>
      <w:r>
        <w:rPr>
          <w:lang w:eastAsia="en-AU"/>
        </w:rPr>
        <w:t xml:space="preserve">Observations by support type – specific </w:t>
      </w:r>
    </w:p>
    <w:p w14:paraId="1FBA08A0" w14:textId="77777777" w:rsidR="00882024" w:rsidRDefault="00344589" w:rsidP="00882024">
      <w:pPr>
        <w:rPr>
          <w:lang w:eastAsia="en-AU"/>
        </w:rPr>
      </w:pPr>
      <w:r>
        <w:rPr>
          <w:lang w:eastAsia="en-AU"/>
        </w:rPr>
        <w:t xml:space="preserve">After categorising the complaints into support </w:t>
      </w:r>
      <w:r w:rsidR="007607A8">
        <w:rPr>
          <w:lang w:eastAsia="en-AU"/>
        </w:rPr>
        <w:t xml:space="preserve">type, each complaint was examined for </w:t>
      </w:r>
      <w:r w:rsidR="00B61794">
        <w:rPr>
          <w:lang w:eastAsia="en-AU"/>
        </w:rPr>
        <w:t>complaint themes.</w:t>
      </w:r>
    </w:p>
    <w:p w14:paraId="2ED4B7B1" w14:textId="77777777" w:rsidR="00882024" w:rsidRDefault="006B65A6" w:rsidP="00882024">
      <w:pPr>
        <w:pStyle w:val="Heading3"/>
        <w:rPr>
          <w:lang w:eastAsia="en-AU"/>
        </w:rPr>
      </w:pPr>
      <w:r w:rsidRPr="00A73017">
        <w:rPr>
          <w:lang w:eastAsia="en-AU"/>
        </w:rPr>
        <w:lastRenderedPageBreak/>
        <w:t xml:space="preserve">Daily and </w:t>
      </w:r>
      <w:r>
        <w:rPr>
          <w:lang w:eastAsia="en-AU"/>
        </w:rPr>
        <w:t>c</w:t>
      </w:r>
      <w:r w:rsidRPr="00A73017">
        <w:rPr>
          <w:lang w:eastAsia="en-AU"/>
        </w:rPr>
        <w:t xml:space="preserve">ommunity </w:t>
      </w:r>
      <w:r>
        <w:rPr>
          <w:lang w:eastAsia="en-AU"/>
        </w:rPr>
        <w:t>s</w:t>
      </w:r>
      <w:r w:rsidRPr="00A73017">
        <w:rPr>
          <w:lang w:eastAsia="en-AU"/>
        </w:rPr>
        <w:t>upports</w:t>
      </w:r>
      <w:bookmarkEnd w:id="4"/>
      <w:bookmarkEnd w:id="5"/>
      <w:bookmarkEnd w:id="6"/>
      <w:bookmarkEnd w:id="7"/>
      <w:r w:rsidRPr="00A73017">
        <w:rPr>
          <w:lang w:eastAsia="en-AU"/>
        </w:rPr>
        <w:t xml:space="preserve"> </w:t>
      </w:r>
    </w:p>
    <w:p w14:paraId="6488766F" w14:textId="41BE2F11" w:rsidR="007F70F0" w:rsidRDefault="00650585" w:rsidP="00650585">
      <w:pPr>
        <w:rPr>
          <w:lang w:eastAsia="en-AU"/>
        </w:rPr>
      </w:pPr>
      <w:r>
        <w:rPr>
          <w:lang w:eastAsia="en-AU"/>
        </w:rPr>
        <w:t>Daily and community supports</w:t>
      </w:r>
      <w:r>
        <w:rPr>
          <w:rStyle w:val="FootnoteReference"/>
          <w:lang w:eastAsia="en-AU"/>
        </w:rPr>
        <w:footnoteReference w:id="5"/>
      </w:r>
      <w:r>
        <w:rPr>
          <w:lang w:eastAsia="en-AU"/>
        </w:rPr>
        <w:t xml:space="preserve"> received the most complaints, accounting for 40% of all complaints </w:t>
      </w:r>
      <w:r w:rsidR="00DE2CD0">
        <w:rPr>
          <w:lang w:eastAsia="en-AU"/>
        </w:rPr>
        <w:t>received</w:t>
      </w:r>
      <w:r>
        <w:rPr>
          <w:lang w:eastAsia="en-AU"/>
        </w:rPr>
        <w:t xml:space="preserve">. </w:t>
      </w:r>
      <w:r w:rsidR="00FE722A">
        <w:rPr>
          <w:lang w:eastAsia="en-AU"/>
        </w:rPr>
        <w:t xml:space="preserve">Figure 2 shows the distribution </w:t>
      </w:r>
      <w:r w:rsidR="007F70F0">
        <w:rPr>
          <w:lang w:eastAsia="en-AU"/>
        </w:rPr>
        <w:t>of complaint themes within the category of daily and community supports.</w:t>
      </w:r>
    </w:p>
    <w:p w14:paraId="645C16B9" w14:textId="3C848FCA" w:rsidR="005116A8" w:rsidRPr="00E74336" w:rsidRDefault="00E74336" w:rsidP="005116A8">
      <w:pPr>
        <w:rPr>
          <w:bCs/>
          <w:lang w:eastAsia="en-AU"/>
        </w:rPr>
      </w:pPr>
      <w:r w:rsidRPr="00E74336">
        <w:rPr>
          <w:bCs/>
          <w:noProof/>
          <w:lang w:eastAsia="en-AU"/>
        </w:rPr>
        <w:drawing>
          <wp:anchor distT="0" distB="0" distL="114300" distR="114300" simplePos="0" relativeHeight="251659271" behindDoc="0" locked="0" layoutInCell="1" allowOverlap="1" wp14:anchorId="2CD11B67" wp14:editId="1A17A214">
            <wp:simplePos x="0" y="0"/>
            <wp:positionH relativeFrom="margin">
              <wp:align>left</wp:align>
            </wp:positionH>
            <wp:positionV relativeFrom="paragraph">
              <wp:posOffset>297180</wp:posOffset>
            </wp:positionV>
            <wp:extent cx="5400000" cy="1799590"/>
            <wp:effectExtent l="0" t="0" r="10795" b="10160"/>
            <wp:wrapTopAndBottom/>
            <wp:docPr id="768244921" name="Chart 1" descr="A pie chart with 4 slices in different colours showing the percentage of total complaints divided by the following overarching themes.  They are labelled as follows:&#10;&#10;Slice 1 (dark purple) - Poor quality practice, process, and workforce - 45%.&#10;&#10;Slice 2 (lighter purple) - Scheme Integrity - 25%&#10;&#10;Slice 3 (dark green) - Violence, abuse and neglect 23%&#10;&#10;Slice 4 (light green) - Participants’ rights and scheme principles 7%.&#10;">
              <a:extLst xmlns:a="http://schemas.openxmlformats.org/drawingml/2006/main">
                <a:ext uri="{FF2B5EF4-FFF2-40B4-BE49-F238E27FC236}">
                  <a16:creationId xmlns:a16="http://schemas.microsoft.com/office/drawing/2014/main" id="{3FA2EC3C-159C-5091-2393-12A4AF6859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anchor>
        </w:drawing>
      </w:r>
      <w:r w:rsidR="00CC7267" w:rsidRPr="00E74336">
        <w:rPr>
          <w:bCs/>
          <w:lang w:eastAsia="en-AU"/>
        </w:rPr>
        <w:t>Figure 2. Complaint</w:t>
      </w:r>
      <w:r w:rsidR="00FD22A6" w:rsidRPr="00E74336">
        <w:rPr>
          <w:bCs/>
          <w:lang w:eastAsia="en-AU"/>
        </w:rPr>
        <w:t xml:space="preserve"> themes </w:t>
      </w:r>
      <w:r w:rsidR="00773D09" w:rsidRPr="00E74336">
        <w:rPr>
          <w:bCs/>
          <w:lang w:eastAsia="en-AU"/>
        </w:rPr>
        <w:t>for</w:t>
      </w:r>
      <w:r w:rsidR="00FD22A6" w:rsidRPr="00E74336">
        <w:rPr>
          <w:bCs/>
          <w:lang w:eastAsia="en-AU"/>
        </w:rPr>
        <w:t xml:space="preserve"> </w:t>
      </w:r>
      <w:r w:rsidR="00175FC0" w:rsidRPr="00E74336">
        <w:rPr>
          <w:bCs/>
          <w:lang w:eastAsia="en-AU"/>
        </w:rPr>
        <w:t>daily and community supports</w:t>
      </w:r>
      <w:r w:rsidR="008E18A8" w:rsidRPr="00E74336">
        <w:rPr>
          <w:bCs/>
          <w:lang w:eastAsia="en-AU"/>
        </w:rPr>
        <w:t xml:space="preserve"> (%)</w:t>
      </w:r>
    </w:p>
    <w:p w14:paraId="5FE232EA" w14:textId="2F5057B1" w:rsidR="00287D33" w:rsidRPr="00287D33" w:rsidRDefault="00287D33" w:rsidP="00287D33">
      <w:pPr>
        <w:rPr>
          <w:lang w:eastAsia="en-AU"/>
        </w:rPr>
      </w:pPr>
      <w:r w:rsidRPr="00287D33">
        <w:rPr>
          <w:lang w:eastAsia="en-AU"/>
        </w:rPr>
        <w:t xml:space="preserve">Daily and community supports made up a significant proportion of complaints related to allegations of worker misconduct, violence, abuse and exploitation.  </w:t>
      </w:r>
    </w:p>
    <w:p w14:paraId="278CD367" w14:textId="77777777" w:rsidR="00CD47CA" w:rsidRDefault="00287D33" w:rsidP="00CD47CA">
      <w:pPr>
        <w:rPr>
          <w:lang w:eastAsia="en-AU"/>
        </w:rPr>
      </w:pPr>
      <w:r w:rsidRPr="00287D33">
        <w:rPr>
          <w:lang w:eastAsia="en-AU"/>
        </w:rPr>
        <w:t>Common themes across daily and community supports highlighted some of the difficulties of a workforce with no training requirements, including concerns around role clarity, lack of training and no market entry barrier or oversight</w:t>
      </w:r>
      <w:r w:rsidR="001B28E6">
        <w:rPr>
          <w:lang w:eastAsia="en-AU"/>
        </w:rPr>
        <w:t>.</w:t>
      </w:r>
      <w:r w:rsidR="00CD47CA">
        <w:rPr>
          <w:lang w:eastAsia="en-AU"/>
        </w:rPr>
        <w:t xml:space="preserve"> </w:t>
      </w:r>
    </w:p>
    <w:p w14:paraId="0578E998" w14:textId="72782156" w:rsidR="001B28E6" w:rsidRDefault="00375579" w:rsidP="00CD47CA">
      <w:pPr>
        <w:pStyle w:val="Heading3"/>
        <w:rPr>
          <w:lang w:eastAsia="en-AU"/>
        </w:rPr>
      </w:pPr>
      <w:r>
        <w:rPr>
          <w:lang w:eastAsia="en-AU"/>
        </w:rPr>
        <w:t>S</w:t>
      </w:r>
      <w:r w:rsidR="00E60B92">
        <w:rPr>
          <w:lang w:eastAsia="en-AU"/>
        </w:rPr>
        <w:t xml:space="preserve">upported Independent Living (SIL) and </w:t>
      </w:r>
      <w:r>
        <w:rPr>
          <w:lang w:eastAsia="en-AU"/>
        </w:rPr>
        <w:t>S</w:t>
      </w:r>
      <w:r w:rsidR="00E60B92">
        <w:rPr>
          <w:lang w:eastAsia="en-AU"/>
        </w:rPr>
        <w:t xml:space="preserve">pecialist </w:t>
      </w:r>
      <w:r>
        <w:rPr>
          <w:lang w:eastAsia="en-AU"/>
        </w:rPr>
        <w:t>D</w:t>
      </w:r>
      <w:r w:rsidR="00E60B92">
        <w:rPr>
          <w:lang w:eastAsia="en-AU"/>
        </w:rPr>
        <w:t xml:space="preserve">isability </w:t>
      </w:r>
      <w:r>
        <w:rPr>
          <w:lang w:eastAsia="en-AU"/>
        </w:rPr>
        <w:t>A</w:t>
      </w:r>
      <w:r w:rsidR="00E60B92">
        <w:rPr>
          <w:lang w:eastAsia="en-AU"/>
        </w:rPr>
        <w:t>ccommodation (SDA)</w:t>
      </w:r>
    </w:p>
    <w:p w14:paraId="4840D98F" w14:textId="77777777" w:rsidR="005D51AB" w:rsidRDefault="00033C43" w:rsidP="00063E4B">
      <w:pPr>
        <w:rPr>
          <w:lang w:eastAsia="en-AU"/>
        </w:rPr>
      </w:pPr>
      <w:r>
        <w:rPr>
          <w:lang w:eastAsia="en-AU"/>
        </w:rPr>
        <w:t xml:space="preserve">SDA and SIL supports accounts for </w:t>
      </w:r>
      <w:r w:rsidR="007C2B59">
        <w:rPr>
          <w:lang w:eastAsia="en-AU"/>
        </w:rPr>
        <w:t xml:space="preserve">25% of all complaints </w:t>
      </w:r>
      <w:r>
        <w:rPr>
          <w:lang w:eastAsia="en-AU"/>
        </w:rPr>
        <w:t>received</w:t>
      </w:r>
      <w:r w:rsidR="007C2B59">
        <w:rPr>
          <w:lang w:eastAsia="en-AU"/>
        </w:rPr>
        <w:t xml:space="preserve">. </w:t>
      </w:r>
      <w:r w:rsidR="0053178E">
        <w:rPr>
          <w:lang w:eastAsia="en-AU"/>
        </w:rPr>
        <w:t xml:space="preserve">Figure </w:t>
      </w:r>
      <w:r w:rsidR="00806409">
        <w:rPr>
          <w:lang w:eastAsia="en-AU"/>
        </w:rPr>
        <w:t>3 shows the distribution of complaint themes within the category of SIL and SDA.</w:t>
      </w:r>
      <w:r w:rsidR="005D51AB" w:rsidRPr="005D51AB">
        <w:rPr>
          <w:lang w:eastAsia="en-AU"/>
        </w:rPr>
        <w:t xml:space="preserve"> </w:t>
      </w:r>
    </w:p>
    <w:p w14:paraId="08EADDA7" w14:textId="395D382D" w:rsidR="004F5777" w:rsidRDefault="005D51AB" w:rsidP="00063E4B">
      <w:pPr>
        <w:rPr>
          <w:lang w:eastAsia="en-AU"/>
        </w:rPr>
      </w:pPr>
      <w:r>
        <w:rPr>
          <w:lang w:eastAsia="en-AU"/>
        </w:rPr>
        <w:t>Figure 3. Complaint themes for SIL and SDA supports (%)</w:t>
      </w:r>
    </w:p>
    <w:p w14:paraId="5A99BBBB" w14:textId="0C1628E6" w:rsidR="00806409" w:rsidRDefault="006B1ED1" w:rsidP="00063E4B">
      <w:pPr>
        <w:rPr>
          <w:lang w:eastAsia="en-AU"/>
        </w:rPr>
      </w:pPr>
      <w:r w:rsidRPr="001F0A7C">
        <w:rPr>
          <w:noProof/>
          <w:color w:val="98C11D"/>
          <w:lang w:eastAsia="en-AU"/>
        </w:rPr>
        <w:drawing>
          <wp:inline distT="0" distB="0" distL="0" distR="0" wp14:anchorId="7704DDDC" wp14:editId="7ADFF701">
            <wp:extent cx="5400000" cy="1800000"/>
            <wp:effectExtent l="0" t="0" r="10795" b="10160"/>
            <wp:docPr id="558170587" name="Chart 1" descr="A pie chart with 4 slices in different colours showing the percentage of total complaints divided by the following overarching themes.  They are labelled as follows:&#10;&#10;Slice 1 (dark purple) - Poor quality practice, process, and workforce - 46%.&#10;&#10;Slice 2 (lighter purple) - Scheme Integrity - 13%&#10;&#10;Slice 3 (dark green) - Violence, abuse and neglect 31%&#10;&#10;Slice 4 (light green) - Participants’ rights and scheme principles 10%.">
              <a:extLst xmlns:a="http://schemas.openxmlformats.org/drawingml/2006/main">
                <a:ext uri="{FF2B5EF4-FFF2-40B4-BE49-F238E27FC236}">
                  <a16:creationId xmlns:a16="http://schemas.microsoft.com/office/drawing/2014/main" id="{0B25E0D5-799F-B7E0-37EA-D8CE3553B6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092534" w14:textId="77777777" w:rsidR="00F233C2" w:rsidRDefault="008B029C">
      <w:pPr>
        <w:suppressAutoHyphens w:val="0"/>
        <w:spacing w:before="120" w:after="120" w:line="240" w:lineRule="auto"/>
        <w:rPr>
          <w:lang w:eastAsia="en-AU"/>
        </w:rPr>
      </w:pPr>
      <w:r>
        <w:rPr>
          <w:lang w:eastAsia="en-AU"/>
        </w:rPr>
        <w:t>Unlike other supports, SIL and SDA</w:t>
      </w:r>
      <w:r w:rsidRPr="00D92119">
        <w:rPr>
          <w:lang w:eastAsia="en-AU"/>
        </w:rPr>
        <w:t xml:space="preserve"> </w:t>
      </w:r>
      <w:r>
        <w:rPr>
          <w:lang w:eastAsia="en-AU"/>
        </w:rPr>
        <w:t>had issues across all themes which suggests there are multiple interrelated issues within this complex support type.</w:t>
      </w:r>
      <w:r w:rsidR="007529FD">
        <w:rPr>
          <w:lang w:eastAsia="en-AU"/>
        </w:rPr>
        <w:t xml:space="preserve"> </w:t>
      </w:r>
    </w:p>
    <w:p w14:paraId="3EC99A1E" w14:textId="56DE1B66" w:rsidR="00557A2E" w:rsidRDefault="00F233C2">
      <w:pPr>
        <w:suppressAutoHyphens w:val="0"/>
        <w:spacing w:before="120" w:after="120" w:line="240" w:lineRule="auto"/>
        <w:rPr>
          <w:lang w:eastAsia="en-AU"/>
        </w:rPr>
      </w:pPr>
      <w:r>
        <w:rPr>
          <w:lang w:eastAsia="en-AU"/>
        </w:rPr>
        <w:lastRenderedPageBreak/>
        <w:t xml:space="preserve">Specific issues raised </w:t>
      </w:r>
      <w:r w:rsidR="00485F31">
        <w:rPr>
          <w:lang w:eastAsia="en-AU"/>
        </w:rPr>
        <w:t>about SIL and SDA included the following:</w:t>
      </w:r>
    </w:p>
    <w:p w14:paraId="59C5321F" w14:textId="77777777" w:rsidR="00FC5130" w:rsidRDefault="00FC5130" w:rsidP="00FC5130">
      <w:pPr>
        <w:pStyle w:val="Bullet1"/>
        <w:numPr>
          <w:ilvl w:val="0"/>
          <w:numId w:val="19"/>
        </w:numPr>
        <w:rPr>
          <w:lang w:eastAsia="en-AU"/>
        </w:rPr>
      </w:pPr>
      <w:r>
        <w:t>SIL and SDA lack the necessary leadership, process, practices, oversight, workforce and worker training required to provide effective, high quality and safe supports to participants</w:t>
      </w:r>
    </w:p>
    <w:p w14:paraId="7D20C485" w14:textId="77777777" w:rsidR="00FC5130" w:rsidRDefault="00FC5130" w:rsidP="00FC5130">
      <w:pPr>
        <w:pStyle w:val="Bullet1"/>
        <w:numPr>
          <w:ilvl w:val="0"/>
          <w:numId w:val="19"/>
        </w:numPr>
        <w:rPr>
          <w:lang w:eastAsia="en-AU"/>
        </w:rPr>
      </w:pPr>
      <w:r>
        <w:rPr>
          <w:lang w:eastAsia="en-AU"/>
        </w:rPr>
        <w:t>SIL and SDA</w:t>
      </w:r>
      <w:r w:rsidRPr="43B68713">
        <w:rPr>
          <w:lang w:eastAsia="en-AU"/>
        </w:rPr>
        <w:t xml:space="preserve"> had the highest prevalence of neglect across all support types </w:t>
      </w:r>
    </w:p>
    <w:p w14:paraId="6D202CC8" w14:textId="77777777" w:rsidR="00FC5130" w:rsidRDefault="00FC5130" w:rsidP="00FC5130">
      <w:pPr>
        <w:pStyle w:val="Bullet1"/>
        <w:numPr>
          <w:ilvl w:val="0"/>
          <w:numId w:val="19"/>
        </w:numPr>
        <w:rPr>
          <w:lang w:eastAsia="en-AU"/>
        </w:rPr>
      </w:pPr>
      <w:r>
        <w:t>Conflicts between participants and their in-home support providers often led to housing instability for participants.</w:t>
      </w:r>
    </w:p>
    <w:p w14:paraId="580DABD6" w14:textId="7809A1E6" w:rsidR="00786767" w:rsidRDefault="00E60B92" w:rsidP="00781343">
      <w:pPr>
        <w:pStyle w:val="Heading3"/>
        <w:rPr>
          <w:lang w:eastAsia="en-AU"/>
        </w:rPr>
      </w:pPr>
      <w:r>
        <w:rPr>
          <w:lang w:eastAsia="en-AU"/>
        </w:rPr>
        <w:t>Short Term Accommodation (</w:t>
      </w:r>
      <w:r w:rsidR="00786767">
        <w:rPr>
          <w:lang w:eastAsia="en-AU"/>
        </w:rPr>
        <w:t>STA</w:t>
      </w:r>
      <w:r>
        <w:rPr>
          <w:lang w:eastAsia="en-AU"/>
        </w:rPr>
        <w:t>)</w:t>
      </w:r>
    </w:p>
    <w:p w14:paraId="69E33B42" w14:textId="77777777" w:rsidR="005D51AB" w:rsidRDefault="0086333D" w:rsidP="00430BBA">
      <w:pPr>
        <w:rPr>
          <w:lang w:eastAsia="en-AU"/>
        </w:rPr>
      </w:pPr>
      <w:r>
        <w:rPr>
          <w:lang w:eastAsia="en-AU"/>
        </w:rPr>
        <w:t xml:space="preserve">STA </w:t>
      </w:r>
      <w:r w:rsidR="00033C43">
        <w:rPr>
          <w:lang w:eastAsia="en-AU"/>
        </w:rPr>
        <w:t xml:space="preserve">supports accounted for 4% of all complaints received. </w:t>
      </w:r>
      <w:r w:rsidR="00430BBA">
        <w:rPr>
          <w:lang w:eastAsia="en-AU"/>
        </w:rPr>
        <w:t>Figure 4</w:t>
      </w:r>
      <w:r w:rsidR="008A25A2">
        <w:rPr>
          <w:lang w:eastAsia="en-AU"/>
        </w:rPr>
        <w:t xml:space="preserve"> shows the distribution of c</w:t>
      </w:r>
      <w:r w:rsidR="00430BBA">
        <w:rPr>
          <w:lang w:eastAsia="en-AU"/>
        </w:rPr>
        <w:t xml:space="preserve">omplaint themes </w:t>
      </w:r>
      <w:r w:rsidR="006B1ED1">
        <w:rPr>
          <w:lang w:eastAsia="en-AU"/>
        </w:rPr>
        <w:t>within the category of</w:t>
      </w:r>
      <w:r w:rsidR="00446DFD">
        <w:rPr>
          <w:lang w:eastAsia="en-AU"/>
        </w:rPr>
        <w:t xml:space="preserve"> STA</w:t>
      </w:r>
      <w:r w:rsidR="005F3002">
        <w:rPr>
          <w:lang w:eastAsia="en-AU"/>
        </w:rPr>
        <w:t>.</w:t>
      </w:r>
      <w:r w:rsidR="005D51AB" w:rsidRPr="005D51AB">
        <w:rPr>
          <w:lang w:eastAsia="en-AU"/>
        </w:rPr>
        <w:t xml:space="preserve"> </w:t>
      </w:r>
    </w:p>
    <w:p w14:paraId="0D0004AF" w14:textId="1CA10FAE" w:rsidR="001A4779" w:rsidRDefault="005D51AB" w:rsidP="00430BBA">
      <w:pPr>
        <w:rPr>
          <w:lang w:eastAsia="en-AU"/>
        </w:rPr>
      </w:pPr>
      <w:r>
        <w:rPr>
          <w:lang w:eastAsia="en-AU"/>
        </w:rPr>
        <w:t>Figure 4. Complaint themes by STA supports (%)</w:t>
      </w:r>
    </w:p>
    <w:p w14:paraId="4423759F" w14:textId="155B380D" w:rsidR="006B1ED1" w:rsidRDefault="00506511" w:rsidP="00430BBA">
      <w:pPr>
        <w:rPr>
          <w:lang w:eastAsia="en-AU"/>
        </w:rPr>
      </w:pPr>
      <w:r w:rsidRPr="00786767">
        <w:rPr>
          <w:noProof/>
          <w:lang w:eastAsia="en-AU"/>
        </w:rPr>
        <w:drawing>
          <wp:inline distT="0" distB="0" distL="0" distR="0" wp14:anchorId="6CD036D6" wp14:editId="6E69C1AC">
            <wp:extent cx="5400000" cy="1800000"/>
            <wp:effectExtent l="0" t="0" r="10795" b="10160"/>
            <wp:docPr id="1764920627" name="Chart 1" descr="A pie chart with 3 slices in different colours showing the percentage of total complaints divided by the following overarching themes.  They are labelled as follows:&#10;&#10;Slice 1 (dark purple) - Poor quality practice, process, and workforce - 34%.&#10;&#10;Slice 2 (lighter purple) - Scheme Integrity - 47%&#10;&#10;Slice 3 (dark green) - Violence, abuse and neglect 19%">
              <a:extLst xmlns:a="http://schemas.openxmlformats.org/drawingml/2006/main">
                <a:ext uri="{FF2B5EF4-FFF2-40B4-BE49-F238E27FC236}">
                  <a16:creationId xmlns:a16="http://schemas.microsoft.com/office/drawing/2014/main" id="{60890131-2232-9B27-E36A-04FD5AFE6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4BF46C" w14:textId="18E1D83B" w:rsidR="00430BBA" w:rsidRPr="00430BBA" w:rsidRDefault="001A4779" w:rsidP="00430BBA">
      <w:pPr>
        <w:rPr>
          <w:lang w:eastAsia="en-AU"/>
        </w:rPr>
      </w:pPr>
      <w:r>
        <w:rPr>
          <w:lang w:eastAsia="en-AU"/>
        </w:rPr>
        <w:t xml:space="preserve">Financial integrity and exploitation were the most significant concerns </w:t>
      </w:r>
      <w:r w:rsidR="001C18C7">
        <w:rPr>
          <w:lang w:eastAsia="en-AU"/>
        </w:rPr>
        <w:t xml:space="preserve">raised in complaints about </w:t>
      </w:r>
      <w:r w:rsidR="00641D84">
        <w:rPr>
          <w:lang w:eastAsia="en-AU"/>
        </w:rPr>
        <w:t>STA supports. These complaints revealed several ways in which STA providers were taking advan</w:t>
      </w:r>
      <w:r w:rsidR="004D26DC">
        <w:rPr>
          <w:lang w:eastAsia="en-AU"/>
        </w:rPr>
        <w:t>tage of participants, including</w:t>
      </w:r>
      <w:r w:rsidR="008035AF">
        <w:rPr>
          <w:lang w:eastAsia="en-AU"/>
        </w:rPr>
        <w:t xml:space="preserve"> overcharging for services, establishing inappropriate STA arrangements, failing to properly inform participants about costs, and altering costs after supports had already been provided.</w:t>
      </w:r>
    </w:p>
    <w:p w14:paraId="5C0D51D9" w14:textId="3304BE84" w:rsidR="00557A2E" w:rsidRDefault="00557A2E" w:rsidP="000E3F4B">
      <w:pPr>
        <w:pStyle w:val="Heading3"/>
        <w:rPr>
          <w:lang w:eastAsia="en-AU"/>
        </w:rPr>
      </w:pPr>
      <w:r>
        <w:rPr>
          <w:lang w:eastAsia="en-AU"/>
        </w:rPr>
        <w:t>Support coordination</w:t>
      </w:r>
    </w:p>
    <w:p w14:paraId="7C3BF68C" w14:textId="607C2B10" w:rsidR="001F0617" w:rsidRDefault="000E3F4B" w:rsidP="001F0617">
      <w:pPr>
        <w:rPr>
          <w:lang w:eastAsia="en-AU"/>
        </w:rPr>
      </w:pPr>
      <w:r>
        <w:rPr>
          <w:lang w:eastAsia="en-AU"/>
        </w:rPr>
        <w:t xml:space="preserve">Support coordination </w:t>
      </w:r>
      <w:r w:rsidR="00F31A90">
        <w:rPr>
          <w:lang w:eastAsia="en-AU"/>
        </w:rPr>
        <w:t xml:space="preserve">accounted for </w:t>
      </w:r>
      <w:r w:rsidR="00330A55">
        <w:rPr>
          <w:lang w:eastAsia="en-AU"/>
        </w:rPr>
        <w:t>13</w:t>
      </w:r>
      <w:r w:rsidR="00E2512E">
        <w:rPr>
          <w:lang w:eastAsia="en-AU"/>
        </w:rPr>
        <w:t xml:space="preserve">% of all complaints received. </w:t>
      </w:r>
      <w:r w:rsidR="001F0617">
        <w:rPr>
          <w:lang w:eastAsia="en-AU"/>
        </w:rPr>
        <w:t>Figure 5 shows the distribution of complaint themes within the category of support coordination.</w:t>
      </w:r>
    </w:p>
    <w:p w14:paraId="20960AC9" w14:textId="168CECD1" w:rsidR="008156B5" w:rsidRDefault="008B7ABC" w:rsidP="005116A8">
      <w:pPr>
        <w:rPr>
          <w:lang w:eastAsia="en-AU"/>
        </w:rPr>
      </w:pPr>
      <w:r w:rsidRPr="0069035E">
        <w:rPr>
          <w:noProof/>
          <w:lang w:eastAsia="en-AU"/>
        </w:rPr>
        <w:drawing>
          <wp:anchor distT="0" distB="0" distL="114300" distR="114300" simplePos="0" relativeHeight="251658245" behindDoc="0" locked="0" layoutInCell="1" allowOverlap="1" wp14:anchorId="17D4AB65" wp14:editId="6624A92B">
            <wp:simplePos x="0" y="0"/>
            <wp:positionH relativeFrom="margin">
              <wp:align>left</wp:align>
            </wp:positionH>
            <wp:positionV relativeFrom="paragraph">
              <wp:posOffset>211455</wp:posOffset>
            </wp:positionV>
            <wp:extent cx="5400000" cy="1800000"/>
            <wp:effectExtent l="0" t="0" r="10795" b="10160"/>
            <wp:wrapTopAndBottom/>
            <wp:docPr id="343248913" name="Chart 1" descr="A pie chart with 4 slices in different colours showing the percentage of total complaints divided by the following overarching themes.  They are labelled as follows:&#10;&#10;Slice 1 (dark purple) - Poor quality practice, process, and workforce - 41%.&#10;&#10;Slice 2 (lighter purple) - Scheme Integrity - 36%&#10;&#10;Slice 3 (dark green) - Violence, abuse and neglect 6%&#10;&#10;Slice 4 (light green) - Participants’ rights and scheme principles 17%.">
              <a:extLst xmlns:a="http://schemas.openxmlformats.org/drawingml/2006/main">
                <a:ext uri="{FF2B5EF4-FFF2-40B4-BE49-F238E27FC236}">
                  <a16:creationId xmlns:a16="http://schemas.microsoft.com/office/drawing/2014/main" id="{BC4AB8C6-D1D4-411F-C768-4EB19F3F65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1F0617">
        <w:rPr>
          <w:lang w:eastAsia="en-AU"/>
        </w:rPr>
        <w:t>Figure 5</w:t>
      </w:r>
      <w:r w:rsidR="00736508">
        <w:rPr>
          <w:lang w:eastAsia="en-AU"/>
        </w:rPr>
        <w:t>. Complaint themes by support coordination (%)</w:t>
      </w:r>
    </w:p>
    <w:p w14:paraId="1EA91522" w14:textId="376F91E8" w:rsidR="008035AF" w:rsidRDefault="00D10148" w:rsidP="005116A8">
      <w:pPr>
        <w:rPr>
          <w:lang w:eastAsia="en-AU"/>
        </w:rPr>
      </w:pPr>
      <w:r>
        <w:rPr>
          <w:lang w:eastAsia="en-AU"/>
        </w:rPr>
        <w:lastRenderedPageBreak/>
        <w:t xml:space="preserve">These </w:t>
      </w:r>
      <w:r w:rsidR="00FA5F16">
        <w:rPr>
          <w:lang w:eastAsia="en-AU"/>
        </w:rPr>
        <w:t xml:space="preserve">complaints </w:t>
      </w:r>
      <w:r>
        <w:rPr>
          <w:lang w:eastAsia="en-AU"/>
        </w:rPr>
        <w:t>raised</w:t>
      </w:r>
      <w:r w:rsidR="00FA5F16">
        <w:rPr>
          <w:lang w:eastAsia="en-AU"/>
        </w:rPr>
        <w:t xml:space="preserve"> </w:t>
      </w:r>
      <w:r>
        <w:rPr>
          <w:lang w:eastAsia="en-AU"/>
        </w:rPr>
        <w:t xml:space="preserve">themes that demonstrated </w:t>
      </w:r>
      <w:r w:rsidR="00FA5F16">
        <w:rPr>
          <w:lang w:eastAsia="en-AU"/>
        </w:rPr>
        <w:t>a lack</w:t>
      </w:r>
      <w:r w:rsidR="00FA5F16" w:rsidRPr="0ADE2814">
        <w:rPr>
          <w:lang w:eastAsia="en-AU"/>
        </w:rPr>
        <w:t xml:space="preserve"> of </w:t>
      </w:r>
      <w:r w:rsidR="00FA5F16" w:rsidRPr="31800B1B">
        <w:rPr>
          <w:lang w:eastAsia="en-AU"/>
        </w:rPr>
        <w:t>provider</w:t>
      </w:r>
      <w:r w:rsidR="00FA5F16">
        <w:rPr>
          <w:lang w:eastAsia="en-AU"/>
        </w:rPr>
        <w:t xml:space="preserve"> understanding about the role of support coordination and </w:t>
      </w:r>
      <w:r>
        <w:rPr>
          <w:lang w:eastAsia="en-AU"/>
        </w:rPr>
        <w:t xml:space="preserve">highlighted how </w:t>
      </w:r>
      <w:proofErr w:type="gramStart"/>
      <w:r w:rsidR="00FA5F16">
        <w:rPr>
          <w:lang w:eastAsia="en-AU"/>
        </w:rPr>
        <w:t>poor quality</w:t>
      </w:r>
      <w:proofErr w:type="gramEnd"/>
      <w:r w:rsidR="00FA5F16">
        <w:rPr>
          <w:lang w:eastAsia="en-AU"/>
        </w:rPr>
        <w:t xml:space="preserve"> practices </w:t>
      </w:r>
      <w:r w:rsidR="00FA5F16">
        <w:t>impact</w:t>
      </w:r>
      <w:r w:rsidR="00FA5F16">
        <w:rPr>
          <w:lang w:eastAsia="en-AU"/>
        </w:rPr>
        <w:t xml:space="preserve"> other NDIS supports. The impact of </w:t>
      </w:r>
      <w:proofErr w:type="gramStart"/>
      <w:r w:rsidR="00FA5F16">
        <w:rPr>
          <w:lang w:eastAsia="en-AU"/>
        </w:rPr>
        <w:t>poor quality</w:t>
      </w:r>
      <w:proofErr w:type="gramEnd"/>
      <w:r w:rsidR="00FA5F16">
        <w:rPr>
          <w:lang w:eastAsia="en-AU"/>
        </w:rPr>
        <w:t xml:space="preserve"> support coordination </w:t>
      </w:r>
      <w:r w:rsidR="00FA5F16">
        <w:t>ranged from participants not being supported to understand or use their NDIS plan, delays in accessing support, accessing inappropriate supports, or disruption to other NDIS supports.</w:t>
      </w:r>
    </w:p>
    <w:p w14:paraId="3A3F65FA" w14:textId="579C84F4" w:rsidR="0069035E" w:rsidRDefault="00813AFF" w:rsidP="008035AF">
      <w:pPr>
        <w:pStyle w:val="Heading3"/>
        <w:rPr>
          <w:lang w:eastAsia="en-AU"/>
        </w:rPr>
      </w:pPr>
      <w:r>
        <w:rPr>
          <w:lang w:eastAsia="en-AU"/>
        </w:rPr>
        <w:t>Plan management</w:t>
      </w:r>
    </w:p>
    <w:p w14:paraId="3C3C496E" w14:textId="5705FC1C" w:rsidR="009634C7" w:rsidRDefault="00301739" w:rsidP="005116A8">
      <w:pPr>
        <w:rPr>
          <w:lang w:eastAsia="en-AU"/>
        </w:rPr>
      </w:pPr>
      <w:r>
        <w:rPr>
          <w:lang w:eastAsia="en-AU"/>
        </w:rPr>
        <w:t>Plan management supports accounted for 4% of all complaints received.</w:t>
      </w:r>
      <w:r w:rsidR="005E63B4">
        <w:rPr>
          <w:lang w:eastAsia="en-AU"/>
        </w:rPr>
        <w:t xml:space="preserve"> Figure </w:t>
      </w:r>
      <w:r w:rsidR="0040104F">
        <w:rPr>
          <w:lang w:eastAsia="en-AU"/>
        </w:rPr>
        <w:t>6</w:t>
      </w:r>
      <w:r w:rsidR="005E63B4">
        <w:rPr>
          <w:lang w:eastAsia="en-AU"/>
        </w:rPr>
        <w:t xml:space="preserve"> </w:t>
      </w:r>
      <w:r w:rsidR="00602C44">
        <w:rPr>
          <w:lang w:eastAsia="en-AU"/>
        </w:rPr>
        <w:t xml:space="preserve">shows the distribution of complaint themes </w:t>
      </w:r>
      <w:r w:rsidR="0040104F">
        <w:rPr>
          <w:lang w:eastAsia="en-AU"/>
        </w:rPr>
        <w:t>within the category of</w:t>
      </w:r>
      <w:r w:rsidR="00602C44">
        <w:rPr>
          <w:lang w:eastAsia="en-AU"/>
        </w:rPr>
        <w:t xml:space="preserve"> plan management.</w:t>
      </w:r>
    </w:p>
    <w:p w14:paraId="0B33544F" w14:textId="5226C6E7" w:rsidR="0016046D" w:rsidRDefault="006A247E" w:rsidP="0016046D">
      <w:pPr>
        <w:rPr>
          <w:lang w:eastAsia="en-AU"/>
        </w:rPr>
      </w:pPr>
      <w:r w:rsidRPr="00321C3C">
        <w:rPr>
          <w:noProof/>
          <w:lang w:eastAsia="en-AU"/>
        </w:rPr>
        <w:drawing>
          <wp:anchor distT="0" distB="0" distL="114300" distR="114300" simplePos="0" relativeHeight="251658243" behindDoc="0" locked="0" layoutInCell="1" allowOverlap="1" wp14:anchorId="4E146EEE" wp14:editId="20611E94">
            <wp:simplePos x="0" y="0"/>
            <wp:positionH relativeFrom="margin">
              <wp:align>left</wp:align>
            </wp:positionH>
            <wp:positionV relativeFrom="paragraph">
              <wp:posOffset>183039</wp:posOffset>
            </wp:positionV>
            <wp:extent cx="5400000" cy="1799590"/>
            <wp:effectExtent l="0" t="0" r="10795" b="10160"/>
            <wp:wrapTopAndBottom/>
            <wp:docPr id="658542744" name="Chart 1" descr="A pie chart with 3 slices in different colours showing the percentage of total complaints divided by the following overarching themes.  They are labelled as follows:&#10;&#10;Slice 1 (dark purple) - Poor quality practice, process, and workforce - 65%.&#10;&#10;Slice 2 (lighter purple) - Scheme Integrity - 30%&#10;&#10;Slice 3 (light green) - Participants’ rights and scheme principles 5%.">
              <a:extLst xmlns:a="http://schemas.openxmlformats.org/drawingml/2006/main">
                <a:ext uri="{FF2B5EF4-FFF2-40B4-BE49-F238E27FC236}">
                  <a16:creationId xmlns:a16="http://schemas.microsoft.com/office/drawing/2014/main" id="{68577DF7-F6B3-BCC4-1B2A-053361F16C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anchor>
        </w:drawing>
      </w:r>
      <w:r w:rsidR="0040104F">
        <w:rPr>
          <w:lang w:eastAsia="en-AU"/>
        </w:rPr>
        <w:t>Figure 6. Complaint themes by plan management (%)</w:t>
      </w:r>
    </w:p>
    <w:p w14:paraId="38C40592" w14:textId="764C0411" w:rsidR="00AE7258" w:rsidRDefault="00AE7258" w:rsidP="00AE7258">
      <w:pPr>
        <w:rPr>
          <w:lang w:eastAsia="en-AU"/>
        </w:rPr>
      </w:pPr>
      <w:r>
        <w:rPr>
          <w:lang w:eastAsia="en-AU"/>
        </w:rPr>
        <w:t xml:space="preserve">Plan management themes were concentrated in poor quality practice, process and workforce and scheme integrity, representing 95% of complaint themes. The complaints highlighted a </w:t>
      </w:r>
      <w:r w:rsidRPr="00FF2A26">
        <w:rPr>
          <w:lang w:eastAsia="en-AU"/>
        </w:rPr>
        <w:t xml:space="preserve">lack of clarity and consistency in </w:t>
      </w:r>
      <w:r>
        <w:rPr>
          <w:lang w:eastAsia="en-AU"/>
        </w:rPr>
        <w:t xml:space="preserve">plan management </w:t>
      </w:r>
      <w:r w:rsidRPr="00FF2A26">
        <w:rPr>
          <w:lang w:eastAsia="en-AU"/>
        </w:rPr>
        <w:t>expectations.</w:t>
      </w:r>
    </w:p>
    <w:p w14:paraId="5951D8BD" w14:textId="329728AF" w:rsidR="00F66118" w:rsidRDefault="00D14E62" w:rsidP="00F66118">
      <w:pPr>
        <w:pStyle w:val="Heading3"/>
        <w:rPr>
          <w:lang w:eastAsia="en-AU"/>
        </w:rPr>
      </w:pPr>
      <w:r>
        <w:rPr>
          <w:lang w:eastAsia="en-AU"/>
        </w:rPr>
        <w:t>The</w:t>
      </w:r>
      <w:r w:rsidR="00B6283B">
        <w:rPr>
          <w:lang w:eastAsia="en-AU"/>
        </w:rPr>
        <w:t>rapeutic</w:t>
      </w:r>
      <w:r w:rsidR="00F66118">
        <w:rPr>
          <w:lang w:eastAsia="en-AU"/>
        </w:rPr>
        <w:t xml:space="preserve"> supports</w:t>
      </w:r>
    </w:p>
    <w:p w14:paraId="5A641B87" w14:textId="67D5467D" w:rsidR="00CD57AD" w:rsidRDefault="00B6283B" w:rsidP="00CD57AD">
      <w:pPr>
        <w:rPr>
          <w:lang w:eastAsia="en-AU"/>
        </w:rPr>
      </w:pPr>
      <w:r>
        <w:rPr>
          <w:lang w:eastAsia="en-AU"/>
        </w:rPr>
        <w:t xml:space="preserve">Therapeutic </w:t>
      </w:r>
      <w:r w:rsidR="00DD0156">
        <w:rPr>
          <w:lang w:eastAsia="en-AU"/>
        </w:rPr>
        <w:t>supports</w:t>
      </w:r>
      <w:r w:rsidR="00CD57AD">
        <w:rPr>
          <w:lang w:eastAsia="en-AU"/>
        </w:rPr>
        <w:t xml:space="preserve"> accounted for </w:t>
      </w:r>
      <w:r w:rsidR="00D807C4">
        <w:rPr>
          <w:lang w:eastAsia="en-AU"/>
        </w:rPr>
        <w:t>6</w:t>
      </w:r>
      <w:r w:rsidR="00487913">
        <w:rPr>
          <w:lang w:eastAsia="en-AU"/>
        </w:rPr>
        <w:t xml:space="preserve">% of </w:t>
      </w:r>
      <w:r w:rsidR="00B60856">
        <w:rPr>
          <w:lang w:eastAsia="en-AU"/>
        </w:rPr>
        <w:t>all complaints received.</w:t>
      </w:r>
      <w:r w:rsidR="001C09E6">
        <w:rPr>
          <w:lang w:eastAsia="en-AU"/>
        </w:rPr>
        <w:t xml:space="preserve"> Figure 7 shows the distribution of complaint themes within the category of</w:t>
      </w:r>
      <w:r w:rsidR="00D807C4">
        <w:rPr>
          <w:lang w:eastAsia="en-AU"/>
        </w:rPr>
        <w:t xml:space="preserve"> therapeutic supports</w:t>
      </w:r>
      <w:r w:rsidR="001C09E6">
        <w:rPr>
          <w:lang w:eastAsia="en-AU"/>
        </w:rPr>
        <w:t>.</w:t>
      </w:r>
    </w:p>
    <w:p w14:paraId="3F878B43" w14:textId="0A4217B5" w:rsidR="00A72B9C" w:rsidRDefault="00506511" w:rsidP="00CD57AD">
      <w:pPr>
        <w:rPr>
          <w:lang w:eastAsia="en-AU"/>
        </w:rPr>
      </w:pPr>
      <w:r w:rsidRPr="00597431">
        <w:rPr>
          <w:noProof/>
          <w:lang w:eastAsia="en-AU"/>
        </w:rPr>
        <w:drawing>
          <wp:anchor distT="0" distB="0" distL="114300" distR="114300" simplePos="0" relativeHeight="251658242" behindDoc="0" locked="0" layoutInCell="1" allowOverlap="1" wp14:anchorId="34C09AF4" wp14:editId="6AE72B43">
            <wp:simplePos x="0" y="0"/>
            <wp:positionH relativeFrom="margin">
              <wp:align>left</wp:align>
            </wp:positionH>
            <wp:positionV relativeFrom="paragraph">
              <wp:posOffset>256699</wp:posOffset>
            </wp:positionV>
            <wp:extent cx="5400000" cy="1800000"/>
            <wp:effectExtent l="0" t="0" r="10795" b="10160"/>
            <wp:wrapTopAndBottom/>
            <wp:docPr id="1479902182" name="Chart 1" descr="A pie chart with 3 slices in different colours showing the percentage of total complaints divided by the following overarching themes.  They are labelled as follows:&#10;&#10;Slice 1 (dark purple) - Poor quality practice, process, and workforce - 46%.&#10;&#10;Slice 2 (lighter purple) - Scheme Integrity - 48%&#10;&#10;Slice 3 (light green) - Participants’ rights and scheme principles 6%.">
              <a:extLst xmlns:a="http://schemas.openxmlformats.org/drawingml/2006/main">
                <a:ext uri="{FF2B5EF4-FFF2-40B4-BE49-F238E27FC236}">
                  <a16:creationId xmlns:a16="http://schemas.microsoft.com/office/drawing/2014/main" id="{6DB09635-1D81-CF53-A0F8-D2EACD947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A72B9C">
        <w:rPr>
          <w:lang w:eastAsia="en-AU"/>
        </w:rPr>
        <w:t xml:space="preserve">Figure 7. Complaint themes by </w:t>
      </w:r>
      <w:r w:rsidR="00D807C4">
        <w:rPr>
          <w:lang w:eastAsia="en-AU"/>
        </w:rPr>
        <w:t xml:space="preserve">therapeutic </w:t>
      </w:r>
      <w:r w:rsidR="00DD0156">
        <w:rPr>
          <w:lang w:eastAsia="en-AU"/>
        </w:rPr>
        <w:t>supports</w:t>
      </w:r>
      <w:r w:rsidR="00A72B9C">
        <w:rPr>
          <w:lang w:eastAsia="en-AU"/>
        </w:rPr>
        <w:t xml:space="preserve"> (%)</w:t>
      </w:r>
    </w:p>
    <w:p w14:paraId="7070F8E2" w14:textId="77777777" w:rsidR="000B277A" w:rsidRDefault="000B277A" w:rsidP="00177105">
      <w:pPr>
        <w:rPr>
          <w:lang w:eastAsia="en-AU"/>
        </w:rPr>
      </w:pPr>
    </w:p>
    <w:p w14:paraId="641AEB3D" w14:textId="1B7EF45B" w:rsidR="00177105" w:rsidRPr="00177105" w:rsidRDefault="00177105" w:rsidP="00177105">
      <w:pPr>
        <w:rPr>
          <w:lang w:eastAsia="en-AU"/>
        </w:rPr>
      </w:pPr>
      <w:r w:rsidRPr="00177105">
        <w:rPr>
          <w:lang w:eastAsia="en-AU"/>
        </w:rPr>
        <w:t>Complaints about financial Integrity of therapeutic supports highlighted issues of providers charging for additional hours or imposing unfair terms on participants. Financial integrity issues often stemmed from an inappropriate application of the NDIS Price Guide by providers, as well as workforce and training deficiencies. Participants were sometimes charged more because less trained workers took longer to assess and complete required reports.</w:t>
      </w:r>
    </w:p>
    <w:p w14:paraId="19D5750E" w14:textId="1941247C" w:rsidR="00D807C4" w:rsidRPr="00CD57AD" w:rsidRDefault="009D15C9" w:rsidP="00CD57AD">
      <w:pPr>
        <w:rPr>
          <w:lang w:eastAsia="en-AU"/>
        </w:rPr>
      </w:pPr>
      <w:r>
        <w:rPr>
          <w:lang w:eastAsia="en-AU"/>
        </w:rPr>
        <w:lastRenderedPageBreak/>
        <w:t xml:space="preserve">Due to the </w:t>
      </w:r>
      <w:r w:rsidR="00DE0CF7">
        <w:rPr>
          <w:lang w:eastAsia="en-AU"/>
        </w:rPr>
        <w:t>very small</w:t>
      </w:r>
      <w:r>
        <w:rPr>
          <w:lang w:eastAsia="en-AU"/>
        </w:rPr>
        <w:t xml:space="preserve"> number of complaints received about behaviour supports, </w:t>
      </w:r>
      <w:r w:rsidR="00DE0CF7">
        <w:rPr>
          <w:lang w:eastAsia="en-AU"/>
        </w:rPr>
        <w:t xml:space="preserve">no </w:t>
      </w:r>
      <w:r w:rsidR="00547C9B">
        <w:rPr>
          <w:lang w:eastAsia="en-AU"/>
        </w:rPr>
        <w:t xml:space="preserve">assessment </w:t>
      </w:r>
      <w:r w:rsidR="00EA3549">
        <w:rPr>
          <w:lang w:eastAsia="en-AU"/>
        </w:rPr>
        <w:t xml:space="preserve">of </w:t>
      </w:r>
      <w:r w:rsidR="0019706C">
        <w:rPr>
          <w:lang w:eastAsia="en-AU"/>
        </w:rPr>
        <w:t>themes for this support type was undertaken.</w:t>
      </w:r>
    </w:p>
    <w:p w14:paraId="3E833099" w14:textId="235CAE1C" w:rsidR="00DD5E79" w:rsidRDefault="00DD5E79" w:rsidP="00DD5E79">
      <w:pPr>
        <w:pStyle w:val="Heading3"/>
        <w:rPr>
          <w:lang w:eastAsia="en-AU"/>
        </w:rPr>
      </w:pPr>
      <w:r>
        <w:rPr>
          <w:lang w:eastAsia="en-AU"/>
        </w:rPr>
        <w:t>Observations by theme</w:t>
      </w:r>
    </w:p>
    <w:p w14:paraId="583C32F7" w14:textId="637116AA" w:rsidR="00AF2361" w:rsidRPr="00AF2361" w:rsidRDefault="006E11AF" w:rsidP="00AF2361">
      <w:pPr>
        <w:rPr>
          <w:lang w:eastAsia="en-AU"/>
        </w:rPr>
      </w:pPr>
      <w:r w:rsidRPr="60DD319E">
        <w:rPr>
          <w:rFonts w:eastAsia="Times New Roman" w:cs="Calibri"/>
          <w:lang w:eastAsia="en-AU"/>
        </w:rPr>
        <w:t xml:space="preserve">Every individual complaint analysed </w:t>
      </w:r>
      <w:r w:rsidRPr="565C47EE">
        <w:rPr>
          <w:rFonts w:eastAsia="Times New Roman" w:cs="Calibri"/>
          <w:lang w:eastAsia="en-AU"/>
        </w:rPr>
        <w:t>was</w:t>
      </w:r>
      <w:r w:rsidRPr="60DD319E">
        <w:rPr>
          <w:rFonts w:eastAsia="Times New Roman" w:cs="Calibri"/>
          <w:lang w:eastAsia="en-AU"/>
        </w:rPr>
        <w:t xml:space="preserve"> assigned a specific theme that connect</w:t>
      </w:r>
      <w:r>
        <w:rPr>
          <w:rFonts w:eastAsia="Times New Roman" w:cs="Calibri"/>
          <w:lang w:eastAsia="en-AU"/>
        </w:rPr>
        <w:t>ed</w:t>
      </w:r>
      <w:r w:rsidRPr="60DD319E">
        <w:rPr>
          <w:rFonts w:eastAsia="Times New Roman" w:cs="Calibri"/>
          <w:lang w:eastAsia="en-AU"/>
        </w:rPr>
        <w:t xml:space="preserve"> to one of the four overarching themes</w:t>
      </w:r>
      <w:r w:rsidR="00986F56">
        <w:rPr>
          <w:rFonts w:eastAsia="Times New Roman" w:cs="Calibri"/>
          <w:lang w:eastAsia="en-AU"/>
        </w:rPr>
        <w:t xml:space="preserve">. Figure </w:t>
      </w:r>
      <w:r w:rsidR="005E3C76">
        <w:rPr>
          <w:rFonts w:eastAsia="Times New Roman" w:cs="Calibri"/>
          <w:lang w:eastAsia="en-AU"/>
        </w:rPr>
        <w:t xml:space="preserve">8 </w:t>
      </w:r>
      <w:r w:rsidR="00986F56">
        <w:rPr>
          <w:szCs w:val="22"/>
        </w:rPr>
        <w:t>shows the 1,500 complaints distributed across the specific and overarching themes.</w:t>
      </w:r>
    </w:p>
    <w:p w14:paraId="7C2984FE" w14:textId="0CA28A8D" w:rsidR="00D00736" w:rsidRDefault="006A7AEC" w:rsidP="00882024">
      <w:pPr>
        <w:ind w:left="-567" w:firstLine="567"/>
        <w:rPr>
          <w:lang w:eastAsia="en-AU"/>
        </w:rPr>
      </w:pPr>
      <w:r>
        <w:rPr>
          <w:noProof/>
        </w:rPr>
        <w:drawing>
          <wp:anchor distT="0" distB="0" distL="114300" distR="114300" simplePos="0" relativeHeight="251658246" behindDoc="0" locked="0" layoutInCell="1" allowOverlap="1" wp14:anchorId="2CBF9748" wp14:editId="158D3068">
            <wp:simplePos x="0" y="0"/>
            <wp:positionH relativeFrom="margin">
              <wp:posOffset>0</wp:posOffset>
            </wp:positionH>
            <wp:positionV relativeFrom="paragraph">
              <wp:posOffset>213360</wp:posOffset>
            </wp:positionV>
            <wp:extent cx="5867400" cy="4013200"/>
            <wp:effectExtent l="0" t="0" r="0" b="6350"/>
            <wp:wrapTopAndBottom/>
            <wp:docPr id="87310580" name="Chart 1" descr="Pictured in figure 4 is a clustered bar chart. There are 15 vertical columns. The chart represents % of total complaints clustered by overarching theme and specific theme. &#10;&#10;The first cluster is labelled, Poor quality practice, process and workforce - 47%. It has 5 vertical columns that are all coloured dark purple and are of different heights representing the percentage.&#10;From left to right the columns are labelled as follows: 1. Poor quality of supports - 19%. 2. Worker Conduct - 12%. 3. Governance, management and processes - 11%. 4. Workforce - 4%. 5. Culturally insensitive and unsafe practices - 0%&#10;&#10;The second cluster is labelled, Scheme integrity  - 26%. It has 3 vertical columns that are all coloured light purple and are of different heights representing the percentage. From left to right the columns are labelled as follows: 1. Financial integrity - 21%. 2.  Conflict of Interest - 4%. 3. Sharp practices - 1%&#10;&#10;The third cluster is labelled Violence abuse and neglect - 19%. It has 4 vertical columns that are all coloured dark green and are of different heights representing the percentage.&#10;From left to right the columns are labelled as follows: 1. Exploitation - 6%. 2. Neglect - 6%. 3. Violence and abuse 5%. 4.Restrictive Practices 2%.&#10;&#10;The fourth cluster is labelled Participants rights and Scheme principals - 8%. It has 3 vertical columns that are all coloured light green and are of different heights representing the percentage.&#10;From left to right the columns are labelled as follows: 1. Choice and Control - 5%. 2. Access and continuity - 3%. 3. Supported and substituted decision making - 8%">
              <a:extLst xmlns:a="http://schemas.openxmlformats.org/drawingml/2006/main">
                <a:ext uri="{FF2B5EF4-FFF2-40B4-BE49-F238E27FC236}">
                  <a16:creationId xmlns:a16="http://schemas.microsoft.com/office/drawing/2014/main" id="{B8F6352F-BFE1-2DB0-946F-D461A0ED3F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FD1333">
        <w:rPr>
          <w:lang w:eastAsia="en-AU"/>
        </w:rPr>
        <w:t xml:space="preserve">Figure </w:t>
      </w:r>
      <w:r w:rsidR="00267134">
        <w:rPr>
          <w:lang w:eastAsia="en-AU"/>
        </w:rPr>
        <w:t>8</w:t>
      </w:r>
      <w:r w:rsidR="00E22756">
        <w:rPr>
          <w:lang w:eastAsia="en-AU"/>
        </w:rPr>
        <w:t>.</w:t>
      </w:r>
      <w:r w:rsidR="00FD1333">
        <w:rPr>
          <w:lang w:eastAsia="en-AU"/>
        </w:rPr>
        <w:t xml:space="preserve"> Complaints by theme</w:t>
      </w:r>
    </w:p>
    <w:p w14:paraId="6DAFBFBD" w14:textId="5FA94784" w:rsidR="00F81615" w:rsidRDefault="00F81615" w:rsidP="00F81615">
      <w:r>
        <w:t xml:space="preserve">The analysis found </w:t>
      </w:r>
      <w:r w:rsidR="00581A2B">
        <w:t>a</w:t>
      </w:r>
      <w:r>
        <w:t xml:space="preserve"> high proportion of complaints about p</w:t>
      </w:r>
      <w:r w:rsidRPr="006368F6">
        <w:t xml:space="preserve">oor </w:t>
      </w:r>
      <w:r>
        <w:t>q</w:t>
      </w:r>
      <w:r w:rsidRPr="006368F6">
        <w:t>uality</w:t>
      </w:r>
      <w:r>
        <w:t>,</w:t>
      </w:r>
      <w:r w:rsidRPr="006368F6">
        <w:t xml:space="preserve"> </w:t>
      </w:r>
      <w:r>
        <w:t>p</w:t>
      </w:r>
      <w:r w:rsidRPr="006368F6">
        <w:t>rocess</w:t>
      </w:r>
      <w:r>
        <w:t xml:space="preserve"> and</w:t>
      </w:r>
      <w:r w:rsidRPr="006368F6">
        <w:t xml:space="preserve"> </w:t>
      </w:r>
      <w:r>
        <w:t>p</w:t>
      </w:r>
      <w:r w:rsidRPr="006368F6">
        <w:t xml:space="preserve">ractice and </w:t>
      </w:r>
      <w:r>
        <w:t>w</w:t>
      </w:r>
      <w:r w:rsidRPr="006368F6">
        <w:t>orkforce</w:t>
      </w:r>
      <w:r>
        <w:t xml:space="preserve"> issues across all support types. The prevalence and proportion of themes varied significantly between support types. For example, </w:t>
      </w:r>
      <w:r w:rsidRPr="009F07B8">
        <w:t xml:space="preserve">daily and community supports and </w:t>
      </w:r>
      <w:r>
        <w:t>SIL and SDA had a higher prevalence of v</w:t>
      </w:r>
      <w:r w:rsidRPr="00B42246">
        <w:t>iolence</w:t>
      </w:r>
      <w:r>
        <w:t>,</w:t>
      </w:r>
      <w:r w:rsidRPr="00B42246">
        <w:t xml:space="preserve"> </w:t>
      </w:r>
      <w:r>
        <w:t>a</w:t>
      </w:r>
      <w:r w:rsidRPr="00B42246">
        <w:t xml:space="preserve">buse and </w:t>
      </w:r>
      <w:r>
        <w:t>n</w:t>
      </w:r>
      <w:r w:rsidRPr="00B42246">
        <w:t>eglect </w:t>
      </w:r>
      <w:r>
        <w:t>compared to capacity building and intermediaries. The different prevalence of themes across support types may be attributed to the nature of support, the type of registration, regulation model and systemic issues in the NDIS market.</w:t>
      </w:r>
    </w:p>
    <w:p w14:paraId="64B28E73" w14:textId="55C5FA90" w:rsidR="00C01023" w:rsidRDefault="00C01023" w:rsidP="00280CD6">
      <w:pPr>
        <w:pStyle w:val="Heading2-numbered"/>
        <w:ind w:left="426" w:hanging="426"/>
      </w:pPr>
      <w:r>
        <w:t>Limitations</w:t>
      </w:r>
    </w:p>
    <w:p w14:paraId="7DBD4B82" w14:textId="6BA669F7" w:rsidR="000A03F4" w:rsidRPr="000A03F4" w:rsidRDefault="000A03F4" w:rsidP="000A03F4">
      <w:pPr>
        <w:rPr>
          <w:szCs w:val="22"/>
        </w:rPr>
      </w:pPr>
      <w:r w:rsidRPr="000A03F4">
        <w:rPr>
          <w:szCs w:val="22"/>
        </w:rPr>
        <w:t>The findings of this analysis were limited due to gaps in the complaints data, not differentiating between alleged and substantiated complaints, and the sole reliance on complaints data rather than triangulating multiple intelligence sources. While the complaints data can provide insight into systemic themes in the NDIS market, it may not have captured all issues. It is important to note that a low number of complaints about a specific theme or support type does not necessarily mean there were no issues about that theme; it can indicate a lack of reporting through the Commission's complaints process.</w:t>
      </w:r>
    </w:p>
    <w:p w14:paraId="26B35A99" w14:textId="4DB5A501" w:rsidR="00EF1EAB" w:rsidRDefault="00B71B55" w:rsidP="00280CD6">
      <w:pPr>
        <w:pStyle w:val="Heading2-numbered"/>
        <w:ind w:left="426" w:hanging="426"/>
      </w:pPr>
      <w:r>
        <w:lastRenderedPageBreak/>
        <w:t>Conclusion</w:t>
      </w:r>
    </w:p>
    <w:p w14:paraId="28FBF3F9" w14:textId="6AAA53F3" w:rsidR="00F636FC" w:rsidRDefault="001A3EDA" w:rsidP="00C81BEA">
      <w:pPr>
        <w:pStyle w:val="Bullet1"/>
        <w:numPr>
          <w:ilvl w:val="0"/>
          <w:numId w:val="0"/>
        </w:numPr>
        <w:suppressAutoHyphens w:val="0"/>
        <w:spacing w:before="0" w:after="0" w:line="240" w:lineRule="auto"/>
      </w:pPr>
      <w:r w:rsidRPr="00474406">
        <w:t xml:space="preserve">The analysis conducted offers valuable insights into specific market segments, provider registration, and complaint themes. </w:t>
      </w:r>
      <w:r w:rsidR="00773D09">
        <w:rPr>
          <w:lang w:eastAsia="en-AU"/>
        </w:rPr>
        <w:t xml:space="preserve">The range of themes identified </w:t>
      </w:r>
      <w:r w:rsidR="00773D09" w:rsidRPr="00D161A1">
        <w:rPr>
          <w:lang w:eastAsia="en-AU"/>
        </w:rPr>
        <w:t>highlight</w:t>
      </w:r>
      <w:r w:rsidR="00773D09">
        <w:rPr>
          <w:lang w:eastAsia="en-AU"/>
        </w:rPr>
        <w:t>ed</w:t>
      </w:r>
      <w:r w:rsidR="00773D09" w:rsidRPr="00D161A1">
        <w:rPr>
          <w:lang w:eastAsia="en-AU"/>
        </w:rPr>
        <w:t xml:space="preserve"> the complexity, brea</w:t>
      </w:r>
      <w:r w:rsidR="00773D09">
        <w:rPr>
          <w:lang w:eastAsia="en-AU"/>
        </w:rPr>
        <w:t>d</w:t>
      </w:r>
      <w:r w:rsidR="00773D09" w:rsidRPr="00D161A1">
        <w:rPr>
          <w:lang w:eastAsia="en-AU"/>
        </w:rPr>
        <w:t>th and risks</w:t>
      </w:r>
      <w:r w:rsidR="00773D09">
        <w:rPr>
          <w:lang w:eastAsia="en-AU"/>
        </w:rPr>
        <w:t xml:space="preserve"> of challenges</w:t>
      </w:r>
      <w:r w:rsidR="00773D09" w:rsidRPr="00D161A1">
        <w:rPr>
          <w:lang w:eastAsia="en-AU"/>
        </w:rPr>
        <w:t xml:space="preserve"> to </w:t>
      </w:r>
      <w:r w:rsidR="00773D09">
        <w:rPr>
          <w:lang w:eastAsia="en-AU"/>
        </w:rPr>
        <w:t xml:space="preserve">both </w:t>
      </w:r>
      <w:r w:rsidR="00773D09" w:rsidRPr="00D161A1">
        <w:rPr>
          <w:lang w:eastAsia="en-AU"/>
        </w:rPr>
        <w:t>participant</w:t>
      </w:r>
      <w:r w:rsidR="00773D09">
        <w:rPr>
          <w:lang w:eastAsia="en-AU"/>
        </w:rPr>
        <w:t>s</w:t>
      </w:r>
      <w:r w:rsidR="00773D09" w:rsidRPr="00D161A1">
        <w:rPr>
          <w:lang w:eastAsia="en-AU"/>
        </w:rPr>
        <w:t xml:space="preserve"> and providers </w:t>
      </w:r>
      <w:r w:rsidR="00773D09">
        <w:rPr>
          <w:lang w:eastAsia="en-AU"/>
        </w:rPr>
        <w:t xml:space="preserve">that can </w:t>
      </w:r>
      <w:r w:rsidR="00773D09" w:rsidRPr="00D161A1">
        <w:rPr>
          <w:lang w:eastAsia="en-AU"/>
        </w:rPr>
        <w:t>occur when delivering NDIS supports.</w:t>
      </w:r>
      <w:r w:rsidR="00773D09">
        <w:rPr>
          <w:lang w:eastAsia="en-AU"/>
        </w:rPr>
        <w:t xml:space="preserve"> </w:t>
      </w:r>
      <w:r w:rsidR="00B71B55">
        <w:rPr>
          <w:lang w:eastAsia="en-AU"/>
        </w:rPr>
        <w:t xml:space="preserve">The analysis highlighted areas </w:t>
      </w:r>
      <w:r w:rsidR="265788AC" w:rsidRPr="54D84B8C">
        <w:rPr>
          <w:lang w:eastAsia="en-AU"/>
        </w:rPr>
        <w:t>where</w:t>
      </w:r>
      <w:r w:rsidR="00B71B55">
        <w:rPr>
          <w:lang w:eastAsia="en-AU"/>
        </w:rPr>
        <w:t xml:space="preserve"> complaints were more prevalent</w:t>
      </w:r>
      <w:r w:rsidR="446CEBB1" w:rsidRPr="5EF480D3">
        <w:rPr>
          <w:lang w:eastAsia="en-AU"/>
        </w:rPr>
        <w:t>,</w:t>
      </w:r>
      <w:r w:rsidR="00B71B55">
        <w:rPr>
          <w:lang w:eastAsia="en-AU"/>
        </w:rPr>
        <w:t xml:space="preserve"> and the issues associated with different market segments. </w:t>
      </w:r>
      <w:r w:rsidR="00773D09">
        <w:t>I</w:t>
      </w:r>
      <w:r>
        <w:t>t</w:t>
      </w:r>
      <w:r w:rsidRPr="00474406">
        <w:t xml:space="preserve"> is important to recognise that this analysis represents a snapshot of a three-month period and may not necessarily reflect broader patterns or trends in the market. </w:t>
      </w:r>
    </w:p>
    <w:sectPr w:rsidR="00F636FC" w:rsidSect="00362AB6">
      <w:headerReference w:type="default" r:id="rId19"/>
      <w:footerReference w:type="default" r:id="rId20"/>
      <w:headerReference w:type="first" r:id="rId21"/>
      <w:footerReference w:type="first" r:id="rId22"/>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1AABE" w14:textId="77777777" w:rsidR="00A2057A" w:rsidRDefault="00A2057A" w:rsidP="008E21DE">
      <w:pPr>
        <w:spacing w:before="0" w:after="0"/>
      </w:pPr>
      <w:r>
        <w:separator/>
      </w:r>
    </w:p>
  </w:endnote>
  <w:endnote w:type="continuationSeparator" w:id="0">
    <w:p w14:paraId="78A48E31" w14:textId="77777777" w:rsidR="00A2057A" w:rsidRDefault="00A2057A" w:rsidP="008E21DE">
      <w:pPr>
        <w:spacing w:before="0" w:after="0"/>
      </w:pPr>
      <w:r>
        <w:continuationSeparator/>
      </w:r>
    </w:p>
  </w:endnote>
  <w:endnote w:type="continuationNotice" w:id="1">
    <w:p w14:paraId="1C5CC734" w14:textId="77777777" w:rsidR="00A2057A" w:rsidRDefault="00A2057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CF499" w14:textId="77777777" w:rsidR="00C2698C" w:rsidRDefault="00FD66D7" w:rsidP="00362AB6">
    <w:pPr>
      <w:pStyle w:val="Footer"/>
    </w:pPr>
    <w:r>
      <w:rPr>
        <w:b/>
        <w:bCs/>
        <w:noProof/>
        <w:lang w:eastAsia="en-AU"/>
      </w:rPr>
      <mc:AlternateContent>
        <mc:Choice Requires="wps">
          <w:drawing>
            <wp:inline distT="0" distB="0" distL="0" distR="0" wp14:anchorId="40D37F55" wp14:editId="0CC8BC45">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FCD0D6"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54705E15" w14:textId="77777777"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872FE1">
      <w:rPr>
        <w:noProof/>
      </w:rPr>
      <w:t>2</w:t>
    </w:r>
    <w:r w:rsidR="00362AB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1960E"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09FB4317" wp14:editId="07499077">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91E41E"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" fillcolor="#539250 [3207]" stroked="f" strokeweight="1pt">
              <v:fill color2="#83b14c [3208]" angle="90" colors="0 #539250;.5 #83b14c" focus="100%" type="gradient">
                <o:fill v:ext="view" type="gradientUnscaled"/>
              </v:fill>
              <w10:anchorlock/>
            </v:rect>
          </w:pict>
        </mc:Fallback>
      </mc:AlternateContent>
    </w:r>
  </w:p>
  <w:p w14:paraId="1EE69C89" w14:textId="77777777"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872FE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966EF" w14:textId="77777777" w:rsidR="00A2057A" w:rsidRDefault="00A2057A" w:rsidP="008E21DE">
      <w:pPr>
        <w:spacing w:before="0" w:after="0"/>
      </w:pPr>
      <w:r>
        <w:separator/>
      </w:r>
    </w:p>
  </w:footnote>
  <w:footnote w:type="continuationSeparator" w:id="0">
    <w:p w14:paraId="5A220DB4" w14:textId="77777777" w:rsidR="00A2057A" w:rsidRDefault="00A2057A" w:rsidP="008E21DE">
      <w:pPr>
        <w:spacing w:before="0" w:after="0"/>
      </w:pPr>
      <w:r>
        <w:continuationSeparator/>
      </w:r>
    </w:p>
  </w:footnote>
  <w:footnote w:type="continuationNotice" w:id="1">
    <w:p w14:paraId="7CDE48FB" w14:textId="77777777" w:rsidR="00A2057A" w:rsidRDefault="00A2057A">
      <w:pPr>
        <w:spacing w:before="0" w:after="0" w:line="240" w:lineRule="auto"/>
      </w:pPr>
    </w:p>
  </w:footnote>
  <w:footnote w:id="2">
    <w:p w14:paraId="5A287241" w14:textId="77777777" w:rsidR="00B86780" w:rsidRPr="00626FBF" w:rsidRDefault="00B86780" w:rsidP="00B86780">
      <w:pPr>
        <w:pStyle w:val="FootnoteText"/>
        <w:rPr>
          <w:rFonts w:asciiTheme="majorHAnsi" w:hAnsiTheme="majorHAnsi" w:cstheme="majorHAnsi"/>
        </w:rPr>
      </w:pPr>
      <w:r w:rsidRPr="00626FBF">
        <w:rPr>
          <w:rStyle w:val="FootnoteReference"/>
          <w:rFonts w:asciiTheme="majorHAnsi" w:hAnsiTheme="majorHAnsi" w:cstheme="majorHAnsi"/>
        </w:rPr>
        <w:footnoteRef/>
      </w:r>
      <w:r w:rsidRPr="00626FBF">
        <w:rPr>
          <w:rFonts w:asciiTheme="majorHAnsi" w:hAnsiTheme="majorHAnsi" w:cstheme="majorHAnsi"/>
        </w:rPr>
        <w:t xml:space="preserve"> December 2023 NDIS Quarterly Report to disability ministers, p.49</w:t>
      </w:r>
    </w:p>
  </w:footnote>
  <w:footnote w:id="3">
    <w:p w14:paraId="6B785D16" w14:textId="77777777" w:rsidR="00752731" w:rsidRPr="00626FBF" w:rsidRDefault="00752731" w:rsidP="00752731">
      <w:pPr>
        <w:pStyle w:val="FootnoteText"/>
        <w:rPr>
          <w:rFonts w:asciiTheme="majorHAnsi" w:hAnsiTheme="majorHAnsi" w:cstheme="majorHAnsi"/>
        </w:rPr>
      </w:pPr>
      <w:r w:rsidRPr="00421839">
        <w:rPr>
          <w:rStyle w:val="FootnoteReference"/>
          <w:rFonts w:asciiTheme="majorHAnsi" w:hAnsiTheme="majorHAnsi" w:cstheme="majorHAnsi"/>
          <w:sz w:val="14"/>
          <w:szCs w:val="16"/>
        </w:rPr>
        <w:footnoteRef/>
      </w:r>
      <w:r w:rsidRPr="00421839">
        <w:rPr>
          <w:rFonts w:asciiTheme="majorHAnsi" w:hAnsiTheme="majorHAnsi" w:cstheme="majorHAnsi"/>
          <w:szCs w:val="16"/>
        </w:rPr>
        <w:t xml:space="preserve"> NDIS Explore data, </w:t>
      </w:r>
      <w:r>
        <w:rPr>
          <w:rFonts w:asciiTheme="majorHAnsi" w:hAnsiTheme="majorHAnsi" w:cstheme="majorHAnsi"/>
          <w:szCs w:val="16"/>
        </w:rPr>
        <w:t>accessed</w:t>
      </w:r>
      <w:r w:rsidRPr="00421839">
        <w:rPr>
          <w:rFonts w:asciiTheme="majorHAnsi" w:hAnsiTheme="majorHAnsi" w:cstheme="majorHAnsi"/>
          <w:szCs w:val="16"/>
        </w:rPr>
        <w:t xml:space="preserve"> 10 May 2024, retrieved from https://dataresearch.ndis.gov.au/explore-data</w:t>
      </w:r>
    </w:p>
  </w:footnote>
  <w:footnote w:id="4">
    <w:p w14:paraId="0398010B" w14:textId="77777777" w:rsidR="00752731" w:rsidRDefault="00752731" w:rsidP="00752731">
      <w:pPr>
        <w:pStyle w:val="FootnoteText"/>
      </w:pPr>
      <w:r>
        <w:rPr>
          <w:rStyle w:val="FootnoteReference"/>
        </w:rPr>
        <w:footnoteRef/>
      </w:r>
      <w:r>
        <w:t xml:space="preserve"> December 2023 NDIS Quarterly Report to disability ministers, p.48</w:t>
      </w:r>
    </w:p>
  </w:footnote>
  <w:footnote w:id="5">
    <w:p w14:paraId="552EA594" w14:textId="77777777" w:rsidR="00650585" w:rsidRDefault="00650585" w:rsidP="00650585">
      <w:pPr>
        <w:pStyle w:val="FootnoteText"/>
      </w:pPr>
      <w:r>
        <w:rPr>
          <w:rStyle w:val="FootnoteReference"/>
        </w:rPr>
        <w:footnoteRef/>
      </w:r>
      <w:r>
        <w:t xml:space="preserve"> </w:t>
      </w:r>
      <w:r w:rsidRPr="00652A13">
        <w:t>Daily and community supports include living supports, assistance with daily life, day programs, assistance with transport to appointments, assistance with social and community participation</w:t>
      </w:r>
      <w:r>
        <w:t>. Supports c</w:t>
      </w:r>
      <w:r w:rsidRPr="00652A13">
        <w:t>an be delivered within the home or within the community.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CB81B" w14:textId="77777777" w:rsidR="008B7938" w:rsidRDefault="008B7938">
    <w:pPr>
      <w:pStyle w:val="Header"/>
    </w:pPr>
  </w:p>
  <w:p w14:paraId="0FFFDCD2" w14:textId="77777777" w:rsidR="00680A20" w:rsidRDefault="00362AB6">
    <w:pPr>
      <w:pStyle w:val="Header"/>
    </w:pPr>
    <w:r>
      <w:rPr>
        <w:b w:val="0"/>
        <w:bCs/>
        <w:noProof/>
        <w:lang w:eastAsia="en-AU"/>
      </w:rPr>
      <mc:AlternateContent>
        <mc:Choice Requires="wps">
          <w:drawing>
            <wp:inline distT="0" distB="0" distL="0" distR="0" wp14:anchorId="16025822" wp14:editId="72FBCC24">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A9D874"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60022" w14:textId="77777777" w:rsidR="00182709" w:rsidRDefault="00182709">
    <w:pPr>
      <w:pStyle w:val="Header"/>
    </w:pPr>
    <w:r>
      <w:rPr>
        <w:noProof/>
        <w:lang w:eastAsia="en-AU"/>
      </w:rPr>
      <w:ptab w:relativeTo="margin" w:alignment="left" w:leader="none"/>
    </w:r>
    <w:r w:rsidR="00EE737C">
      <w:rPr>
        <w:noProof/>
        <w:lang w:eastAsia="en-AU"/>
      </w:rPr>
      <w:drawing>
        <wp:inline distT="0" distB="0" distL="0" distR="0" wp14:anchorId="0BEB551F" wp14:editId="5E2D46A0">
          <wp:extent cx="3404235" cy="1223842"/>
          <wp:effectExtent l="0" t="0" r="5715" b="0"/>
          <wp:docPr id="11" name="Picture 11"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1" w15:restartNumberingAfterBreak="0">
    <w:nsid w:val="02576E9E"/>
    <w:multiLevelType w:val="multilevel"/>
    <w:tmpl w:val="A41689A2"/>
    <w:numStyleLink w:val="AppendixNumbers"/>
  </w:abstractNum>
  <w:abstractNum w:abstractNumId="2"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A5168D"/>
    <w:multiLevelType w:val="multilevel"/>
    <w:tmpl w:val="F764732A"/>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4FC2F94"/>
    <w:multiLevelType w:val="hybridMultilevel"/>
    <w:tmpl w:val="DFAEAAA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A632A9"/>
    <w:multiLevelType w:val="multilevel"/>
    <w:tmpl w:val="A41689A2"/>
    <w:numStyleLink w:val="AppendixNumbers"/>
  </w:abstractNum>
  <w:abstractNum w:abstractNumId="13"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5620062"/>
    <w:multiLevelType w:val="hybridMultilevel"/>
    <w:tmpl w:val="BE2C3C82"/>
    <w:lvl w:ilvl="0" w:tplc="79EA8668">
      <w:start w:val="1"/>
      <w:numFmt w:val="upperLetter"/>
      <w:pStyle w:val="ListParagraph-A"/>
      <w:lvlText w:val="%1."/>
      <w:lvlJc w:val="left"/>
      <w:pPr>
        <w:ind w:left="927"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9587F78"/>
    <w:multiLevelType w:val="multilevel"/>
    <w:tmpl w:val="07629034"/>
    <w:numStyleLink w:val="KCBullets"/>
  </w:abstractNum>
  <w:abstractNum w:abstractNumId="18" w15:restartNumberingAfterBreak="0">
    <w:nsid w:val="50517343"/>
    <w:multiLevelType w:val="multilevel"/>
    <w:tmpl w:val="131EEC6C"/>
    <w:numStyleLink w:val="TableNumbers"/>
  </w:abstractNum>
  <w:abstractNum w:abstractNumId="19" w15:restartNumberingAfterBreak="0">
    <w:nsid w:val="50E12008"/>
    <w:multiLevelType w:val="multilevel"/>
    <w:tmpl w:val="07629034"/>
    <w:numStyleLink w:val="KCBullets"/>
  </w:abstractNum>
  <w:abstractNum w:abstractNumId="2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63048B"/>
    <w:multiLevelType w:val="multilevel"/>
    <w:tmpl w:val="C284D0B0"/>
    <w:numStyleLink w:val="FigureNumbers"/>
  </w:abstractNum>
  <w:abstractNum w:abstractNumId="2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615703"/>
    <w:multiLevelType w:val="multilevel"/>
    <w:tmpl w:val="803CF862"/>
    <w:numStyleLink w:val="List1Numbered"/>
  </w:abstractNum>
  <w:abstractNum w:abstractNumId="24" w15:restartNumberingAfterBreak="0">
    <w:nsid w:val="5BF51665"/>
    <w:multiLevelType w:val="multilevel"/>
    <w:tmpl w:val="4E929216"/>
    <w:numStyleLink w:val="NumberedHeadings"/>
  </w:abstractNum>
  <w:abstractNum w:abstractNumId="25" w15:restartNumberingAfterBreak="0">
    <w:nsid w:val="62397869"/>
    <w:multiLevelType w:val="multilevel"/>
    <w:tmpl w:val="4E929216"/>
    <w:numStyleLink w:val="NumberedHeadings"/>
  </w:abstractNum>
  <w:abstractNum w:abstractNumId="26" w15:restartNumberingAfterBreak="0">
    <w:nsid w:val="6D4F423B"/>
    <w:multiLevelType w:val="multilevel"/>
    <w:tmpl w:val="4A7CCC2C"/>
    <w:numStyleLink w:val="DefaultBullets"/>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90B67C4"/>
    <w:multiLevelType w:val="multilevel"/>
    <w:tmpl w:val="FE688822"/>
    <w:numStyleLink w:val="BoxedBullets"/>
  </w:abstractNum>
  <w:abstractNum w:abstractNumId="29" w15:restartNumberingAfterBreak="0">
    <w:nsid w:val="7EE44065"/>
    <w:multiLevelType w:val="multilevel"/>
    <w:tmpl w:val="A41689A2"/>
    <w:numStyleLink w:val="AppendixNumbers"/>
  </w:abstractNum>
  <w:num w:numId="1" w16cid:durableId="207689896">
    <w:abstractNumId w:val="6"/>
  </w:num>
  <w:num w:numId="2" w16cid:durableId="1338077486">
    <w:abstractNumId w:val="29"/>
  </w:num>
  <w:num w:numId="3" w16cid:durableId="1407460653">
    <w:abstractNumId w:val="20"/>
  </w:num>
  <w:num w:numId="4" w16cid:durableId="1693066272">
    <w:abstractNumId w:val="28"/>
  </w:num>
  <w:num w:numId="5" w16cid:durableId="187451847">
    <w:abstractNumId w:val="28"/>
  </w:num>
  <w:num w:numId="6" w16cid:durableId="1164513785">
    <w:abstractNumId w:val="15"/>
  </w:num>
  <w:num w:numId="7" w16cid:durableId="116224391">
    <w:abstractNumId w:val="19"/>
  </w:num>
  <w:num w:numId="8" w16cid:durableId="158624246">
    <w:abstractNumId w:val="19"/>
  </w:num>
  <w:num w:numId="9" w16cid:durableId="1927304897">
    <w:abstractNumId w:val="19"/>
  </w:num>
  <w:num w:numId="10" w16cid:durableId="910503640">
    <w:abstractNumId w:val="9"/>
  </w:num>
  <w:num w:numId="11" w16cid:durableId="533814180">
    <w:abstractNumId w:val="21"/>
  </w:num>
  <w:num w:numId="12" w16cid:durableId="1091203284">
    <w:abstractNumId w:val="24"/>
  </w:num>
  <w:num w:numId="13" w16cid:durableId="954140259">
    <w:abstractNumId w:val="24"/>
  </w:num>
  <w:num w:numId="14" w16cid:durableId="701132290">
    <w:abstractNumId w:val="24"/>
  </w:num>
  <w:num w:numId="15" w16cid:durableId="269707325">
    <w:abstractNumId w:val="24"/>
  </w:num>
  <w:num w:numId="16" w16cid:durableId="1761413702">
    <w:abstractNumId w:val="24"/>
  </w:num>
  <w:num w:numId="17" w16cid:durableId="634065713">
    <w:abstractNumId w:val="24"/>
  </w:num>
  <w:num w:numId="18" w16cid:durableId="376012554">
    <w:abstractNumId w:val="24"/>
  </w:num>
  <w:num w:numId="19" w16cid:durableId="669479254">
    <w:abstractNumId w:val="8"/>
  </w:num>
  <w:num w:numId="20" w16cid:durableId="1733195854">
    <w:abstractNumId w:val="23"/>
  </w:num>
  <w:num w:numId="21" w16cid:durableId="931746199">
    <w:abstractNumId w:val="23"/>
  </w:num>
  <w:num w:numId="22" w16cid:durableId="1555583103">
    <w:abstractNumId w:val="23"/>
  </w:num>
  <w:num w:numId="23" w16cid:durableId="1989354688">
    <w:abstractNumId w:val="22"/>
  </w:num>
  <w:num w:numId="24" w16cid:durableId="1951550738">
    <w:abstractNumId w:val="13"/>
  </w:num>
  <w:num w:numId="25" w16cid:durableId="1238129461">
    <w:abstractNumId w:val="10"/>
  </w:num>
  <w:num w:numId="26" w16cid:durableId="2135320115">
    <w:abstractNumId w:val="18"/>
  </w:num>
  <w:num w:numId="27" w16cid:durableId="1128747042">
    <w:abstractNumId w:val="1"/>
  </w:num>
  <w:num w:numId="28" w16cid:durableId="2028867124">
    <w:abstractNumId w:val="27"/>
  </w:num>
  <w:num w:numId="29" w16cid:durableId="510996634">
    <w:abstractNumId w:val="5"/>
  </w:num>
  <w:num w:numId="30" w16cid:durableId="1532067264">
    <w:abstractNumId w:val="4"/>
  </w:num>
  <w:num w:numId="31" w16cid:durableId="1779984622">
    <w:abstractNumId w:val="11"/>
  </w:num>
  <w:num w:numId="32" w16cid:durableId="1423450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4333896">
    <w:abstractNumId w:val="25"/>
  </w:num>
  <w:num w:numId="34" w16cid:durableId="28770385">
    <w:abstractNumId w:val="26"/>
    <w:lvlOverride w:ilvl="0">
      <w:lvl w:ilvl="0">
        <w:start w:val="1"/>
        <w:numFmt w:val="bullet"/>
        <w:pStyle w:val="Bullet1"/>
        <w:lvlText w:val=""/>
        <w:lvlJc w:val="left"/>
        <w:pPr>
          <w:ind w:left="1136" w:hanging="284"/>
        </w:pPr>
        <w:rPr>
          <w:rFonts w:ascii="Symbol" w:hAnsi="Symbol" w:hint="default"/>
          <w:color w:val="85367B"/>
        </w:rPr>
      </w:lvl>
    </w:lvlOverride>
    <w:lvlOverride w:ilvl="1">
      <w:lvl w:ilvl="1">
        <w:start w:val="1"/>
        <w:numFmt w:val="bullet"/>
        <w:pStyle w:val="Bullet2"/>
        <w:lvlText w:val="–"/>
        <w:lvlJc w:val="left"/>
        <w:pPr>
          <w:ind w:left="1420" w:hanging="284"/>
        </w:pPr>
        <w:rPr>
          <w:rFonts w:ascii="Arial" w:hAnsi="Arial" w:hint="default"/>
          <w:color w:val="85367B"/>
        </w:rPr>
      </w:lvl>
    </w:lvlOverride>
    <w:lvlOverride w:ilvl="2">
      <w:lvl w:ilvl="2">
        <w:start w:val="1"/>
        <w:numFmt w:val="bullet"/>
        <w:pStyle w:val="Bullet3"/>
        <w:lvlText w:val="»"/>
        <w:lvlJc w:val="left"/>
        <w:pPr>
          <w:ind w:left="1704" w:hanging="284"/>
        </w:pPr>
        <w:rPr>
          <w:rFonts w:ascii="Arial" w:hAnsi="Arial" w:hint="default"/>
          <w:color w:val="85367B"/>
        </w:rPr>
      </w:lvl>
    </w:lvlOverride>
  </w:num>
  <w:num w:numId="35" w16cid:durableId="1100298633">
    <w:abstractNumId w:val="12"/>
  </w:num>
  <w:num w:numId="36" w16cid:durableId="1626277438">
    <w:abstractNumId w:val="17"/>
  </w:num>
  <w:num w:numId="37" w16cid:durableId="934436820">
    <w:abstractNumId w:val="16"/>
  </w:num>
  <w:num w:numId="38" w16cid:durableId="1573812368">
    <w:abstractNumId w:val="26"/>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9" w16cid:durableId="858350616">
    <w:abstractNumId w:val="2"/>
  </w:num>
  <w:num w:numId="40" w16cid:durableId="1826435371">
    <w:abstractNumId w:val="0"/>
  </w:num>
  <w:num w:numId="41" w16cid:durableId="539509799">
    <w:abstractNumId w:val="14"/>
  </w:num>
  <w:num w:numId="42" w16cid:durableId="801044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37434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5098818">
    <w:abstractNumId w:val="2"/>
  </w:num>
  <w:num w:numId="45" w16cid:durableId="882908645">
    <w:abstractNumId w:val="3"/>
  </w:num>
  <w:num w:numId="46" w16cid:durableId="576864182">
    <w:abstractNumId w:val="2"/>
  </w:num>
  <w:num w:numId="47" w16cid:durableId="570316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E0"/>
    <w:rsid w:val="00000113"/>
    <w:rsid w:val="000018B7"/>
    <w:rsid w:val="000069E4"/>
    <w:rsid w:val="0001097D"/>
    <w:rsid w:val="000122FE"/>
    <w:rsid w:val="00012B75"/>
    <w:rsid w:val="000165B7"/>
    <w:rsid w:val="00016772"/>
    <w:rsid w:val="00017745"/>
    <w:rsid w:val="0002260F"/>
    <w:rsid w:val="000311A4"/>
    <w:rsid w:val="00033C43"/>
    <w:rsid w:val="00043D08"/>
    <w:rsid w:val="000450D2"/>
    <w:rsid w:val="00045129"/>
    <w:rsid w:val="000454EC"/>
    <w:rsid w:val="000472E9"/>
    <w:rsid w:val="00050890"/>
    <w:rsid w:val="00051C3A"/>
    <w:rsid w:val="000553F1"/>
    <w:rsid w:val="00055716"/>
    <w:rsid w:val="00056221"/>
    <w:rsid w:val="00060077"/>
    <w:rsid w:val="0006297B"/>
    <w:rsid w:val="00063E4B"/>
    <w:rsid w:val="00063E8A"/>
    <w:rsid w:val="00066D87"/>
    <w:rsid w:val="00067319"/>
    <w:rsid w:val="00067402"/>
    <w:rsid w:val="00067C39"/>
    <w:rsid w:val="00067F97"/>
    <w:rsid w:val="00071D0C"/>
    <w:rsid w:val="0007347E"/>
    <w:rsid w:val="00075CA5"/>
    <w:rsid w:val="0007765C"/>
    <w:rsid w:val="00077B89"/>
    <w:rsid w:val="00080615"/>
    <w:rsid w:val="0008321A"/>
    <w:rsid w:val="00083DEF"/>
    <w:rsid w:val="00085D2B"/>
    <w:rsid w:val="00086174"/>
    <w:rsid w:val="00086F55"/>
    <w:rsid w:val="00087937"/>
    <w:rsid w:val="00093B27"/>
    <w:rsid w:val="000955D8"/>
    <w:rsid w:val="00095C2F"/>
    <w:rsid w:val="000A03F4"/>
    <w:rsid w:val="000A36A7"/>
    <w:rsid w:val="000A6427"/>
    <w:rsid w:val="000A6537"/>
    <w:rsid w:val="000A694B"/>
    <w:rsid w:val="000A7AF3"/>
    <w:rsid w:val="000B277A"/>
    <w:rsid w:val="000B6989"/>
    <w:rsid w:val="000C210B"/>
    <w:rsid w:val="000C252F"/>
    <w:rsid w:val="000C26FF"/>
    <w:rsid w:val="000C7680"/>
    <w:rsid w:val="000E2720"/>
    <w:rsid w:val="000E3F4B"/>
    <w:rsid w:val="000E4043"/>
    <w:rsid w:val="000F02C3"/>
    <w:rsid w:val="000F1391"/>
    <w:rsid w:val="000F2E5D"/>
    <w:rsid w:val="000F36D3"/>
    <w:rsid w:val="000F3A54"/>
    <w:rsid w:val="000F48FC"/>
    <w:rsid w:val="000F67FB"/>
    <w:rsid w:val="001014CF"/>
    <w:rsid w:val="00117C8D"/>
    <w:rsid w:val="0012402E"/>
    <w:rsid w:val="0012460F"/>
    <w:rsid w:val="00126D27"/>
    <w:rsid w:val="00127BA7"/>
    <w:rsid w:val="0013090C"/>
    <w:rsid w:val="0013691F"/>
    <w:rsid w:val="00137987"/>
    <w:rsid w:val="00142222"/>
    <w:rsid w:val="00144CAA"/>
    <w:rsid w:val="00153907"/>
    <w:rsid w:val="001545C3"/>
    <w:rsid w:val="00155059"/>
    <w:rsid w:val="001551AE"/>
    <w:rsid w:val="001567C9"/>
    <w:rsid w:val="0016046D"/>
    <w:rsid w:val="00162B3F"/>
    <w:rsid w:val="001733C1"/>
    <w:rsid w:val="001749C0"/>
    <w:rsid w:val="00175FC0"/>
    <w:rsid w:val="0017611F"/>
    <w:rsid w:val="00176529"/>
    <w:rsid w:val="00177105"/>
    <w:rsid w:val="00177116"/>
    <w:rsid w:val="00180D7A"/>
    <w:rsid w:val="00182709"/>
    <w:rsid w:val="001845C1"/>
    <w:rsid w:val="00184EDE"/>
    <w:rsid w:val="00185972"/>
    <w:rsid w:val="00185C4D"/>
    <w:rsid w:val="00192E80"/>
    <w:rsid w:val="001941E6"/>
    <w:rsid w:val="00195CAF"/>
    <w:rsid w:val="0019706C"/>
    <w:rsid w:val="001A142B"/>
    <w:rsid w:val="001A3EDA"/>
    <w:rsid w:val="001A4779"/>
    <w:rsid w:val="001A634F"/>
    <w:rsid w:val="001A7DAA"/>
    <w:rsid w:val="001B28E6"/>
    <w:rsid w:val="001B35BB"/>
    <w:rsid w:val="001B77D1"/>
    <w:rsid w:val="001C0114"/>
    <w:rsid w:val="001C09E6"/>
    <w:rsid w:val="001C18C7"/>
    <w:rsid w:val="001C214E"/>
    <w:rsid w:val="001C259F"/>
    <w:rsid w:val="001C7B21"/>
    <w:rsid w:val="001D41E1"/>
    <w:rsid w:val="001D54D3"/>
    <w:rsid w:val="001E025F"/>
    <w:rsid w:val="001E513F"/>
    <w:rsid w:val="001E6A7B"/>
    <w:rsid w:val="001E73B5"/>
    <w:rsid w:val="001E796D"/>
    <w:rsid w:val="001F0617"/>
    <w:rsid w:val="001F0A7C"/>
    <w:rsid w:val="001F2F27"/>
    <w:rsid w:val="001F3585"/>
    <w:rsid w:val="001F5175"/>
    <w:rsid w:val="001F5B96"/>
    <w:rsid w:val="00201052"/>
    <w:rsid w:val="00203DB7"/>
    <w:rsid w:val="00214DD9"/>
    <w:rsid w:val="00220BFF"/>
    <w:rsid w:val="002212E1"/>
    <w:rsid w:val="00221302"/>
    <w:rsid w:val="00224BF7"/>
    <w:rsid w:val="00225AD5"/>
    <w:rsid w:val="00225D3B"/>
    <w:rsid w:val="00226234"/>
    <w:rsid w:val="00227C50"/>
    <w:rsid w:val="00231AAC"/>
    <w:rsid w:val="002430D2"/>
    <w:rsid w:val="00244D2D"/>
    <w:rsid w:val="0025198E"/>
    <w:rsid w:val="00257E51"/>
    <w:rsid w:val="0026002A"/>
    <w:rsid w:val="002651DC"/>
    <w:rsid w:val="00267134"/>
    <w:rsid w:val="00271153"/>
    <w:rsid w:val="002757E4"/>
    <w:rsid w:val="002804D3"/>
    <w:rsid w:val="00280CD6"/>
    <w:rsid w:val="00281066"/>
    <w:rsid w:val="00283628"/>
    <w:rsid w:val="00287D33"/>
    <w:rsid w:val="00287DF1"/>
    <w:rsid w:val="002900E7"/>
    <w:rsid w:val="00292495"/>
    <w:rsid w:val="00294653"/>
    <w:rsid w:val="00295800"/>
    <w:rsid w:val="00295970"/>
    <w:rsid w:val="0029661C"/>
    <w:rsid w:val="00296EFA"/>
    <w:rsid w:val="002A5957"/>
    <w:rsid w:val="002A5FDF"/>
    <w:rsid w:val="002A71A4"/>
    <w:rsid w:val="002B276C"/>
    <w:rsid w:val="002B2D86"/>
    <w:rsid w:val="002B51D2"/>
    <w:rsid w:val="002B53C6"/>
    <w:rsid w:val="002B5CCA"/>
    <w:rsid w:val="002B6602"/>
    <w:rsid w:val="002C0E3D"/>
    <w:rsid w:val="002C1161"/>
    <w:rsid w:val="002C4ADD"/>
    <w:rsid w:val="002C6206"/>
    <w:rsid w:val="002D1741"/>
    <w:rsid w:val="002D27D9"/>
    <w:rsid w:val="002E17E3"/>
    <w:rsid w:val="002E2EFB"/>
    <w:rsid w:val="002E2FE5"/>
    <w:rsid w:val="002E3123"/>
    <w:rsid w:val="002E4693"/>
    <w:rsid w:val="002E5115"/>
    <w:rsid w:val="002F742D"/>
    <w:rsid w:val="0030001C"/>
    <w:rsid w:val="00301739"/>
    <w:rsid w:val="00302698"/>
    <w:rsid w:val="00302F3A"/>
    <w:rsid w:val="003053C3"/>
    <w:rsid w:val="00320378"/>
    <w:rsid w:val="00321C3C"/>
    <w:rsid w:val="003256C4"/>
    <w:rsid w:val="003269A8"/>
    <w:rsid w:val="00327D34"/>
    <w:rsid w:val="00330A55"/>
    <w:rsid w:val="00333D1F"/>
    <w:rsid w:val="00344589"/>
    <w:rsid w:val="003449A0"/>
    <w:rsid w:val="00345BFC"/>
    <w:rsid w:val="00351D89"/>
    <w:rsid w:val="003535F2"/>
    <w:rsid w:val="00362AB6"/>
    <w:rsid w:val="0036661D"/>
    <w:rsid w:val="003701EC"/>
    <w:rsid w:val="00370949"/>
    <w:rsid w:val="00375337"/>
    <w:rsid w:val="00375579"/>
    <w:rsid w:val="00380057"/>
    <w:rsid w:val="00380146"/>
    <w:rsid w:val="00380881"/>
    <w:rsid w:val="00392A60"/>
    <w:rsid w:val="00393E7C"/>
    <w:rsid w:val="00396578"/>
    <w:rsid w:val="003A0A08"/>
    <w:rsid w:val="003A426E"/>
    <w:rsid w:val="003A5DA4"/>
    <w:rsid w:val="003A6BC8"/>
    <w:rsid w:val="003B0225"/>
    <w:rsid w:val="003B4FBA"/>
    <w:rsid w:val="003B5575"/>
    <w:rsid w:val="003B700C"/>
    <w:rsid w:val="003C09C4"/>
    <w:rsid w:val="003C3381"/>
    <w:rsid w:val="003C6DD1"/>
    <w:rsid w:val="003C779A"/>
    <w:rsid w:val="003D4CC2"/>
    <w:rsid w:val="003D6185"/>
    <w:rsid w:val="003D66BD"/>
    <w:rsid w:val="003E39E6"/>
    <w:rsid w:val="003E3E69"/>
    <w:rsid w:val="003F0C29"/>
    <w:rsid w:val="003F1053"/>
    <w:rsid w:val="003F29B8"/>
    <w:rsid w:val="003F3C4D"/>
    <w:rsid w:val="003F5F27"/>
    <w:rsid w:val="003F5FA8"/>
    <w:rsid w:val="00400CCA"/>
    <w:rsid w:val="0040104F"/>
    <w:rsid w:val="0040426A"/>
    <w:rsid w:val="00412EBD"/>
    <w:rsid w:val="004154E2"/>
    <w:rsid w:val="0041626A"/>
    <w:rsid w:val="004165DE"/>
    <w:rsid w:val="00421F58"/>
    <w:rsid w:val="0042245C"/>
    <w:rsid w:val="00423CAF"/>
    <w:rsid w:val="00430BBA"/>
    <w:rsid w:val="00433B7F"/>
    <w:rsid w:val="004403E0"/>
    <w:rsid w:val="00443241"/>
    <w:rsid w:val="00445A6A"/>
    <w:rsid w:val="00446DFD"/>
    <w:rsid w:val="00451579"/>
    <w:rsid w:val="004542D7"/>
    <w:rsid w:val="004642FB"/>
    <w:rsid w:val="00464A2C"/>
    <w:rsid w:val="00466B3D"/>
    <w:rsid w:val="0046701B"/>
    <w:rsid w:val="00470C41"/>
    <w:rsid w:val="00474406"/>
    <w:rsid w:val="00476103"/>
    <w:rsid w:val="004765DD"/>
    <w:rsid w:val="004801A0"/>
    <w:rsid w:val="00481377"/>
    <w:rsid w:val="004831B1"/>
    <w:rsid w:val="00485F31"/>
    <w:rsid w:val="00486CCA"/>
    <w:rsid w:val="00487913"/>
    <w:rsid w:val="00493850"/>
    <w:rsid w:val="00496904"/>
    <w:rsid w:val="004A37B5"/>
    <w:rsid w:val="004A4B77"/>
    <w:rsid w:val="004A5FEB"/>
    <w:rsid w:val="004A6D39"/>
    <w:rsid w:val="004A7B0F"/>
    <w:rsid w:val="004B1244"/>
    <w:rsid w:val="004B2380"/>
    <w:rsid w:val="004B34D0"/>
    <w:rsid w:val="004C1060"/>
    <w:rsid w:val="004C5219"/>
    <w:rsid w:val="004D1945"/>
    <w:rsid w:val="004D26DC"/>
    <w:rsid w:val="004D2745"/>
    <w:rsid w:val="004D28FD"/>
    <w:rsid w:val="004D4273"/>
    <w:rsid w:val="004D6D67"/>
    <w:rsid w:val="004E2576"/>
    <w:rsid w:val="004E4788"/>
    <w:rsid w:val="004E78E6"/>
    <w:rsid w:val="004F1EE5"/>
    <w:rsid w:val="004F5777"/>
    <w:rsid w:val="00500AC9"/>
    <w:rsid w:val="00501443"/>
    <w:rsid w:val="00502B65"/>
    <w:rsid w:val="005059D1"/>
    <w:rsid w:val="00506511"/>
    <w:rsid w:val="005116A8"/>
    <w:rsid w:val="00511855"/>
    <w:rsid w:val="00513659"/>
    <w:rsid w:val="00515033"/>
    <w:rsid w:val="005166F1"/>
    <w:rsid w:val="0051780D"/>
    <w:rsid w:val="0052686A"/>
    <w:rsid w:val="0052795B"/>
    <w:rsid w:val="0053178E"/>
    <w:rsid w:val="00534D53"/>
    <w:rsid w:val="0054324B"/>
    <w:rsid w:val="00547371"/>
    <w:rsid w:val="00547C9B"/>
    <w:rsid w:val="00550433"/>
    <w:rsid w:val="0055289A"/>
    <w:rsid w:val="005535BD"/>
    <w:rsid w:val="00554333"/>
    <w:rsid w:val="00557111"/>
    <w:rsid w:val="00557A2E"/>
    <w:rsid w:val="00557B94"/>
    <w:rsid w:val="00557B9C"/>
    <w:rsid w:val="00557D41"/>
    <w:rsid w:val="00561573"/>
    <w:rsid w:val="005624F9"/>
    <w:rsid w:val="00565714"/>
    <w:rsid w:val="005658A9"/>
    <w:rsid w:val="0057679A"/>
    <w:rsid w:val="00581A2B"/>
    <w:rsid w:val="00582144"/>
    <w:rsid w:val="00586536"/>
    <w:rsid w:val="00587722"/>
    <w:rsid w:val="00591231"/>
    <w:rsid w:val="005913B7"/>
    <w:rsid w:val="00593EE9"/>
    <w:rsid w:val="0059438B"/>
    <w:rsid w:val="00594C9C"/>
    <w:rsid w:val="00595083"/>
    <w:rsid w:val="00595DE4"/>
    <w:rsid w:val="005967EE"/>
    <w:rsid w:val="00597431"/>
    <w:rsid w:val="005B0534"/>
    <w:rsid w:val="005B053D"/>
    <w:rsid w:val="005B05BE"/>
    <w:rsid w:val="005B08E1"/>
    <w:rsid w:val="005B098E"/>
    <w:rsid w:val="005B13D2"/>
    <w:rsid w:val="005B2E74"/>
    <w:rsid w:val="005B30D7"/>
    <w:rsid w:val="005B6093"/>
    <w:rsid w:val="005B71F3"/>
    <w:rsid w:val="005B7DAF"/>
    <w:rsid w:val="005C0378"/>
    <w:rsid w:val="005C2592"/>
    <w:rsid w:val="005C6D74"/>
    <w:rsid w:val="005D477C"/>
    <w:rsid w:val="005D51AB"/>
    <w:rsid w:val="005E3C76"/>
    <w:rsid w:val="005E63B4"/>
    <w:rsid w:val="005E6505"/>
    <w:rsid w:val="005F0B41"/>
    <w:rsid w:val="005F10D3"/>
    <w:rsid w:val="005F3002"/>
    <w:rsid w:val="00601484"/>
    <w:rsid w:val="00602C44"/>
    <w:rsid w:val="006166B7"/>
    <w:rsid w:val="0062136E"/>
    <w:rsid w:val="00625854"/>
    <w:rsid w:val="00633779"/>
    <w:rsid w:val="0064011F"/>
    <w:rsid w:val="00641D84"/>
    <w:rsid w:val="00642C1A"/>
    <w:rsid w:val="006438E1"/>
    <w:rsid w:val="006468A6"/>
    <w:rsid w:val="00647FD2"/>
    <w:rsid w:val="00650585"/>
    <w:rsid w:val="00651348"/>
    <w:rsid w:val="00652C6A"/>
    <w:rsid w:val="00657E8B"/>
    <w:rsid w:val="00663224"/>
    <w:rsid w:val="006672E7"/>
    <w:rsid w:val="00672789"/>
    <w:rsid w:val="006732F7"/>
    <w:rsid w:val="00680A20"/>
    <w:rsid w:val="00680F04"/>
    <w:rsid w:val="00682013"/>
    <w:rsid w:val="00685A91"/>
    <w:rsid w:val="0068714D"/>
    <w:rsid w:val="0069035E"/>
    <w:rsid w:val="0069037B"/>
    <w:rsid w:val="006945B1"/>
    <w:rsid w:val="006945DA"/>
    <w:rsid w:val="0069524C"/>
    <w:rsid w:val="00697FA7"/>
    <w:rsid w:val="006A0BED"/>
    <w:rsid w:val="006A1C61"/>
    <w:rsid w:val="006A247E"/>
    <w:rsid w:val="006A3E39"/>
    <w:rsid w:val="006A7AEC"/>
    <w:rsid w:val="006A7E4E"/>
    <w:rsid w:val="006B0FA2"/>
    <w:rsid w:val="006B1B2F"/>
    <w:rsid w:val="006B1ED1"/>
    <w:rsid w:val="006B31EE"/>
    <w:rsid w:val="006B65A6"/>
    <w:rsid w:val="006D13AF"/>
    <w:rsid w:val="006D2104"/>
    <w:rsid w:val="006D6D91"/>
    <w:rsid w:val="006D70BB"/>
    <w:rsid w:val="006E07A2"/>
    <w:rsid w:val="006E10BD"/>
    <w:rsid w:val="006E11AF"/>
    <w:rsid w:val="006E3895"/>
    <w:rsid w:val="006F06FB"/>
    <w:rsid w:val="006F135A"/>
    <w:rsid w:val="006F2384"/>
    <w:rsid w:val="006F3A62"/>
    <w:rsid w:val="006F633D"/>
    <w:rsid w:val="006F6CD7"/>
    <w:rsid w:val="0070739C"/>
    <w:rsid w:val="00716F34"/>
    <w:rsid w:val="00720454"/>
    <w:rsid w:val="00720DA0"/>
    <w:rsid w:val="00721595"/>
    <w:rsid w:val="00723356"/>
    <w:rsid w:val="00723D63"/>
    <w:rsid w:val="0072673B"/>
    <w:rsid w:val="00727547"/>
    <w:rsid w:val="007335F8"/>
    <w:rsid w:val="00733A94"/>
    <w:rsid w:val="00736508"/>
    <w:rsid w:val="00740385"/>
    <w:rsid w:val="0074167D"/>
    <w:rsid w:val="00743820"/>
    <w:rsid w:val="007519E5"/>
    <w:rsid w:val="00752731"/>
    <w:rsid w:val="007529FD"/>
    <w:rsid w:val="007532F1"/>
    <w:rsid w:val="007605A6"/>
    <w:rsid w:val="007607A8"/>
    <w:rsid w:val="00764DB4"/>
    <w:rsid w:val="00766846"/>
    <w:rsid w:val="00773D09"/>
    <w:rsid w:val="00773D5C"/>
    <w:rsid w:val="00775769"/>
    <w:rsid w:val="007778B4"/>
    <w:rsid w:val="00780BC6"/>
    <w:rsid w:val="00780DFD"/>
    <w:rsid w:val="0078103B"/>
    <w:rsid w:val="00781343"/>
    <w:rsid w:val="00786767"/>
    <w:rsid w:val="00794254"/>
    <w:rsid w:val="00795EB3"/>
    <w:rsid w:val="007A36D4"/>
    <w:rsid w:val="007A621C"/>
    <w:rsid w:val="007A65A2"/>
    <w:rsid w:val="007A6990"/>
    <w:rsid w:val="007B13FE"/>
    <w:rsid w:val="007B2873"/>
    <w:rsid w:val="007B3FB0"/>
    <w:rsid w:val="007B4234"/>
    <w:rsid w:val="007B5969"/>
    <w:rsid w:val="007C0D44"/>
    <w:rsid w:val="007C16B9"/>
    <w:rsid w:val="007C2B59"/>
    <w:rsid w:val="007C7B28"/>
    <w:rsid w:val="007D18E2"/>
    <w:rsid w:val="007D400D"/>
    <w:rsid w:val="007D7285"/>
    <w:rsid w:val="007E1D3C"/>
    <w:rsid w:val="007F212D"/>
    <w:rsid w:val="007F21A7"/>
    <w:rsid w:val="007F5585"/>
    <w:rsid w:val="007F55D9"/>
    <w:rsid w:val="007F70F0"/>
    <w:rsid w:val="007F7691"/>
    <w:rsid w:val="008030D7"/>
    <w:rsid w:val="008035AF"/>
    <w:rsid w:val="00806409"/>
    <w:rsid w:val="00812D37"/>
    <w:rsid w:val="00813AFF"/>
    <w:rsid w:val="008156B5"/>
    <w:rsid w:val="00817DE4"/>
    <w:rsid w:val="0082052A"/>
    <w:rsid w:val="008205CE"/>
    <w:rsid w:val="00826224"/>
    <w:rsid w:val="00827F79"/>
    <w:rsid w:val="00832A67"/>
    <w:rsid w:val="0084011D"/>
    <w:rsid w:val="00841750"/>
    <w:rsid w:val="00841C9D"/>
    <w:rsid w:val="008472FE"/>
    <w:rsid w:val="008477B8"/>
    <w:rsid w:val="00854655"/>
    <w:rsid w:val="00856140"/>
    <w:rsid w:val="00856579"/>
    <w:rsid w:val="00856AA0"/>
    <w:rsid w:val="00861764"/>
    <w:rsid w:val="008621E7"/>
    <w:rsid w:val="0086333D"/>
    <w:rsid w:val="00872DD0"/>
    <w:rsid w:val="00872F0B"/>
    <w:rsid w:val="00872FE1"/>
    <w:rsid w:val="00877982"/>
    <w:rsid w:val="00882024"/>
    <w:rsid w:val="00882E07"/>
    <w:rsid w:val="008874DE"/>
    <w:rsid w:val="00891CD4"/>
    <w:rsid w:val="00892656"/>
    <w:rsid w:val="008A0AF1"/>
    <w:rsid w:val="008A1073"/>
    <w:rsid w:val="008A25A2"/>
    <w:rsid w:val="008A649A"/>
    <w:rsid w:val="008A764F"/>
    <w:rsid w:val="008B029C"/>
    <w:rsid w:val="008B10FF"/>
    <w:rsid w:val="008B2540"/>
    <w:rsid w:val="008B2855"/>
    <w:rsid w:val="008B6D47"/>
    <w:rsid w:val="008B6D75"/>
    <w:rsid w:val="008B7938"/>
    <w:rsid w:val="008B7ABC"/>
    <w:rsid w:val="008B7D3A"/>
    <w:rsid w:val="008C2DAC"/>
    <w:rsid w:val="008C54E1"/>
    <w:rsid w:val="008C5E3A"/>
    <w:rsid w:val="008D26B2"/>
    <w:rsid w:val="008E0E0D"/>
    <w:rsid w:val="008E18A8"/>
    <w:rsid w:val="008E21DE"/>
    <w:rsid w:val="008E72F0"/>
    <w:rsid w:val="008F07B6"/>
    <w:rsid w:val="008F1EB5"/>
    <w:rsid w:val="008F5152"/>
    <w:rsid w:val="009043FB"/>
    <w:rsid w:val="00906A9A"/>
    <w:rsid w:val="00910355"/>
    <w:rsid w:val="009148A4"/>
    <w:rsid w:val="0092679E"/>
    <w:rsid w:val="00930424"/>
    <w:rsid w:val="009312FB"/>
    <w:rsid w:val="0093577A"/>
    <w:rsid w:val="0093603E"/>
    <w:rsid w:val="0093781D"/>
    <w:rsid w:val="00937DB5"/>
    <w:rsid w:val="00940128"/>
    <w:rsid w:val="0094074C"/>
    <w:rsid w:val="00940BD5"/>
    <w:rsid w:val="00944ED0"/>
    <w:rsid w:val="00945D5F"/>
    <w:rsid w:val="009468B5"/>
    <w:rsid w:val="009522DE"/>
    <w:rsid w:val="009539C8"/>
    <w:rsid w:val="0095422C"/>
    <w:rsid w:val="00954B2F"/>
    <w:rsid w:val="00956AFB"/>
    <w:rsid w:val="00957F70"/>
    <w:rsid w:val="0096070D"/>
    <w:rsid w:val="009617DC"/>
    <w:rsid w:val="00962F6B"/>
    <w:rsid w:val="009634C7"/>
    <w:rsid w:val="0096354A"/>
    <w:rsid w:val="009651A4"/>
    <w:rsid w:val="00973A75"/>
    <w:rsid w:val="00981405"/>
    <w:rsid w:val="009815B5"/>
    <w:rsid w:val="00981F08"/>
    <w:rsid w:val="00985A99"/>
    <w:rsid w:val="00986F56"/>
    <w:rsid w:val="00990A3E"/>
    <w:rsid w:val="0099399F"/>
    <w:rsid w:val="009955FC"/>
    <w:rsid w:val="00997D1B"/>
    <w:rsid w:val="009A146B"/>
    <w:rsid w:val="009A1972"/>
    <w:rsid w:val="009A4003"/>
    <w:rsid w:val="009A7705"/>
    <w:rsid w:val="009B36E2"/>
    <w:rsid w:val="009B42A3"/>
    <w:rsid w:val="009B463E"/>
    <w:rsid w:val="009B6600"/>
    <w:rsid w:val="009C2D8E"/>
    <w:rsid w:val="009C2EB2"/>
    <w:rsid w:val="009C35DF"/>
    <w:rsid w:val="009C53EF"/>
    <w:rsid w:val="009C621B"/>
    <w:rsid w:val="009C723E"/>
    <w:rsid w:val="009D06E2"/>
    <w:rsid w:val="009D15C9"/>
    <w:rsid w:val="009D2FFE"/>
    <w:rsid w:val="009D4C1D"/>
    <w:rsid w:val="009D4E03"/>
    <w:rsid w:val="009D5ADC"/>
    <w:rsid w:val="009E427A"/>
    <w:rsid w:val="009E68DA"/>
    <w:rsid w:val="009E75D6"/>
    <w:rsid w:val="009F3A14"/>
    <w:rsid w:val="009F3B22"/>
    <w:rsid w:val="009F4AE2"/>
    <w:rsid w:val="009F4EAA"/>
    <w:rsid w:val="009F6E30"/>
    <w:rsid w:val="00A0080F"/>
    <w:rsid w:val="00A04737"/>
    <w:rsid w:val="00A05975"/>
    <w:rsid w:val="00A076F7"/>
    <w:rsid w:val="00A07E4A"/>
    <w:rsid w:val="00A07E83"/>
    <w:rsid w:val="00A1136E"/>
    <w:rsid w:val="00A16D8B"/>
    <w:rsid w:val="00A20099"/>
    <w:rsid w:val="00A2057A"/>
    <w:rsid w:val="00A274C4"/>
    <w:rsid w:val="00A3039C"/>
    <w:rsid w:val="00A30CDA"/>
    <w:rsid w:val="00A317E0"/>
    <w:rsid w:val="00A33217"/>
    <w:rsid w:val="00A35751"/>
    <w:rsid w:val="00A35991"/>
    <w:rsid w:val="00A378FF"/>
    <w:rsid w:val="00A37BCB"/>
    <w:rsid w:val="00A40AF3"/>
    <w:rsid w:val="00A4491C"/>
    <w:rsid w:val="00A51CDE"/>
    <w:rsid w:val="00A52A6F"/>
    <w:rsid w:val="00A55595"/>
    <w:rsid w:val="00A60009"/>
    <w:rsid w:val="00A60053"/>
    <w:rsid w:val="00A60DC2"/>
    <w:rsid w:val="00A61A9D"/>
    <w:rsid w:val="00A72B9C"/>
    <w:rsid w:val="00A72D80"/>
    <w:rsid w:val="00A74F3A"/>
    <w:rsid w:val="00A7796C"/>
    <w:rsid w:val="00A8196B"/>
    <w:rsid w:val="00A84559"/>
    <w:rsid w:val="00A848B8"/>
    <w:rsid w:val="00A8742E"/>
    <w:rsid w:val="00A91BD3"/>
    <w:rsid w:val="00A923C4"/>
    <w:rsid w:val="00AA094B"/>
    <w:rsid w:val="00AA3C09"/>
    <w:rsid w:val="00AA493E"/>
    <w:rsid w:val="00AA68A4"/>
    <w:rsid w:val="00AB12D5"/>
    <w:rsid w:val="00AB2854"/>
    <w:rsid w:val="00AB324C"/>
    <w:rsid w:val="00AB748C"/>
    <w:rsid w:val="00AC1172"/>
    <w:rsid w:val="00AC71AC"/>
    <w:rsid w:val="00AD01FC"/>
    <w:rsid w:val="00AD0B5F"/>
    <w:rsid w:val="00AD225E"/>
    <w:rsid w:val="00AD735D"/>
    <w:rsid w:val="00AE21BB"/>
    <w:rsid w:val="00AE7035"/>
    <w:rsid w:val="00AE722E"/>
    <w:rsid w:val="00AE7258"/>
    <w:rsid w:val="00AF0899"/>
    <w:rsid w:val="00AF2361"/>
    <w:rsid w:val="00AF4510"/>
    <w:rsid w:val="00B03318"/>
    <w:rsid w:val="00B05A7E"/>
    <w:rsid w:val="00B0682A"/>
    <w:rsid w:val="00B10A33"/>
    <w:rsid w:val="00B137DB"/>
    <w:rsid w:val="00B17A52"/>
    <w:rsid w:val="00B248BF"/>
    <w:rsid w:val="00B3331C"/>
    <w:rsid w:val="00B33EAD"/>
    <w:rsid w:val="00B348E1"/>
    <w:rsid w:val="00B44E18"/>
    <w:rsid w:val="00B45E4A"/>
    <w:rsid w:val="00B52015"/>
    <w:rsid w:val="00B55068"/>
    <w:rsid w:val="00B572D8"/>
    <w:rsid w:val="00B603C0"/>
    <w:rsid w:val="00B60856"/>
    <w:rsid w:val="00B61794"/>
    <w:rsid w:val="00B624F3"/>
    <w:rsid w:val="00B627C4"/>
    <w:rsid w:val="00B6283B"/>
    <w:rsid w:val="00B66F1D"/>
    <w:rsid w:val="00B67B07"/>
    <w:rsid w:val="00B71B55"/>
    <w:rsid w:val="00B72150"/>
    <w:rsid w:val="00B83AB4"/>
    <w:rsid w:val="00B86780"/>
    <w:rsid w:val="00B9148A"/>
    <w:rsid w:val="00B915D1"/>
    <w:rsid w:val="00B91B0C"/>
    <w:rsid w:val="00BA2A5A"/>
    <w:rsid w:val="00BA476D"/>
    <w:rsid w:val="00BA4FF9"/>
    <w:rsid w:val="00BB532F"/>
    <w:rsid w:val="00BB7026"/>
    <w:rsid w:val="00BC3BA1"/>
    <w:rsid w:val="00BD147E"/>
    <w:rsid w:val="00BD6003"/>
    <w:rsid w:val="00BE2483"/>
    <w:rsid w:val="00C01023"/>
    <w:rsid w:val="00C0421C"/>
    <w:rsid w:val="00C10202"/>
    <w:rsid w:val="00C149EC"/>
    <w:rsid w:val="00C21944"/>
    <w:rsid w:val="00C2698C"/>
    <w:rsid w:val="00C307EA"/>
    <w:rsid w:val="00C32DC2"/>
    <w:rsid w:val="00C33CFC"/>
    <w:rsid w:val="00C3402E"/>
    <w:rsid w:val="00C34A5B"/>
    <w:rsid w:val="00C358F5"/>
    <w:rsid w:val="00C37168"/>
    <w:rsid w:val="00C40479"/>
    <w:rsid w:val="00C40F3F"/>
    <w:rsid w:val="00C41735"/>
    <w:rsid w:val="00C41B0A"/>
    <w:rsid w:val="00C44884"/>
    <w:rsid w:val="00C50E88"/>
    <w:rsid w:val="00C52C59"/>
    <w:rsid w:val="00C64EFB"/>
    <w:rsid w:val="00C67547"/>
    <w:rsid w:val="00C7062A"/>
    <w:rsid w:val="00C735AE"/>
    <w:rsid w:val="00C75670"/>
    <w:rsid w:val="00C757D4"/>
    <w:rsid w:val="00C80011"/>
    <w:rsid w:val="00C818D4"/>
    <w:rsid w:val="00C81AB0"/>
    <w:rsid w:val="00C81BEA"/>
    <w:rsid w:val="00C8203B"/>
    <w:rsid w:val="00C82374"/>
    <w:rsid w:val="00C84AB1"/>
    <w:rsid w:val="00C90DF2"/>
    <w:rsid w:val="00C914E9"/>
    <w:rsid w:val="00C95550"/>
    <w:rsid w:val="00CA57CC"/>
    <w:rsid w:val="00CA68DE"/>
    <w:rsid w:val="00CB5080"/>
    <w:rsid w:val="00CB5B5B"/>
    <w:rsid w:val="00CB64BD"/>
    <w:rsid w:val="00CC3CFE"/>
    <w:rsid w:val="00CC42AF"/>
    <w:rsid w:val="00CC4D1B"/>
    <w:rsid w:val="00CC7267"/>
    <w:rsid w:val="00CD258E"/>
    <w:rsid w:val="00CD47CA"/>
    <w:rsid w:val="00CD57AD"/>
    <w:rsid w:val="00CD5D3C"/>
    <w:rsid w:val="00CF2152"/>
    <w:rsid w:val="00CF5143"/>
    <w:rsid w:val="00CF65C8"/>
    <w:rsid w:val="00D00736"/>
    <w:rsid w:val="00D018DB"/>
    <w:rsid w:val="00D02DCB"/>
    <w:rsid w:val="00D07011"/>
    <w:rsid w:val="00D0724C"/>
    <w:rsid w:val="00D07D1B"/>
    <w:rsid w:val="00D10148"/>
    <w:rsid w:val="00D11C5D"/>
    <w:rsid w:val="00D14E62"/>
    <w:rsid w:val="00D235A4"/>
    <w:rsid w:val="00D23A31"/>
    <w:rsid w:val="00D26149"/>
    <w:rsid w:val="00D30759"/>
    <w:rsid w:val="00D35CEB"/>
    <w:rsid w:val="00D37591"/>
    <w:rsid w:val="00D37B77"/>
    <w:rsid w:val="00D421EF"/>
    <w:rsid w:val="00D43743"/>
    <w:rsid w:val="00D437FB"/>
    <w:rsid w:val="00D45DFC"/>
    <w:rsid w:val="00D72692"/>
    <w:rsid w:val="00D74CBC"/>
    <w:rsid w:val="00D760C5"/>
    <w:rsid w:val="00D777E0"/>
    <w:rsid w:val="00D77E87"/>
    <w:rsid w:val="00D807C4"/>
    <w:rsid w:val="00D82479"/>
    <w:rsid w:val="00D8676C"/>
    <w:rsid w:val="00D873A5"/>
    <w:rsid w:val="00D939ED"/>
    <w:rsid w:val="00D96DC7"/>
    <w:rsid w:val="00D9746F"/>
    <w:rsid w:val="00DA11D8"/>
    <w:rsid w:val="00DB0613"/>
    <w:rsid w:val="00DB2314"/>
    <w:rsid w:val="00DB5CCB"/>
    <w:rsid w:val="00DC158B"/>
    <w:rsid w:val="00DD0156"/>
    <w:rsid w:val="00DD2AF3"/>
    <w:rsid w:val="00DD4A51"/>
    <w:rsid w:val="00DD5E79"/>
    <w:rsid w:val="00DE0CF7"/>
    <w:rsid w:val="00DE2CD0"/>
    <w:rsid w:val="00DE53F2"/>
    <w:rsid w:val="00DE6686"/>
    <w:rsid w:val="00DE6834"/>
    <w:rsid w:val="00DE6F90"/>
    <w:rsid w:val="00DF3489"/>
    <w:rsid w:val="00DF377F"/>
    <w:rsid w:val="00DF3842"/>
    <w:rsid w:val="00DF596F"/>
    <w:rsid w:val="00DF5C8E"/>
    <w:rsid w:val="00DF74BA"/>
    <w:rsid w:val="00E0281D"/>
    <w:rsid w:val="00E0386F"/>
    <w:rsid w:val="00E03C45"/>
    <w:rsid w:val="00E10BF7"/>
    <w:rsid w:val="00E12BDB"/>
    <w:rsid w:val="00E16FFF"/>
    <w:rsid w:val="00E1723A"/>
    <w:rsid w:val="00E2019F"/>
    <w:rsid w:val="00E20DB8"/>
    <w:rsid w:val="00E21880"/>
    <w:rsid w:val="00E22756"/>
    <w:rsid w:val="00E243C4"/>
    <w:rsid w:val="00E2512E"/>
    <w:rsid w:val="00E260AC"/>
    <w:rsid w:val="00E26573"/>
    <w:rsid w:val="00E26AA0"/>
    <w:rsid w:val="00E34560"/>
    <w:rsid w:val="00E40290"/>
    <w:rsid w:val="00E40906"/>
    <w:rsid w:val="00E414FD"/>
    <w:rsid w:val="00E4279C"/>
    <w:rsid w:val="00E42F82"/>
    <w:rsid w:val="00E441F8"/>
    <w:rsid w:val="00E47E54"/>
    <w:rsid w:val="00E50503"/>
    <w:rsid w:val="00E51E6B"/>
    <w:rsid w:val="00E51EC5"/>
    <w:rsid w:val="00E54247"/>
    <w:rsid w:val="00E56432"/>
    <w:rsid w:val="00E56BBB"/>
    <w:rsid w:val="00E57C9A"/>
    <w:rsid w:val="00E60B92"/>
    <w:rsid w:val="00E61C3F"/>
    <w:rsid w:val="00E74336"/>
    <w:rsid w:val="00E75209"/>
    <w:rsid w:val="00E767BC"/>
    <w:rsid w:val="00E816D2"/>
    <w:rsid w:val="00E819CC"/>
    <w:rsid w:val="00E823EA"/>
    <w:rsid w:val="00E8346A"/>
    <w:rsid w:val="00E91316"/>
    <w:rsid w:val="00E93A26"/>
    <w:rsid w:val="00EA3549"/>
    <w:rsid w:val="00EA6BE8"/>
    <w:rsid w:val="00EB0DF1"/>
    <w:rsid w:val="00EB20B9"/>
    <w:rsid w:val="00EB65B0"/>
    <w:rsid w:val="00EB75CE"/>
    <w:rsid w:val="00EB7A8E"/>
    <w:rsid w:val="00EC2CDB"/>
    <w:rsid w:val="00EC3523"/>
    <w:rsid w:val="00EC4FAF"/>
    <w:rsid w:val="00ED0D46"/>
    <w:rsid w:val="00ED11B7"/>
    <w:rsid w:val="00ED2CA7"/>
    <w:rsid w:val="00ED3380"/>
    <w:rsid w:val="00ED33A3"/>
    <w:rsid w:val="00ED41C3"/>
    <w:rsid w:val="00ED644D"/>
    <w:rsid w:val="00ED679D"/>
    <w:rsid w:val="00ED6AFC"/>
    <w:rsid w:val="00EE0F3F"/>
    <w:rsid w:val="00EE1598"/>
    <w:rsid w:val="00EE3B79"/>
    <w:rsid w:val="00EE5224"/>
    <w:rsid w:val="00EE737C"/>
    <w:rsid w:val="00EE73FE"/>
    <w:rsid w:val="00EE7627"/>
    <w:rsid w:val="00EF1EAB"/>
    <w:rsid w:val="00EF2A4F"/>
    <w:rsid w:val="00EF48F1"/>
    <w:rsid w:val="00EF4AD9"/>
    <w:rsid w:val="00EF6BB8"/>
    <w:rsid w:val="00F00B76"/>
    <w:rsid w:val="00F01252"/>
    <w:rsid w:val="00F03F10"/>
    <w:rsid w:val="00F07EA7"/>
    <w:rsid w:val="00F20167"/>
    <w:rsid w:val="00F20934"/>
    <w:rsid w:val="00F2217C"/>
    <w:rsid w:val="00F233C2"/>
    <w:rsid w:val="00F30C16"/>
    <w:rsid w:val="00F30CB1"/>
    <w:rsid w:val="00F31A90"/>
    <w:rsid w:val="00F325CA"/>
    <w:rsid w:val="00F32A47"/>
    <w:rsid w:val="00F33CC9"/>
    <w:rsid w:val="00F36A0F"/>
    <w:rsid w:val="00F37962"/>
    <w:rsid w:val="00F41613"/>
    <w:rsid w:val="00F439C2"/>
    <w:rsid w:val="00F466B5"/>
    <w:rsid w:val="00F636FC"/>
    <w:rsid w:val="00F65243"/>
    <w:rsid w:val="00F66118"/>
    <w:rsid w:val="00F70B95"/>
    <w:rsid w:val="00F71B81"/>
    <w:rsid w:val="00F745FF"/>
    <w:rsid w:val="00F76AE5"/>
    <w:rsid w:val="00F81615"/>
    <w:rsid w:val="00F82539"/>
    <w:rsid w:val="00F9282A"/>
    <w:rsid w:val="00F92E89"/>
    <w:rsid w:val="00F9318C"/>
    <w:rsid w:val="00F935F7"/>
    <w:rsid w:val="00F93E54"/>
    <w:rsid w:val="00FA07FB"/>
    <w:rsid w:val="00FA3C1B"/>
    <w:rsid w:val="00FA5F16"/>
    <w:rsid w:val="00FC057F"/>
    <w:rsid w:val="00FC2B60"/>
    <w:rsid w:val="00FC3AE6"/>
    <w:rsid w:val="00FC5130"/>
    <w:rsid w:val="00FC7A5A"/>
    <w:rsid w:val="00FD12E1"/>
    <w:rsid w:val="00FD1333"/>
    <w:rsid w:val="00FD22A6"/>
    <w:rsid w:val="00FD66D7"/>
    <w:rsid w:val="00FE2F29"/>
    <w:rsid w:val="00FE33AC"/>
    <w:rsid w:val="00FE722A"/>
    <w:rsid w:val="00FE7241"/>
    <w:rsid w:val="00FF1ECE"/>
    <w:rsid w:val="00FF2691"/>
    <w:rsid w:val="00FF4C98"/>
    <w:rsid w:val="265788AC"/>
    <w:rsid w:val="446CEBB1"/>
    <w:rsid w:val="54D84B8C"/>
    <w:rsid w:val="5EF480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C28E3"/>
  <w15:chartTrackingRefBased/>
  <w15:docId w15:val="{B945B4E7-5D46-422E-B465-18C590B0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3C4"/>
    <w:pPr>
      <w:suppressAutoHyphens/>
      <w:spacing w:before="200" w:after="200" w:line="280" w:lineRule="atLeast"/>
    </w:pPr>
    <w:rPr>
      <w:rFonts w:ascii="Calibri" w:eastAsia="Calibri" w:hAnsi="Calibri" w:cs="Times New Roman"/>
      <w:color w:val="000000"/>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1C0114"/>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ind w:right="238"/>
    </w:pPr>
  </w:style>
  <w:style w:type="paragraph" w:customStyle="1" w:styleId="Boxed2Bullet">
    <w:name w:val="Boxed 2 Bullet"/>
    <w:basedOn w:val="Boxed2Text"/>
    <w:uiPriority w:val="32"/>
    <w:rsid w:val="001C0114"/>
    <w:pPr>
      <w:numPr>
        <w:ilvl w:val="1"/>
        <w:numId w:val="4"/>
      </w:numPr>
      <w:ind w:left="568" w:hanging="284"/>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F4C98"/>
    <w:pPr>
      <w:spacing w:before="0" w:after="480"/>
    </w:pPr>
    <w:rPr>
      <w:iCs/>
      <w:color w:val="auto"/>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ListParagraph-A">
    <w:name w:val="List Paragraph - A"/>
    <w:basedOn w:val="ListParagraph"/>
    <w:qFormat/>
    <w:rsid w:val="00F935F7"/>
    <w:pPr>
      <w:numPr>
        <w:numId w:val="37"/>
      </w:numPr>
      <w:spacing w:before="120" w:after="240"/>
      <w:contextualSpacing w:val="0"/>
    </w:pPr>
  </w:style>
  <w:style w:type="paragraph" w:styleId="ListParagraph">
    <w:name w:val="List Paragraph"/>
    <w:basedOn w:val="Normal"/>
    <w:uiPriority w:val="34"/>
    <w:semiHidden/>
    <w:unhideWhenUsed/>
    <w:qFormat/>
    <w:rsid w:val="00F935F7"/>
    <w:pPr>
      <w:ind w:left="720"/>
      <w:contextualSpacing/>
    </w:pPr>
  </w:style>
  <w:style w:type="paragraph" w:customStyle="1" w:styleId="Heading2-numbered">
    <w:name w:val="Heading 2 - numbered"/>
    <w:basedOn w:val="Heading2"/>
    <w:link w:val="Heading2-numberedChar"/>
    <w:qFormat/>
    <w:rsid w:val="00280CD6"/>
    <w:pPr>
      <w:numPr>
        <w:numId w:val="39"/>
      </w:numPr>
    </w:pPr>
    <w:rPr>
      <w:rFonts w:ascii="Calibri" w:eastAsia="Times New Roman" w:hAnsi="Calibri" w:cs="Times New Roman"/>
    </w:rPr>
  </w:style>
  <w:style w:type="character" w:customStyle="1" w:styleId="Heading2-numberedChar">
    <w:name w:val="Heading 2 - numbered Char"/>
    <w:basedOn w:val="Heading2Char"/>
    <w:link w:val="Heading2-numbered"/>
    <w:rsid w:val="00280CD6"/>
    <w:rPr>
      <w:rFonts w:ascii="Calibri" w:eastAsia="Times New Roman" w:hAnsi="Calibri" w:cs="Times New Roman"/>
      <w:b/>
      <w:color w:val="85367B"/>
      <w:sz w:val="34"/>
      <w:szCs w:val="34"/>
    </w:rPr>
  </w:style>
  <w:style w:type="character" w:styleId="CommentReference">
    <w:name w:val="annotation reference"/>
    <w:uiPriority w:val="99"/>
    <w:semiHidden/>
    <w:unhideWhenUsed/>
    <w:rsid w:val="00B86780"/>
    <w:rPr>
      <w:sz w:val="16"/>
      <w:szCs w:val="16"/>
    </w:rPr>
  </w:style>
  <w:style w:type="paragraph" w:styleId="CommentText">
    <w:name w:val="annotation text"/>
    <w:basedOn w:val="Normal"/>
    <w:link w:val="CommentTextChar"/>
    <w:uiPriority w:val="99"/>
    <w:unhideWhenUsed/>
    <w:rsid w:val="00B86780"/>
    <w:pPr>
      <w:spacing w:before="120" w:after="120" w:line="240" w:lineRule="auto"/>
    </w:pPr>
    <w:rPr>
      <w:sz w:val="20"/>
    </w:rPr>
  </w:style>
  <w:style w:type="character" w:customStyle="1" w:styleId="CommentTextChar">
    <w:name w:val="Comment Text Char"/>
    <w:basedOn w:val="DefaultParagraphFont"/>
    <w:link w:val="CommentText"/>
    <w:uiPriority w:val="99"/>
    <w:rsid w:val="00B86780"/>
    <w:rPr>
      <w:rFonts w:ascii="Calibri" w:eastAsia="Calibri" w:hAnsi="Calibri" w:cs="Times New Roman"/>
      <w:color w:val="000000"/>
    </w:rPr>
  </w:style>
  <w:style w:type="character" w:styleId="Mention">
    <w:name w:val="Mention"/>
    <w:basedOn w:val="DefaultParagraphFont"/>
    <w:uiPriority w:val="99"/>
    <w:unhideWhenUsed/>
    <w:rsid w:val="00B86780"/>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60053"/>
    <w:pPr>
      <w:spacing w:before="200" w:after="200"/>
    </w:pPr>
    <w:rPr>
      <w:b/>
      <w:bCs/>
    </w:rPr>
  </w:style>
  <w:style w:type="character" w:customStyle="1" w:styleId="CommentSubjectChar">
    <w:name w:val="Comment Subject Char"/>
    <w:basedOn w:val="CommentTextChar"/>
    <w:link w:val="CommentSubject"/>
    <w:uiPriority w:val="99"/>
    <w:semiHidden/>
    <w:rsid w:val="00A60053"/>
    <w:rPr>
      <w:rFonts w:ascii="Calibri" w:eastAsia="Calibri" w:hAnsi="Calibri" w:cs="Times New Roman"/>
      <w:b/>
      <w:bCs/>
      <w:color w:val="000000"/>
    </w:rPr>
  </w:style>
  <w:style w:type="paragraph" w:styleId="Revision">
    <w:name w:val="Revision"/>
    <w:hidden/>
    <w:uiPriority w:val="99"/>
    <w:semiHidden/>
    <w:rsid w:val="008472FE"/>
    <w:pPr>
      <w:spacing w:before="0" w:after="0"/>
    </w:pPr>
    <w:rPr>
      <w:rFonts w:ascii="Calibri" w:eastAsia="Calibri" w:hAnsi="Calibri"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234859">
      <w:bodyDiv w:val="1"/>
      <w:marLeft w:val="0"/>
      <w:marRight w:val="0"/>
      <w:marTop w:val="0"/>
      <w:marBottom w:val="0"/>
      <w:divBdr>
        <w:top w:val="none" w:sz="0" w:space="0" w:color="auto"/>
        <w:left w:val="none" w:sz="0" w:space="0" w:color="auto"/>
        <w:bottom w:val="none" w:sz="0" w:space="0" w:color="auto"/>
        <w:right w:val="none" w:sz="0" w:space="0" w:color="auto"/>
      </w:divBdr>
    </w:div>
    <w:div w:id="122159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socialservicesau-my.sharepoint.com/personal/caitlin_mcculloch_ndiscommission_gov_au/Documents/Documents/Documents/Complaints%20chart%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3" Type="http://schemas.openxmlformats.org/officeDocument/2006/relationships/oleObject" Target="https://socialservicesau-my.sharepoint.com/personal/caitlin_mcculloch_ndiscommission_gov_au/Documents/Documents/Documents/Complaints%20chart%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'[Complaints chart data.xlsx]Sheet3'!$H$1</c:f>
              <c:strCache>
                <c:ptCount val="1"/>
                <c:pt idx="0">
                  <c:v>% of total</c:v>
                </c:pt>
              </c:strCache>
            </c:strRef>
          </c:tx>
          <c:spPr>
            <a:solidFill>
              <a:schemeClr val="accent1"/>
            </a:solidFill>
            <a:ln w="57150">
              <a:noFill/>
            </a:ln>
            <a:effectLst/>
          </c:spPr>
          <c:invertIfNegative val="0"/>
          <c:dPt>
            <c:idx val="0"/>
            <c:invertIfNegative val="0"/>
            <c:bubble3D val="0"/>
            <c:spPr>
              <a:solidFill>
                <a:srgbClr val="612C69"/>
              </a:solidFill>
              <a:ln w="57150">
                <a:noFill/>
              </a:ln>
              <a:effectLst/>
            </c:spPr>
            <c:extLst>
              <c:ext xmlns:c16="http://schemas.microsoft.com/office/drawing/2014/chart" uri="{C3380CC4-5D6E-409C-BE32-E72D297353CC}">
                <c16:uniqueId val="{00000001-8AD3-40E5-B918-71C101C7BE4A}"/>
              </c:ext>
            </c:extLst>
          </c:dPt>
          <c:dPt>
            <c:idx val="1"/>
            <c:invertIfNegative val="0"/>
            <c:bubble3D val="0"/>
            <c:spPr>
              <a:solidFill>
                <a:srgbClr val="943C84"/>
              </a:solidFill>
              <a:ln w="57150">
                <a:noFill/>
              </a:ln>
              <a:effectLst/>
            </c:spPr>
            <c:extLst>
              <c:ext xmlns:c16="http://schemas.microsoft.com/office/drawing/2014/chart" uri="{C3380CC4-5D6E-409C-BE32-E72D297353CC}">
                <c16:uniqueId val="{00000003-8AD3-40E5-B918-71C101C7BE4A}"/>
              </c:ext>
            </c:extLst>
          </c:dPt>
          <c:dPt>
            <c:idx val="2"/>
            <c:invertIfNegative val="0"/>
            <c:bubble3D val="0"/>
            <c:spPr>
              <a:solidFill>
                <a:srgbClr val="943C84"/>
              </a:solidFill>
              <a:ln w="57150">
                <a:noFill/>
              </a:ln>
              <a:effectLst/>
            </c:spPr>
            <c:extLst>
              <c:ext xmlns:c16="http://schemas.microsoft.com/office/drawing/2014/chart" uri="{C3380CC4-5D6E-409C-BE32-E72D297353CC}">
                <c16:uniqueId val="{00000005-8AD3-40E5-B918-71C101C7BE4A}"/>
              </c:ext>
            </c:extLst>
          </c:dPt>
          <c:dPt>
            <c:idx val="4"/>
            <c:invertIfNegative val="0"/>
            <c:bubble3D val="0"/>
            <c:spPr>
              <a:solidFill>
                <a:srgbClr val="98C11D"/>
              </a:solidFill>
              <a:ln w="57150">
                <a:noFill/>
              </a:ln>
              <a:effectLst/>
            </c:spPr>
            <c:extLst>
              <c:ext xmlns:c16="http://schemas.microsoft.com/office/drawing/2014/chart" uri="{C3380CC4-5D6E-409C-BE32-E72D297353CC}">
                <c16:uniqueId val="{00000007-8AD3-40E5-B918-71C101C7BE4A}"/>
              </c:ext>
            </c:extLst>
          </c:dPt>
          <c:dPt>
            <c:idx val="5"/>
            <c:invertIfNegative val="0"/>
            <c:bubble3D val="0"/>
            <c:spPr>
              <a:solidFill>
                <a:srgbClr val="98C11D"/>
              </a:solidFill>
              <a:ln w="57150">
                <a:noFill/>
              </a:ln>
              <a:effectLst/>
            </c:spPr>
            <c:extLst>
              <c:ext xmlns:c16="http://schemas.microsoft.com/office/drawing/2014/chart" uri="{C3380CC4-5D6E-409C-BE32-E72D297353CC}">
                <c16:uniqueId val="{00000009-8AD3-40E5-B918-71C101C7BE4A}"/>
              </c:ext>
            </c:extLst>
          </c:dPt>
          <c:dPt>
            <c:idx val="6"/>
            <c:invertIfNegative val="0"/>
            <c:bubble3D val="0"/>
            <c:spPr>
              <a:solidFill>
                <a:srgbClr val="98C11D"/>
              </a:solidFill>
              <a:ln w="57150">
                <a:noFill/>
              </a:ln>
              <a:effectLst/>
            </c:spPr>
            <c:extLst>
              <c:ext xmlns:c16="http://schemas.microsoft.com/office/drawing/2014/chart" uri="{C3380CC4-5D6E-409C-BE32-E72D297353CC}">
                <c16:uniqueId val="{0000000B-8AD3-40E5-B918-71C101C7BE4A}"/>
              </c:ext>
            </c:extLst>
          </c:dPt>
          <c:dPt>
            <c:idx val="7"/>
            <c:invertIfNegative val="0"/>
            <c:bubble3D val="0"/>
            <c:spPr>
              <a:solidFill>
                <a:srgbClr val="275D3A"/>
              </a:solidFill>
              <a:ln w="57150">
                <a:noFill/>
              </a:ln>
              <a:effectLst/>
            </c:spPr>
            <c:extLst>
              <c:ext xmlns:c16="http://schemas.microsoft.com/office/drawing/2014/chart" uri="{C3380CC4-5D6E-409C-BE32-E72D297353CC}">
                <c16:uniqueId val="{0000000D-8AD3-40E5-B918-71C101C7BE4A}"/>
              </c:ext>
            </c:extLst>
          </c:dPt>
          <c:dPt>
            <c:idx val="8"/>
            <c:invertIfNegative val="0"/>
            <c:bubble3D val="0"/>
            <c:spPr>
              <a:solidFill>
                <a:srgbClr val="275D3A"/>
              </a:solidFill>
              <a:ln w="57150">
                <a:noFill/>
              </a:ln>
              <a:effectLst/>
            </c:spPr>
            <c:extLst>
              <c:ext xmlns:c16="http://schemas.microsoft.com/office/drawing/2014/chart" uri="{C3380CC4-5D6E-409C-BE32-E72D297353CC}">
                <c16:uniqueId val="{0000000F-8AD3-40E5-B918-71C101C7BE4A}"/>
              </c:ext>
            </c:extLst>
          </c:dPt>
          <c:dPt>
            <c:idx val="10"/>
            <c:invertIfNegative val="0"/>
            <c:bubble3D val="0"/>
            <c:spPr>
              <a:solidFill>
                <a:srgbClr val="137E43"/>
              </a:solidFill>
              <a:ln w="57150">
                <a:noFill/>
              </a:ln>
              <a:effectLst/>
            </c:spPr>
            <c:extLst>
              <c:ext xmlns:c16="http://schemas.microsoft.com/office/drawing/2014/chart" uri="{C3380CC4-5D6E-409C-BE32-E72D297353CC}">
                <c16:uniqueId val="{00000011-8AD3-40E5-B918-71C101C7BE4A}"/>
              </c:ext>
            </c:extLst>
          </c:dPt>
          <c:dPt>
            <c:idx val="11"/>
            <c:invertIfNegative val="0"/>
            <c:bubble3D val="0"/>
            <c:spPr>
              <a:solidFill>
                <a:srgbClr val="137E43"/>
              </a:solidFill>
              <a:ln w="57150">
                <a:noFill/>
              </a:ln>
              <a:effectLst/>
            </c:spPr>
            <c:extLst>
              <c:ext xmlns:c16="http://schemas.microsoft.com/office/drawing/2014/chart" uri="{C3380CC4-5D6E-409C-BE32-E72D297353CC}">
                <c16:uniqueId val="{00000013-8AD3-40E5-B918-71C101C7BE4A}"/>
              </c:ext>
            </c:extLst>
          </c:dPt>
          <c:dPt>
            <c:idx val="12"/>
            <c:invertIfNegative val="0"/>
            <c:bubble3D val="0"/>
            <c:spPr>
              <a:pattFill prst="pct10">
                <a:fgClr>
                  <a:schemeClr val="bg1"/>
                </a:fgClr>
                <a:bgClr>
                  <a:srgbClr val="612C69"/>
                </a:bgClr>
              </a:pattFill>
              <a:ln w="57150">
                <a:noFill/>
              </a:ln>
              <a:effectLst/>
            </c:spPr>
            <c:extLst>
              <c:ext xmlns:c16="http://schemas.microsoft.com/office/drawing/2014/chart" uri="{C3380CC4-5D6E-409C-BE32-E72D297353CC}">
                <c16:uniqueId val="{00000015-8AD3-40E5-B918-71C101C7BE4A}"/>
              </c:ext>
            </c:extLst>
          </c:dPt>
          <c:dPt>
            <c:idx val="14"/>
            <c:invertIfNegative val="0"/>
            <c:bubble3D val="0"/>
            <c:spPr>
              <a:pattFill prst="pct10">
                <a:fgClr>
                  <a:srgbClr val="137E43"/>
                </a:fgClr>
                <a:bgClr>
                  <a:schemeClr val="bg1"/>
                </a:bgClr>
              </a:pattFill>
              <a:ln w="57150">
                <a:noFill/>
              </a:ln>
              <a:effectLst/>
            </c:spPr>
            <c:extLst>
              <c:ext xmlns:c16="http://schemas.microsoft.com/office/drawing/2014/chart" uri="{C3380CC4-5D6E-409C-BE32-E72D297353CC}">
                <c16:uniqueId val="{00000017-8AD3-40E5-B918-71C101C7BE4A}"/>
              </c:ext>
            </c:extLst>
          </c:dPt>
          <c:dPt>
            <c:idx val="15"/>
            <c:invertIfNegative val="0"/>
            <c:bubble3D val="0"/>
            <c:spPr>
              <a:pattFill prst="ltVert">
                <a:fgClr>
                  <a:schemeClr val="bg1"/>
                </a:fgClr>
                <a:bgClr>
                  <a:srgbClr val="943C84"/>
                </a:bgClr>
              </a:pattFill>
              <a:ln w="57150">
                <a:noFill/>
              </a:ln>
              <a:effectLst/>
            </c:spPr>
            <c:extLst>
              <c:ext xmlns:c16="http://schemas.microsoft.com/office/drawing/2014/chart" uri="{C3380CC4-5D6E-409C-BE32-E72D297353CC}">
                <c16:uniqueId val="{00000019-8AD3-40E5-B918-71C101C7BE4A}"/>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[1]Sheet3!$F$2:$G$17</c:f>
              <c:multiLvlStrCache>
                <c:ptCount val="16"/>
                <c:lvl>
                  <c:pt idx="1">
                    <c:v>SIL, SDA </c:v>
                  </c:pt>
                  <c:pt idx="2">
                    <c:v>STA</c:v>
                  </c:pt>
                  <c:pt idx="3">
                    <c:v>ILO</c:v>
                  </c:pt>
                  <c:pt idx="4">
                    <c:v>Support 
coordination</c:v>
                  </c:pt>
                  <c:pt idx="5">
                    <c:v>Plan 
management</c:v>
                  </c:pt>
                  <c:pt idx="6">
                    <c:v>Recovery 
coach</c:v>
                  </c:pt>
                  <c:pt idx="7">
                    <c:v>Therapeutic 
supports</c:v>
                  </c:pt>
                  <c:pt idx="8">
                    <c:v>Behaviour 
support</c:v>
                  </c:pt>
                  <c:pt idx="9">
                    <c:v>Employment</c:v>
                  </c:pt>
                  <c:pt idx="10">
                    <c:v>Household 
maintenance</c:v>
                  </c:pt>
                  <c:pt idx="11">
                    <c:v>Building</c:v>
                  </c:pt>
                  <c:pt idx="12">
                    <c:v>Assistive 
technology</c:v>
                  </c:pt>
                  <c:pt idx="13">
                    <c:v>Consumables</c:v>
                  </c:pt>
                  <c:pt idx="14">
                    <c:v>Unknown</c:v>
                  </c:pt>
                  <c:pt idx="15">
                    <c:v>Other</c:v>
                  </c:pt>
                </c:lvl>
                <c:lvl>
                  <c:pt idx="0">
                    <c:v>Daily and
Community 
Supports
40%</c:v>
                  </c:pt>
                  <c:pt idx="1">
                    <c:v>Home and 
Living 
28%</c:v>
                  </c:pt>
                  <c:pt idx="4">
                    <c:v>Intermediaries
18%</c:v>
                  </c:pt>
                  <c:pt idx="7">
                    <c:v>Capacity 
Building
8%</c:v>
                  </c:pt>
                  <c:pt idx="10">
                    <c:v>Maintenance and 
Building
3%</c:v>
                  </c:pt>
                  <c:pt idx="12">
                    <c:v>Products
1%</c:v>
                  </c:pt>
                  <c:pt idx="14">
                    <c:v>Other 
2%</c:v>
                  </c:pt>
                </c:lvl>
              </c:multiLvlStrCache>
            </c:multiLvlStrRef>
          </c:cat>
          <c:val>
            <c:numRef>
              <c:f>[1]Sheet3!$H$2:$H$17</c:f>
              <c:numCache>
                <c:formatCode>0%</c:formatCode>
                <c:ptCount val="16"/>
                <c:pt idx="0">
                  <c:v>0.4</c:v>
                </c:pt>
                <c:pt idx="1">
                  <c:v>0.25</c:v>
                </c:pt>
                <c:pt idx="2">
                  <c:v>0.03</c:v>
                </c:pt>
                <c:pt idx="3">
                  <c:v>0</c:v>
                </c:pt>
                <c:pt idx="4">
                  <c:v>0.13</c:v>
                </c:pt>
                <c:pt idx="5">
                  <c:v>0.04</c:v>
                </c:pt>
                <c:pt idx="6">
                  <c:v>0.01</c:v>
                </c:pt>
                <c:pt idx="7">
                  <c:v>0.06</c:v>
                </c:pt>
                <c:pt idx="8">
                  <c:v>0.02</c:v>
                </c:pt>
                <c:pt idx="9">
                  <c:v>0</c:v>
                </c:pt>
                <c:pt idx="10">
                  <c:v>0.02</c:v>
                </c:pt>
                <c:pt idx="11">
                  <c:v>0.01</c:v>
                </c:pt>
                <c:pt idx="12">
                  <c:v>0.01</c:v>
                </c:pt>
                <c:pt idx="13">
                  <c:v>0</c:v>
                </c:pt>
                <c:pt idx="14">
                  <c:v>0.01</c:v>
                </c:pt>
                <c:pt idx="15">
                  <c:v>0.01</c:v>
                </c:pt>
              </c:numCache>
            </c:numRef>
          </c:val>
          <c:extLst>
            <c:ext xmlns:c16="http://schemas.microsoft.com/office/drawing/2014/chart" uri="{C3380CC4-5D6E-409C-BE32-E72D297353CC}">
              <c16:uniqueId val="{0000001A-8AD3-40E5-B918-71C101C7BE4A}"/>
            </c:ext>
          </c:extLst>
        </c:ser>
        <c:dLbls>
          <c:dLblPos val="outEnd"/>
          <c:showLegendKey val="0"/>
          <c:showVal val="1"/>
          <c:showCatName val="0"/>
          <c:showSerName val="0"/>
          <c:showPercent val="0"/>
          <c:showBubbleSize val="0"/>
        </c:dLbls>
        <c:gapWidth val="36"/>
        <c:overlap val="-28"/>
        <c:axId val="1145669176"/>
        <c:axId val="1145672056"/>
      </c:barChart>
      <c:catAx>
        <c:axId val="1145669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1145672056"/>
        <c:crosses val="autoZero"/>
        <c:auto val="1"/>
        <c:lblAlgn val="ctr"/>
        <c:lblOffset val="100"/>
        <c:noMultiLvlLbl val="0"/>
      </c:catAx>
      <c:valAx>
        <c:axId val="1145672056"/>
        <c:scaling>
          <c:orientation val="minMax"/>
        </c:scaling>
        <c:delete val="1"/>
        <c:axPos val="l"/>
        <c:numFmt formatCode="0%" sourceLinked="1"/>
        <c:majorTickMark val="none"/>
        <c:minorTickMark val="none"/>
        <c:tickLblPos val="nextTo"/>
        <c:crossAx val="11456691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Daily and Community Supports</c:v>
                </c:pt>
              </c:strCache>
            </c:strRef>
          </c:tx>
          <c:spPr>
            <a:ln>
              <a:solidFill>
                <a:schemeClr val="bg1"/>
              </a:solidFill>
            </a:ln>
          </c:spPr>
          <c:dPt>
            <c:idx val="0"/>
            <c:bubble3D val="0"/>
            <c:spPr>
              <a:solidFill>
                <a:srgbClr val="612C69"/>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C9C-40DE-968C-C88A77BCE8DE}"/>
              </c:ext>
            </c:extLst>
          </c:dPt>
          <c:dPt>
            <c:idx val="1"/>
            <c:bubble3D val="0"/>
            <c:spPr>
              <a:solidFill>
                <a:srgbClr val="943C84"/>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C9C-40DE-968C-C88A77BCE8DE}"/>
              </c:ext>
            </c:extLst>
          </c:dPt>
          <c:dPt>
            <c:idx val="2"/>
            <c:bubble3D val="0"/>
            <c:spPr>
              <a:solidFill>
                <a:srgbClr val="275D3A"/>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C9C-40DE-968C-C88A77BCE8DE}"/>
              </c:ext>
            </c:extLst>
          </c:dPt>
          <c:dPt>
            <c:idx val="3"/>
            <c:bubble3D val="0"/>
            <c:spPr>
              <a:solidFill>
                <a:srgbClr val="98C11D"/>
              </a:solidFill>
              <a:ln>
                <a:solidFill>
                  <a:schemeClr val="bg1"/>
                </a:solid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5C9C-40DE-968C-C88A77BCE8DE}"/>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fld id="{D954BF59-A0DF-4B10-A956-6EB1126FF9C3}" type="CATEGORYNAME">
                      <a:rPr lang="en-US">
                        <a:solidFill>
                          <a:srgbClr val="612C69"/>
                        </a:solidFill>
                      </a:rPr>
                      <a:pPr>
                        <a:defRPr/>
                      </a:pPr>
                      <a:t>[CATEGORY NAME]</a:t>
                    </a:fld>
                    <a:r>
                      <a:rPr lang="en-US" baseline="0">
                        <a:solidFill>
                          <a:srgbClr val="612C69"/>
                        </a:solidFill>
                      </a:rPr>
                      <a:t>
</a:t>
                    </a:r>
                    <a:fld id="{FE5F15C7-4256-4144-8C36-35C6E6CFF2C3}" type="PERCENTAGE">
                      <a:rPr lang="en-US" baseline="0">
                        <a:solidFill>
                          <a:srgbClr val="612C69"/>
                        </a:solidFill>
                      </a:rPr>
                      <a:pPr>
                        <a:defRPr/>
                      </a:pPr>
                      <a:t>[PERCENTAGE]</a:t>
                    </a:fld>
                    <a:endParaRPr lang="en-US" baseline="0">
                      <a:solidFill>
                        <a:srgbClr val="612C69"/>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C9C-40DE-968C-C88A77BCE8DE}"/>
                </c:ext>
              </c:extLst>
            </c:dLbl>
            <c:dLbl>
              <c:idx val="1"/>
              <c:layout>
                <c:manualLayout>
                  <c:x val="5.5795467900298067E-2"/>
                  <c:y val="-3.1646097166576834E-2"/>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17C03A08-488E-46CD-929F-EE265CA25B4B}" type="CATEGORYNAME">
                      <a:rPr lang="en-US">
                        <a:solidFill>
                          <a:srgbClr val="943C84"/>
                        </a:solidFill>
                      </a:rPr>
                      <a:pPr>
                        <a:defRPr>
                          <a:solidFill>
                            <a:schemeClr val="accent1"/>
                          </a:solidFill>
                        </a:defRPr>
                      </a:pPr>
                      <a:t>[CATEGORY NAME]</a:t>
                    </a:fld>
                    <a:r>
                      <a:rPr lang="en-US" baseline="0">
                        <a:solidFill>
                          <a:srgbClr val="943C84"/>
                        </a:solidFill>
                      </a:rPr>
                      <a:t>
</a:t>
                    </a:r>
                    <a:fld id="{0E78F455-688C-4313-8DB6-EF0DD43D13F5}" type="PERCENTAGE">
                      <a:rPr lang="en-US" baseline="0">
                        <a:solidFill>
                          <a:srgbClr val="943C84"/>
                        </a:solidFill>
                      </a:rPr>
                      <a:pPr>
                        <a:defRPr>
                          <a:solidFill>
                            <a:schemeClr val="accent1"/>
                          </a:solidFill>
                        </a:defRPr>
                      </a:pPr>
                      <a:t>[PERCENTAGE]</a:t>
                    </a:fld>
                    <a:endParaRPr lang="en-US" baseline="0">
                      <a:solidFill>
                        <a:srgbClr val="943C84"/>
                      </a:solidFill>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8447761194029848"/>
                      <c:h val="0.23273245572602649"/>
                    </c:manualLayout>
                  </c15:layout>
                  <c15:dlblFieldTable/>
                  <c15:showDataLabelsRange val="0"/>
                </c:ext>
                <c:ext xmlns:c16="http://schemas.microsoft.com/office/drawing/2014/chart" uri="{C3380CC4-5D6E-409C-BE32-E72D297353CC}">
                  <c16:uniqueId val="{00000003-5C9C-40DE-968C-C88A77BCE8DE}"/>
                </c:ext>
              </c:extLst>
            </c:dLbl>
            <c:dLbl>
              <c:idx val="2"/>
              <c:layout>
                <c:manualLayout>
                  <c:x val="9.922755584995566E-3"/>
                  <c:y val="0.22582310415150117"/>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B38C3EE0-3961-4828-A0D4-C61F1C6D8A22}" type="CATEGORYNAME">
                      <a:rPr lang="en-US">
                        <a:solidFill>
                          <a:srgbClr val="275D3A"/>
                        </a:solidFill>
                      </a:rPr>
                      <a:pPr>
                        <a:defRPr>
                          <a:solidFill>
                            <a:schemeClr val="accent1"/>
                          </a:solidFill>
                        </a:defRPr>
                      </a:pPr>
                      <a:t>[CATEGORY NAME]</a:t>
                    </a:fld>
                    <a:r>
                      <a:rPr lang="en-US" baseline="0">
                        <a:solidFill>
                          <a:srgbClr val="275D3A"/>
                        </a:solidFill>
                      </a:rPr>
                      <a:t>
</a:t>
                    </a:r>
                    <a:fld id="{554F9505-2C90-4499-81E5-8D831DF626D9}" type="PERCENTAGE">
                      <a:rPr lang="en-US" baseline="0">
                        <a:solidFill>
                          <a:srgbClr val="275D3A"/>
                        </a:solidFill>
                      </a:rPr>
                      <a:pPr>
                        <a:defRPr>
                          <a:solidFill>
                            <a:schemeClr val="accent1"/>
                          </a:solidFill>
                        </a:defRPr>
                      </a:pPr>
                      <a:t>[PERCENTAGE]</a:t>
                    </a:fld>
                    <a:endParaRPr lang="en-US" baseline="0">
                      <a:solidFill>
                        <a:srgbClr val="275D3A"/>
                      </a:solidFill>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049615914699945"/>
                      <c:h val="0.35999033113097983"/>
                    </c:manualLayout>
                  </c15:layout>
                  <c15:dlblFieldTable/>
                  <c15:showDataLabelsRange val="0"/>
                </c:ext>
                <c:ext xmlns:c16="http://schemas.microsoft.com/office/drawing/2014/chart" uri="{C3380CC4-5D6E-409C-BE32-E72D297353CC}">
                  <c16:uniqueId val="{00000005-5C9C-40DE-968C-C88A77BCE8DE}"/>
                </c:ext>
              </c:extLst>
            </c:dLbl>
            <c:dLbl>
              <c:idx val="3"/>
              <c:layout>
                <c:manualLayout>
                  <c:x val="-8.7027922521092607E-2"/>
                  <c:y val="0"/>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fld id="{F6C95C37-DFF7-41A0-B3CA-9D6124903898}" type="CATEGORYNAME">
                      <a:rPr lang="en-US">
                        <a:solidFill>
                          <a:srgbClr val="98C11D"/>
                        </a:solidFill>
                      </a:rPr>
                      <a:pPr>
                        <a:defRPr>
                          <a:solidFill>
                            <a:schemeClr val="accent1"/>
                          </a:solidFill>
                        </a:defRPr>
                      </a:pPr>
                      <a:t>[CATEGORY NAME]</a:t>
                    </a:fld>
                    <a:r>
                      <a:rPr lang="en-US" baseline="0">
                        <a:solidFill>
                          <a:srgbClr val="98C11D"/>
                        </a:solidFill>
                      </a:rPr>
                      <a:t>
</a:t>
                    </a:r>
                    <a:fld id="{93172DB0-DB68-4E2E-B756-BE18234C53BF}" type="PERCENTAGE">
                      <a:rPr lang="en-US" baseline="0">
                        <a:solidFill>
                          <a:srgbClr val="98C11D"/>
                        </a:solidFill>
                      </a:rPr>
                      <a:pPr>
                        <a:defRPr>
                          <a:solidFill>
                            <a:schemeClr val="accent1"/>
                          </a:solidFill>
                        </a:defRPr>
                      </a:pPr>
                      <a:t>[PERCENTAGE]</a:t>
                    </a:fld>
                    <a:endParaRPr lang="en-US" baseline="0">
                      <a:solidFill>
                        <a:srgbClr val="98C11D"/>
                      </a:solidFill>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43348776392954408"/>
                      <c:h val="0.363378325062931"/>
                    </c:manualLayout>
                  </c15:layout>
                  <c15:dlblFieldTable/>
                  <c15:showDataLabelsRange val="0"/>
                </c:ext>
                <c:ext xmlns:c16="http://schemas.microsoft.com/office/drawing/2014/chart" uri="{C3380CC4-5D6E-409C-BE32-E72D297353CC}">
                  <c16:uniqueId val="{00000007-5C9C-40DE-968C-C88A77BCE8DE}"/>
                </c:ext>
              </c:extLst>
            </c:dLbl>
            <c:spPr>
              <a:solidFill>
                <a:sysClr val="window" lastClr="FFFFFF"/>
              </a:solidFill>
              <a:ln>
                <a:solidFill>
                  <a:srgbClr val="5F2E74"/>
                </a:solidFill>
              </a:ln>
              <a:effectLst/>
            </c:sp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Poor quality practice, process, and workforce</c:v>
                </c:pt>
                <c:pt idx="1">
                  <c:v>Scheme integrity </c:v>
                </c:pt>
                <c:pt idx="2">
                  <c:v>Violence, abuse and neglect </c:v>
                </c:pt>
                <c:pt idx="3">
                  <c:v>Participants’ rights and scheme principles </c:v>
                </c:pt>
              </c:strCache>
            </c:strRef>
          </c:cat>
          <c:val>
            <c:numRef>
              <c:f>Sheet1!$B$2:$B$5</c:f>
              <c:numCache>
                <c:formatCode>General</c:formatCode>
                <c:ptCount val="4"/>
                <c:pt idx="0">
                  <c:v>272</c:v>
                </c:pt>
                <c:pt idx="1">
                  <c:v>150</c:v>
                </c:pt>
                <c:pt idx="2">
                  <c:v>140</c:v>
                </c:pt>
                <c:pt idx="3">
                  <c:v>40</c:v>
                </c:pt>
              </c:numCache>
            </c:numRef>
          </c:val>
          <c:extLst>
            <c:ext xmlns:c16="http://schemas.microsoft.com/office/drawing/2014/chart" uri="{C3380CC4-5D6E-409C-BE32-E72D297353CC}">
              <c16:uniqueId val="{00000008-5C9C-40DE-968C-C88A77BCE8D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SIL, SDA</c:v>
                </c:pt>
              </c:strCache>
            </c:strRef>
          </c:tx>
          <c:spPr>
            <a:ln>
              <a:solidFill>
                <a:schemeClr val="bg1"/>
              </a:solidFill>
            </a:ln>
          </c:spPr>
          <c:dPt>
            <c:idx val="0"/>
            <c:bubble3D val="0"/>
            <c:spPr>
              <a:solidFill>
                <a:srgbClr val="612C69"/>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492-48CA-877C-B5FF89E50275}"/>
              </c:ext>
            </c:extLst>
          </c:dPt>
          <c:dPt>
            <c:idx val="1"/>
            <c:bubble3D val="0"/>
            <c:spPr>
              <a:solidFill>
                <a:srgbClr val="943C84"/>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492-48CA-877C-B5FF89E50275}"/>
              </c:ext>
            </c:extLst>
          </c:dPt>
          <c:dPt>
            <c:idx val="2"/>
            <c:bubble3D val="0"/>
            <c:spPr>
              <a:solidFill>
                <a:srgbClr val="275D3A"/>
              </a:solidFill>
              <a:ln>
                <a:solidFill>
                  <a:schemeClr val="bg1"/>
                </a:solidFill>
              </a:ln>
            </c:spPr>
            <c:extLst>
              <c:ext xmlns:c16="http://schemas.microsoft.com/office/drawing/2014/chart" uri="{C3380CC4-5D6E-409C-BE32-E72D297353CC}">
                <c16:uniqueId val="{00000005-C492-48CA-877C-B5FF89E50275}"/>
              </c:ext>
            </c:extLst>
          </c:dPt>
          <c:dPt>
            <c:idx val="3"/>
            <c:bubble3D val="0"/>
            <c:spPr>
              <a:solidFill>
                <a:srgbClr val="98C11D"/>
              </a:solidFill>
              <a:ln>
                <a:solidFill>
                  <a:schemeClr val="bg1"/>
                </a:solidFill>
              </a:ln>
            </c:spPr>
            <c:extLst>
              <c:ext xmlns:c16="http://schemas.microsoft.com/office/drawing/2014/chart" uri="{C3380CC4-5D6E-409C-BE32-E72D297353CC}">
                <c16:uniqueId val="{00000007-C492-48CA-877C-B5FF89E50275}"/>
              </c:ext>
            </c:extLst>
          </c:dPt>
          <c:dLbls>
            <c:dLbl>
              <c:idx val="0"/>
              <c:tx>
                <c:rich>
                  <a:bodyPr/>
                  <a:lstStyle/>
                  <a:p>
                    <a:fld id="{757EDCD8-10C5-4CBB-A000-19AF71502B98}" type="CATEGORYNAME">
                      <a:rPr lang="en-US">
                        <a:solidFill>
                          <a:srgbClr val="612C69"/>
                        </a:solidFill>
                      </a:rPr>
                      <a:pPr/>
                      <a:t>[CATEGORY NAME]</a:t>
                    </a:fld>
                    <a:r>
                      <a:rPr lang="en-US" baseline="0">
                        <a:solidFill>
                          <a:srgbClr val="612C69"/>
                        </a:solidFill>
                      </a:rPr>
                      <a:t>
</a:t>
                    </a:r>
                    <a:fld id="{0522BD2D-E83A-4A9A-86AF-D508FFE96CEC}" type="PERCENTAGE">
                      <a:rPr lang="en-US" baseline="0">
                        <a:solidFill>
                          <a:srgbClr val="612C69"/>
                        </a:solidFill>
                      </a:rPr>
                      <a:pPr/>
                      <a:t>[PERCENTAGE]</a:t>
                    </a:fld>
                    <a:endParaRPr lang="en-US" baseline="0">
                      <a:solidFill>
                        <a:srgbClr val="612C69"/>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492-48CA-877C-B5FF89E50275}"/>
                </c:ext>
              </c:extLst>
            </c:dLbl>
            <c:dLbl>
              <c:idx val="1"/>
              <c:layout>
                <c:manualLayout>
                  <c:x val="-4.534252402573162E-2"/>
                  <c:y val="-0.11761246692149378"/>
                </c:manualLayout>
              </c:layout>
              <c:tx>
                <c:rich>
                  <a:bodyPr/>
                  <a:lstStyle/>
                  <a:p>
                    <a:fld id="{E94876D2-C23C-46C2-8206-3E216E92DE13}" type="CATEGORYNAME">
                      <a:rPr lang="en-US">
                        <a:solidFill>
                          <a:srgbClr val="943C84"/>
                        </a:solidFill>
                      </a:rPr>
                      <a:pPr/>
                      <a:t>[CATEGORY NAME]</a:t>
                    </a:fld>
                    <a:r>
                      <a:rPr lang="en-US" baseline="0">
                        <a:solidFill>
                          <a:srgbClr val="943C84"/>
                        </a:solidFill>
                      </a:rPr>
                      <a:t>
</a:t>
                    </a:r>
                    <a:fld id="{8740CB5A-6DE1-4AE4-8515-83263EC9E2D7}" type="PERCENTAGE">
                      <a:rPr lang="en-US" baseline="0">
                        <a:solidFill>
                          <a:srgbClr val="943C84"/>
                        </a:solidFill>
                      </a:rPr>
                      <a:pPr/>
                      <a:t>[PERCENTAGE]</a:t>
                    </a:fld>
                    <a:endParaRPr lang="en-US" baseline="0">
                      <a:solidFill>
                        <a:srgbClr val="943C84"/>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492-48CA-877C-B5FF89E50275}"/>
                </c:ext>
              </c:extLst>
            </c:dLbl>
            <c:dLbl>
              <c:idx val="2"/>
              <c:tx>
                <c:rich>
                  <a:bodyPr/>
                  <a:lstStyle/>
                  <a:p>
                    <a:fld id="{F0F3B06D-947B-4D16-BBCD-7F763C941B97}" type="CATEGORYNAME">
                      <a:rPr lang="en-US">
                        <a:solidFill>
                          <a:srgbClr val="275D3A"/>
                        </a:solidFill>
                      </a:rPr>
                      <a:pPr/>
                      <a:t>[CATEGORY NAME]</a:t>
                    </a:fld>
                    <a:r>
                      <a:rPr lang="en-US" baseline="0">
                        <a:solidFill>
                          <a:srgbClr val="275D3A"/>
                        </a:solidFill>
                      </a:rPr>
                      <a:t>
</a:t>
                    </a:r>
                    <a:fld id="{D608580D-E67B-4AF8-82F8-6AC73796A08A}" type="PERCENTAGE">
                      <a:rPr lang="en-US" baseline="0">
                        <a:solidFill>
                          <a:srgbClr val="275D3A"/>
                        </a:solidFill>
                      </a:rPr>
                      <a:pPr/>
                      <a:t>[PERCENTAGE]</a:t>
                    </a:fld>
                    <a:endParaRPr lang="en-US" baseline="0">
                      <a:solidFill>
                        <a:srgbClr val="275D3A"/>
                      </a:solidFill>
                    </a:endParaRP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492-48CA-877C-B5FF89E50275}"/>
                </c:ext>
              </c:extLst>
            </c:dLbl>
            <c:dLbl>
              <c:idx val="3"/>
              <c:tx>
                <c:rich>
                  <a:bodyPr wrap="square" lIns="38100" tIns="19050" rIns="38100" bIns="19050" anchor="ctr">
                    <a:noAutofit/>
                  </a:bodyPr>
                  <a:lstStyle/>
                  <a:p>
                    <a:pPr>
                      <a:defRPr sz="1000" b="1"/>
                    </a:pPr>
                    <a:fld id="{AC97BB32-AEAB-4279-98B9-8E6DF2164BA4}" type="CATEGORYNAME">
                      <a:rPr lang="en-US">
                        <a:solidFill>
                          <a:srgbClr val="98C11D"/>
                        </a:solidFill>
                      </a:rPr>
                      <a:pPr>
                        <a:defRPr sz="1000" b="1"/>
                      </a:pPr>
                      <a:t>[CATEGORY NAME]</a:t>
                    </a:fld>
                    <a:r>
                      <a:rPr lang="en-US" baseline="0">
                        <a:solidFill>
                          <a:srgbClr val="98C11D"/>
                        </a:solidFill>
                      </a:rPr>
                      <a:t>
</a:t>
                    </a:r>
                    <a:fld id="{6ED6203F-CF3A-411D-A538-646EB86EF3F8}" type="PERCENTAGE">
                      <a:rPr lang="en-US" baseline="0">
                        <a:solidFill>
                          <a:srgbClr val="98C11D"/>
                        </a:solidFill>
                      </a:rPr>
                      <a:pPr>
                        <a:defRPr sz="1000" b="1"/>
                      </a:pPr>
                      <a:t>[PERCENTAGE]</a:t>
                    </a:fld>
                    <a:endParaRPr lang="en-US" baseline="0">
                      <a:solidFill>
                        <a:srgbClr val="98C11D"/>
                      </a:solidFill>
                    </a:endParaRP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layout>
                    <c:manualLayout>
                      <c:w val="0.50652870222972457"/>
                      <c:h val="0.1965473526841858"/>
                    </c:manualLayout>
                  </c15:layout>
                  <c15:dlblFieldTable/>
                  <c15:showDataLabelsRange val="0"/>
                </c:ext>
                <c:ext xmlns:c16="http://schemas.microsoft.com/office/drawing/2014/chart" uri="{C3380CC4-5D6E-409C-BE32-E72D297353CC}">
                  <c16:uniqueId val="{00000007-C492-48CA-877C-B5FF89E50275}"/>
                </c:ext>
              </c:extLst>
            </c:dLbl>
            <c:spPr>
              <a:noFill/>
              <a:ln>
                <a:noFill/>
              </a:ln>
              <a:effectLst/>
            </c:spPr>
            <c:txPr>
              <a:bodyPr wrap="square" lIns="38100" tIns="19050" rIns="38100" bIns="19050" anchor="ctr">
                <a:spAutoFit/>
              </a:bodyPr>
              <a:lstStyle/>
              <a:p>
                <a:pPr>
                  <a:defRPr sz="1000" b="1"/>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Sheet1!$A$2:$A$5</c:f>
              <c:strCache>
                <c:ptCount val="4"/>
                <c:pt idx="0">
                  <c:v>Poor quality practice, process, and workforce</c:v>
                </c:pt>
                <c:pt idx="1">
                  <c:v>Scheme integrity </c:v>
                </c:pt>
                <c:pt idx="2">
                  <c:v>Violence, abuse and neglect </c:v>
                </c:pt>
                <c:pt idx="3">
                  <c:v>Participants’ rights and scheme principles </c:v>
                </c:pt>
              </c:strCache>
            </c:strRef>
          </c:cat>
          <c:val>
            <c:numRef>
              <c:f>Sheet1!$B$2:$B$5</c:f>
              <c:numCache>
                <c:formatCode>General</c:formatCode>
                <c:ptCount val="4"/>
                <c:pt idx="0">
                  <c:v>171</c:v>
                </c:pt>
                <c:pt idx="1">
                  <c:v>47</c:v>
                </c:pt>
                <c:pt idx="2">
                  <c:v>114</c:v>
                </c:pt>
                <c:pt idx="3">
                  <c:v>39</c:v>
                </c:pt>
              </c:numCache>
            </c:numRef>
          </c:val>
          <c:extLst>
            <c:ext xmlns:c16="http://schemas.microsoft.com/office/drawing/2014/chart" uri="{C3380CC4-5D6E-409C-BE32-E72D297353CC}">
              <c16:uniqueId val="{00000008-C492-48CA-877C-B5FF89E50275}"/>
            </c:ext>
          </c:extLst>
        </c:ser>
        <c:dLbls>
          <c:dLblPos val="outEnd"/>
          <c:showLegendKey val="0"/>
          <c:showVal val="0"/>
          <c:showCatName val="0"/>
          <c:showSerName val="0"/>
          <c:showPercent val="1"/>
          <c:showBubbleSize val="0"/>
          <c:showLeaderLines val="0"/>
        </c:dLbls>
        <c:firstSliceAng val="31"/>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90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STA</c:v>
                </c:pt>
              </c:strCache>
            </c:strRef>
          </c:tx>
          <c:spPr>
            <a:ln>
              <a:solidFill>
                <a:schemeClr val="bg1"/>
              </a:solidFill>
            </a:ln>
          </c:spPr>
          <c:dPt>
            <c:idx val="0"/>
            <c:bubble3D val="0"/>
            <c:spPr>
              <a:solidFill>
                <a:srgbClr val="612C69"/>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75A-4F6A-AFB2-40F4EF61E483}"/>
              </c:ext>
            </c:extLst>
          </c:dPt>
          <c:dPt>
            <c:idx val="1"/>
            <c:bubble3D val="0"/>
            <c:spPr>
              <a:solidFill>
                <a:srgbClr val="943C84"/>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75A-4F6A-AFB2-40F4EF61E483}"/>
              </c:ext>
            </c:extLst>
          </c:dPt>
          <c:dPt>
            <c:idx val="2"/>
            <c:bubble3D val="0"/>
            <c:spPr>
              <a:solidFill>
                <a:srgbClr val="275D3A"/>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75A-4F6A-AFB2-40F4EF61E483}"/>
              </c:ext>
            </c:extLst>
          </c:dPt>
          <c:dLbls>
            <c:dLbl>
              <c:idx val="0"/>
              <c:tx>
                <c:rich>
                  <a:bodyPr/>
                  <a:lstStyle/>
                  <a:p>
                    <a:fld id="{7BFFD12D-2B2C-44C0-9EE1-CF1715F40EC2}" type="CATEGORYNAME">
                      <a:rPr lang="en-US">
                        <a:solidFill>
                          <a:srgbClr val="612C69"/>
                        </a:solidFill>
                      </a:rPr>
                      <a:pPr/>
                      <a:t>[CATEGORY NAME]</a:t>
                    </a:fld>
                    <a:r>
                      <a:rPr lang="en-US" baseline="0">
                        <a:solidFill>
                          <a:srgbClr val="612C69"/>
                        </a:solidFill>
                      </a:rPr>
                      <a:t>
</a:t>
                    </a:r>
                    <a:fld id="{759649C1-FB00-4436-B453-19C7B30AD088}" type="PERCENTAGE">
                      <a:rPr lang="en-US" baseline="0">
                        <a:solidFill>
                          <a:srgbClr val="612C69"/>
                        </a:solidFill>
                      </a:rPr>
                      <a:pPr/>
                      <a:t>[PERCENTAGE]</a:t>
                    </a:fld>
                    <a:endParaRPr lang="en-US" baseline="0">
                      <a:solidFill>
                        <a:srgbClr val="612C69"/>
                      </a:solidFill>
                    </a:endParaRPr>
                  </a:p>
                </c:rich>
              </c:tx>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475A-4F6A-AFB2-40F4EF61E483}"/>
                </c:ext>
              </c:extLst>
            </c:dLbl>
            <c:dLbl>
              <c:idx val="1"/>
              <c:layout>
                <c:manualLayout>
                  <c:x val="-7.4972382183570385E-2"/>
                  <c:y val="-0.11054684678176696"/>
                </c:manualLayout>
              </c:layout>
              <c:tx>
                <c:rich>
                  <a:bodyPr/>
                  <a:lstStyle/>
                  <a:p>
                    <a:fld id="{410468B6-CDD2-4A37-9EA9-9062B1478E53}" type="CATEGORYNAME">
                      <a:rPr lang="en-US">
                        <a:solidFill>
                          <a:srgbClr val="943C84"/>
                        </a:solidFill>
                      </a:rPr>
                      <a:pPr/>
                      <a:t>[CATEGORY NAME]</a:t>
                    </a:fld>
                    <a:r>
                      <a:rPr lang="en-US" baseline="0"/>
                      <a:t>
</a:t>
                    </a:r>
                    <a:fld id="{705988DE-E759-41C0-A298-D811B93DCF5E}" type="PERCENTAGE">
                      <a:rPr lang="en-US" baseline="0">
                        <a:solidFill>
                          <a:srgbClr val="943C84"/>
                        </a:solidFill>
                      </a:rPr>
                      <a:pPr/>
                      <a:t>[PERCENTAGE]</a:t>
                    </a:fld>
                    <a:endParaRPr lang="en-US" baseline="0"/>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475A-4F6A-AFB2-40F4EF61E483}"/>
                </c:ext>
              </c:extLst>
            </c:dLbl>
            <c:dLbl>
              <c:idx val="2"/>
              <c:layout>
                <c:manualLayout>
                  <c:x val="-5.2921719955898568E-2"/>
                  <c:y val="8.8209350191120264E-2"/>
                </c:manualLayout>
              </c:layout>
              <c:tx>
                <c:rich>
                  <a:bodyPr/>
                  <a:lstStyle/>
                  <a:p>
                    <a:fld id="{83B346C3-AF28-4A91-9DCD-97355DD5CF66}" type="CATEGORYNAME">
                      <a:rPr lang="en-US">
                        <a:solidFill>
                          <a:srgbClr val="275D3A"/>
                        </a:solidFill>
                      </a:rPr>
                      <a:pPr/>
                      <a:t>[CATEGORY NAME]</a:t>
                    </a:fld>
                    <a:r>
                      <a:rPr lang="en-US" baseline="0">
                        <a:solidFill>
                          <a:srgbClr val="275D3A"/>
                        </a:solidFill>
                      </a:rPr>
                      <a:t>
</a:t>
                    </a:r>
                    <a:fld id="{413DF1EC-58A4-44FC-82AC-0AD4AD25C5B3}" type="PERCENTAGE">
                      <a:rPr lang="en-US" baseline="0">
                        <a:solidFill>
                          <a:srgbClr val="275D3A"/>
                        </a:solidFill>
                      </a:rPr>
                      <a:pPr/>
                      <a:t>[PERCENTAGE]</a:t>
                    </a:fld>
                    <a:endParaRPr lang="en-US" baseline="0">
                      <a:solidFill>
                        <a:srgbClr val="275D3A"/>
                      </a:solidFill>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475A-4F6A-AFB2-40F4EF61E48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50000"/>
                      </a:schemeClr>
                    </a:solidFill>
                    <a:latin typeface="+mn-lt"/>
                    <a:ea typeface="+mn-ea"/>
                    <a:cs typeface="+mn-cs"/>
                  </a:defRPr>
                </a:pPr>
                <a:endParaRPr lang="en-US"/>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rect">
                    <a:avLst/>
                  </a:prstGeom>
                </c15:spPr>
              </c:ext>
            </c:extLst>
          </c:dLbls>
          <c:cat>
            <c:strRef>
              <c:f>Sheet1!$A$2:$A$4</c:f>
              <c:strCache>
                <c:ptCount val="3"/>
                <c:pt idx="0">
                  <c:v>Poor quality practice, process, and workforce</c:v>
                </c:pt>
                <c:pt idx="1">
                  <c:v>Scheme integrity </c:v>
                </c:pt>
                <c:pt idx="2">
                  <c:v>Violence, abuse and neglect </c:v>
                </c:pt>
              </c:strCache>
            </c:strRef>
          </c:cat>
          <c:val>
            <c:numRef>
              <c:f>Sheet1!$B$2:$B$4</c:f>
              <c:numCache>
                <c:formatCode>General</c:formatCode>
                <c:ptCount val="3"/>
                <c:pt idx="0">
                  <c:v>16</c:v>
                </c:pt>
                <c:pt idx="1">
                  <c:v>22</c:v>
                </c:pt>
                <c:pt idx="2">
                  <c:v>9</c:v>
                </c:pt>
              </c:numCache>
            </c:numRef>
          </c:val>
          <c:extLst>
            <c:ext xmlns:c16="http://schemas.microsoft.com/office/drawing/2014/chart" uri="{C3380CC4-5D6E-409C-BE32-E72D297353CC}">
              <c16:uniqueId val="{00000006-475A-4F6A-AFB2-40F4EF61E483}"/>
            </c:ext>
          </c:extLst>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Support Coordination</c:v>
                </c:pt>
              </c:strCache>
            </c:strRef>
          </c:tx>
          <c:spPr>
            <a:ln>
              <a:solidFill>
                <a:schemeClr val="bg1"/>
              </a:solidFill>
            </a:ln>
          </c:spPr>
          <c:dPt>
            <c:idx val="0"/>
            <c:bubble3D val="0"/>
            <c:spPr>
              <a:solidFill>
                <a:srgbClr val="612C69"/>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8AA-4F97-9100-2CC97308A18D}"/>
              </c:ext>
            </c:extLst>
          </c:dPt>
          <c:dPt>
            <c:idx val="1"/>
            <c:bubble3D val="0"/>
            <c:spPr>
              <a:solidFill>
                <a:srgbClr val="943C84"/>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8AA-4F97-9100-2CC97308A18D}"/>
              </c:ext>
            </c:extLst>
          </c:dPt>
          <c:dPt>
            <c:idx val="2"/>
            <c:bubble3D val="0"/>
            <c:spPr>
              <a:solidFill>
                <a:srgbClr val="275D3A"/>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8AA-4F97-9100-2CC97308A18D}"/>
              </c:ext>
            </c:extLst>
          </c:dPt>
          <c:dPt>
            <c:idx val="3"/>
            <c:bubble3D val="0"/>
            <c:spPr>
              <a:solidFill>
                <a:srgbClr val="98C11D"/>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8AA-4F97-9100-2CC97308A18D}"/>
              </c:ext>
            </c:extLst>
          </c:dPt>
          <c:dLbls>
            <c:dLbl>
              <c:idx val="0"/>
              <c:tx>
                <c:rich>
                  <a:bodyPr/>
                  <a:lstStyle/>
                  <a:p>
                    <a:fld id="{B2EAB4F8-797B-4A45-907D-07B253BE2739}" type="CATEGORYNAME">
                      <a:rPr lang="en-US" sz="1000">
                        <a:solidFill>
                          <a:srgbClr val="612C69"/>
                        </a:solidFill>
                      </a:rPr>
                      <a:pPr/>
                      <a:t>[CATEGORY NAME]</a:t>
                    </a:fld>
                    <a:r>
                      <a:rPr lang="en-US" sz="1000" baseline="0">
                        <a:solidFill>
                          <a:srgbClr val="612C69"/>
                        </a:solidFill>
                      </a:rPr>
                      <a:t>
</a:t>
                    </a:r>
                    <a:fld id="{1B0BA699-0755-4E8D-9C06-5A34EC549E7F}" type="PERCENTAGE">
                      <a:rPr lang="en-US" sz="1000" baseline="0">
                        <a:solidFill>
                          <a:srgbClr val="612C69"/>
                        </a:solidFill>
                      </a:rPr>
                      <a:pPr/>
                      <a:t>[PERCENTAGE]</a:t>
                    </a:fld>
                    <a:endParaRPr lang="en-US" sz="1000" baseline="0">
                      <a:solidFill>
                        <a:srgbClr val="612C69"/>
                      </a:solidFill>
                    </a:endParaRPr>
                  </a:p>
                </c:rich>
              </c:tx>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26051560379918587"/>
                      <c:h val="0.45183514022638488"/>
                    </c:manualLayout>
                  </c15:layout>
                  <c15:dlblFieldTable/>
                  <c15:showDataLabelsRange val="0"/>
                </c:ext>
                <c:ext xmlns:c16="http://schemas.microsoft.com/office/drawing/2014/chart" uri="{C3380CC4-5D6E-409C-BE32-E72D297353CC}">
                  <c16:uniqueId val="{00000001-48AA-4F97-9100-2CC97308A18D}"/>
                </c:ext>
              </c:extLst>
            </c:dLbl>
            <c:dLbl>
              <c:idx val="1"/>
              <c:tx>
                <c:rich>
                  <a:bodyPr/>
                  <a:lstStyle/>
                  <a:p>
                    <a:fld id="{98F860C1-58AA-462C-8267-5C45A58CE6EE}" type="CATEGORYNAME">
                      <a:rPr lang="en-US">
                        <a:solidFill>
                          <a:srgbClr val="943C84"/>
                        </a:solidFill>
                      </a:rPr>
                      <a:pPr/>
                      <a:t>[CATEGORY NAME]</a:t>
                    </a:fld>
                    <a:r>
                      <a:rPr lang="en-US" baseline="0"/>
                      <a:t>
</a:t>
                    </a:r>
                    <a:fld id="{10ED0698-3D32-4681-81C0-D1545C761AFE}" type="PERCENTAGE">
                      <a:rPr lang="en-US" baseline="0">
                        <a:solidFill>
                          <a:srgbClr val="943C84"/>
                        </a:solidFill>
                      </a:rPr>
                      <a:pPr/>
                      <a:t>[PERCENTAGE]</a:t>
                    </a:fld>
                    <a:endParaRPr lang="en-US" baseline="0"/>
                  </a:p>
                </c:rich>
              </c:tx>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2212483039348711"/>
                      <c:h val="0.27956979089681538"/>
                    </c:manualLayout>
                  </c15:layout>
                  <c15:dlblFieldTable/>
                  <c15:showDataLabelsRange val="0"/>
                </c:ext>
                <c:ext xmlns:c16="http://schemas.microsoft.com/office/drawing/2014/chart" uri="{C3380CC4-5D6E-409C-BE32-E72D297353CC}">
                  <c16:uniqueId val="{00000003-48AA-4F97-9100-2CC97308A18D}"/>
                </c:ext>
              </c:extLst>
            </c:dLbl>
            <c:dLbl>
              <c:idx val="2"/>
              <c:layout>
                <c:manualLayout>
                  <c:x val="-2.120283870699069E-8"/>
                  <c:y val="0.13290554335631866"/>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bg2">
                            <a:lumMod val="50000"/>
                          </a:schemeClr>
                        </a:solidFill>
                        <a:latin typeface="+mn-lt"/>
                        <a:ea typeface="+mn-ea"/>
                        <a:cs typeface="+mn-cs"/>
                      </a:defRPr>
                    </a:pPr>
                    <a:fld id="{EE311122-327D-4F8A-8C04-6FE5DA0BE7FF}" type="CATEGORYNAME">
                      <a:rPr lang="en-US" sz="1000">
                        <a:solidFill>
                          <a:srgbClr val="275D3A"/>
                        </a:solidFill>
                      </a:rPr>
                      <a:pPr>
                        <a:defRPr sz="1000" b="1" i="0" u="none" strike="noStrike" kern="1200" baseline="0">
                          <a:solidFill>
                            <a:schemeClr val="bg2">
                              <a:lumMod val="50000"/>
                            </a:schemeClr>
                          </a:solidFill>
                          <a:latin typeface="+mn-lt"/>
                          <a:ea typeface="+mn-ea"/>
                          <a:cs typeface="+mn-cs"/>
                        </a:defRPr>
                      </a:pPr>
                      <a:t>[CATEGORY NAME]</a:t>
                    </a:fld>
                    <a:r>
                      <a:rPr lang="en-US" sz="1000" baseline="0">
                        <a:solidFill>
                          <a:srgbClr val="275D3A"/>
                        </a:solidFill>
                      </a:rPr>
                      <a:t>
</a:t>
                    </a:r>
                    <a:fld id="{67A4CD6F-3D3C-4DD0-9CC0-7FB621FA7EFC}" type="PERCENTAGE">
                      <a:rPr lang="en-US" sz="1000" baseline="0">
                        <a:solidFill>
                          <a:srgbClr val="275D3A"/>
                        </a:solidFill>
                      </a:rPr>
                      <a:pPr>
                        <a:defRPr sz="1000" b="1" i="0" u="none" strike="noStrike" kern="1200" baseline="0">
                          <a:solidFill>
                            <a:schemeClr val="bg2">
                              <a:lumMod val="50000"/>
                            </a:schemeClr>
                          </a:solidFill>
                          <a:latin typeface="+mn-lt"/>
                          <a:ea typeface="+mn-ea"/>
                          <a:cs typeface="+mn-cs"/>
                        </a:defRPr>
                      </a:pPr>
                      <a:t>[PERCENTAGE]</a:t>
                    </a:fld>
                    <a:endParaRPr lang="en-US" sz="1000" baseline="0">
                      <a:solidFill>
                        <a:srgbClr val="275D3A"/>
                      </a:solidFill>
                    </a:endParaRPr>
                  </a:p>
                </c:rich>
              </c:tx>
              <c:spPr>
                <a:noFill/>
                <a:ln>
                  <a:noFill/>
                </a:ln>
                <a:effectLst/>
              </c:sp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3247519738458744"/>
                      <c:h val="0.34587600509004829"/>
                    </c:manualLayout>
                  </c15:layout>
                  <c15:dlblFieldTable/>
                  <c15:showDataLabelsRange val="0"/>
                </c:ext>
                <c:ext xmlns:c16="http://schemas.microsoft.com/office/drawing/2014/chart" uri="{C3380CC4-5D6E-409C-BE32-E72D297353CC}">
                  <c16:uniqueId val="{00000005-48AA-4F97-9100-2CC97308A18D}"/>
                </c:ext>
              </c:extLst>
            </c:dLbl>
            <c:dLbl>
              <c:idx val="3"/>
              <c:layout>
                <c:manualLayout>
                  <c:x val="2.7137042062415198E-2"/>
                  <c:y val="1.7648464372440398E-3"/>
                </c:manualLayout>
              </c:layout>
              <c:tx>
                <c:rich>
                  <a:bodyPr rot="0" spcFirstLastPara="1" vertOverflow="ellipsis" wrap="square" lIns="38100" tIns="19050" rIns="38100" bIns="19050" anchor="ctr" anchorCtr="1">
                    <a:noAutofit/>
                  </a:bodyPr>
                  <a:lstStyle/>
                  <a:p>
                    <a:pPr>
                      <a:defRPr sz="1000" b="1" i="0" u="none" strike="noStrike" kern="1200" baseline="0">
                        <a:solidFill>
                          <a:schemeClr val="bg2">
                            <a:lumMod val="50000"/>
                          </a:schemeClr>
                        </a:solidFill>
                        <a:latin typeface="+mn-lt"/>
                        <a:ea typeface="+mn-ea"/>
                        <a:cs typeface="+mn-cs"/>
                      </a:defRPr>
                    </a:pPr>
                    <a:fld id="{A583176C-14D7-447B-B91C-0F3638507142}" type="CATEGORYNAME">
                      <a:rPr lang="en-US" sz="1000">
                        <a:solidFill>
                          <a:srgbClr val="98C11D"/>
                        </a:solidFill>
                      </a:rPr>
                      <a:pPr>
                        <a:defRPr sz="1000" b="1" i="0" u="none" strike="noStrike" kern="1200" baseline="0">
                          <a:solidFill>
                            <a:schemeClr val="bg2">
                              <a:lumMod val="50000"/>
                            </a:schemeClr>
                          </a:solidFill>
                          <a:latin typeface="+mn-lt"/>
                          <a:ea typeface="+mn-ea"/>
                          <a:cs typeface="+mn-cs"/>
                        </a:defRPr>
                      </a:pPr>
                      <a:t>[CATEGORY NAME]</a:t>
                    </a:fld>
                    <a:r>
                      <a:rPr lang="en-US" sz="1000" baseline="0">
                        <a:solidFill>
                          <a:srgbClr val="98C11D"/>
                        </a:solidFill>
                      </a:rPr>
                      <a:t>
</a:t>
                    </a:r>
                    <a:fld id="{0350D9E4-FAF4-480A-8231-C6CBEEF90580}" type="PERCENTAGE">
                      <a:rPr lang="en-US" sz="1000" baseline="0">
                        <a:solidFill>
                          <a:srgbClr val="98C11D"/>
                        </a:solidFill>
                      </a:rPr>
                      <a:pPr>
                        <a:defRPr sz="1000" b="1" i="0" u="none" strike="noStrike" kern="1200" baseline="0">
                          <a:solidFill>
                            <a:schemeClr val="bg2">
                              <a:lumMod val="50000"/>
                            </a:schemeClr>
                          </a:solidFill>
                          <a:latin typeface="+mn-lt"/>
                          <a:ea typeface="+mn-ea"/>
                          <a:cs typeface="+mn-cs"/>
                        </a:defRPr>
                      </a:pPr>
                      <a:t>[PERCENTAGE]</a:t>
                    </a:fld>
                    <a:endParaRPr lang="en-US" sz="1000" baseline="0">
                      <a:solidFill>
                        <a:srgbClr val="98C11D"/>
                      </a:solidFill>
                    </a:endParaRPr>
                  </a:p>
                </c:rich>
              </c:tx>
              <c:spPr>
                <a:noFill/>
                <a:ln>
                  <a:noFill/>
                </a:ln>
                <a:effectLst/>
              </c:sp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0.42590198613233049"/>
                      <c:h val="0.34569429703432447"/>
                    </c:manualLayout>
                  </c15:layout>
                  <c15:dlblFieldTable/>
                  <c15:showDataLabelsRange val="0"/>
                </c:ext>
                <c:ext xmlns:c16="http://schemas.microsoft.com/office/drawing/2014/chart" uri="{C3380CC4-5D6E-409C-BE32-E72D297353CC}">
                  <c16:uniqueId val="{00000007-48AA-4F97-9100-2CC97308A18D}"/>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50000"/>
                      </a:schemeClr>
                    </a:solidFill>
                    <a:latin typeface="+mn-lt"/>
                    <a:ea typeface="+mn-ea"/>
                    <a:cs typeface="+mn-cs"/>
                  </a:defRPr>
                </a:pPr>
                <a:endParaRPr lang="en-US"/>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rect">
                    <a:avLst/>
                  </a:prstGeom>
                </c15:spPr>
              </c:ext>
            </c:extLst>
          </c:dLbls>
          <c:cat>
            <c:strRef>
              <c:f>Sheet1!$A$2:$A$5</c:f>
              <c:strCache>
                <c:ptCount val="4"/>
                <c:pt idx="0">
                  <c:v>Poor quality practice, process, and workforce</c:v>
                </c:pt>
                <c:pt idx="1">
                  <c:v>Scheme integrity </c:v>
                </c:pt>
                <c:pt idx="2">
                  <c:v>Violence, abuse and neglect </c:v>
                </c:pt>
                <c:pt idx="3">
                  <c:v>Participants’ rights and scheme principles </c:v>
                </c:pt>
              </c:strCache>
            </c:strRef>
          </c:cat>
          <c:val>
            <c:numRef>
              <c:f>Sheet1!$B$2:$B$5</c:f>
              <c:numCache>
                <c:formatCode>General</c:formatCode>
                <c:ptCount val="4"/>
                <c:pt idx="0">
                  <c:v>82</c:v>
                </c:pt>
                <c:pt idx="1">
                  <c:v>72</c:v>
                </c:pt>
                <c:pt idx="2">
                  <c:v>13</c:v>
                </c:pt>
                <c:pt idx="3">
                  <c:v>35</c:v>
                </c:pt>
              </c:numCache>
            </c:numRef>
          </c:val>
          <c:extLst>
            <c:ext xmlns:c16="http://schemas.microsoft.com/office/drawing/2014/chart" uri="{C3380CC4-5D6E-409C-BE32-E72D297353CC}">
              <c16:uniqueId val="{00000008-48AA-4F97-9100-2CC97308A18D}"/>
            </c:ext>
          </c:extLst>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Plan Management</c:v>
                </c:pt>
              </c:strCache>
            </c:strRef>
          </c:tx>
          <c:spPr>
            <a:ln>
              <a:solidFill>
                <a:schemeClr val="bg1"/>
              </a:solidFill>
            </a:ln>
          </c:spPr>
          <c:dPt>
            <c:idx val="0"/>
            <c:bubble3D val="0"/>
            <c:spPr>
              <a:solidFill>
                <a:srgbClr val="612C69"/>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F84-45A8-9D40-C6827EEF5E10}"/>
              </c:ext>
            </c:extLst>
          </c:dPt>
          <c:dPt>
            <c:idx val="1"/>
            <c:bubble3D val="0"/>
            <c:spPr>
              <a:solidFill>
                <a:srgbClr val="943C84"/>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F84-45A8-9D40-C6827EEF5E10}"/>
              </c:ext>
            </c:extLst>
          </c:dPt>
          <c:dPt>
            <c:idx val="2"/>
            <c:bubble3D val="0"/>
            <c:spPr>
              <a:solidFill>
                <a:srgbClr val="98C11D"/>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F84-45A8-9D40-C6827EEF5E10}"/>
              </c:ext>
            </c:extLst>
          </c:dPt>
          <c:dLbls>
            <c:dLbl>
              <c:idx val="0"/>
              <c:layout>
                <c:manualLayout>
                  <c:x val="-1.4843058060451723E-2"/>
                  <c:y val="-0.27756170976244077"/>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bg2">
                            <a:lumMod val="50000"/>
                          </a:schemeClr>
                        </a:solidFill>
                        <a:latin typeface="+mn-lt"/>
                        <a:ea typeface="+mn-ea"/>
                        <a:cs typeface="+mn-cs"/>
                      </a:defRPr>
                    </a:pPr>
                    <a:fld id="{99BB6682-C36B-419B-8BB6-96212C227E29}" type="CATEGORYNAME">
                      <a:rPr lang="en-US">
                        <a:solidFill>
                          <a:srgbClr val="612C69"/>
                        </a:solidFill>
                      </a:rPr>
                      <a:pPr>
                        <a:defRPr sz="1000" b="1" i="0" u="none" strike="noStrike" kern="1200" baseline="0">
                          <a:solidFill>
                            <a:schemeClr val="bg2">
                              <a:lumMod val="50000"/>
                            </a:schemeClr>
                          </a:solidFill>
                          <a:latin typeface="+mn-lt"/>
                          <a:ea typeface="+mn-ea"/>
                          <a:cs typeface="+mn-cs"/>
                        </a:defRPr>
                      </a:pPr>
                      <a:t>[CATEGORY NAME]</a:t>
                    </a:fld>
                    <a:r>
                      <a:rPr lang="en-US" baseline="0">
                        <a:solidFill>
                          <a:srgbClr val="612C69"/>
                        </a:solidFill>
                      </a:rPr>
                      <a:t>
</a:t>
                    </a:r>
                    <a:fld id="{22235335-C0C0-408F-BF43-9B6862BB29EA}" type="PERCENTAGE">
                      <a:rPr lang="en-US" baseline="0">
                        <a:solidFill>
                          <a:srgbClr val="612C69"/>
                        </a:solidFill>
                      </a:rPr>
                      <a:pPr>
                        <a:defRPr sz="1000" b="1" i="0" u="none" strike="noStrike" kern="1200" baseline="0">
                          <a:solidFill>
                            <a:schemeClr val="bg2">
                              <a:lumMod val="50000"/>
                            </a:schemeClr>
                          </a:solidFill>
                          <a:latin typeface="+mn-lt"/>
                          <a:ea typeface="+mn-ea"/>
                          <a:cs typeface="+mn-cs"/>
                        </a:defRPr>
                      </a:pPr>
                      <a:t>[PERCENTAGE]</a:t>
                    </a:fld>
                    <a:endParaRPr lang="en-US" baseline="0">
                      <a:solidFill>
                        <a:srgbClr val="612C69"/>
                      </a:solidFill>
                    </a:endParaRPr>
                  </a:p>
                </c:rich>
              </c:tx>
              <c:spPr>
                <a:noFill/>
                <a:ln>
                  <a:noFill/>
                </a:ln>
                <a:effectLst/>
              </c:sp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6600305558820075"/>
                      <c:h val="0.43176279041337196"/>
                    </c:manualLayout>
                  </c15:layout>
                  <c15:dlblFieldTable/>
                  <c15:showDataLabelsRange val="0"/>
                </c:ext>
                <c:ext xmlns:c16="http://schemas.microsoft.com/office/drawing/2014/chart" uri="{C3380CC4-5D6E-409C-BE32-E72D297353CC}">
                  <c16:uniqueId val="{00000001-9F84-45A8-9D40-C6827EEF5E10}"/>
                </c:ext>
              </c:extLst>
            </c:dLbl>
            <c:dLbl>
              <c:idx val="1"/>
              <c:tx>
                <c:rich>
                  <a:bodyPr/>
                  <a:lstStyle/>
                  <a:p>
                    <a:fld id="{3C276160-6367-4FEB-BEFB-62CA791884BA}" type="CATEGORYNAME">
                      <a:rPr lang="en-US">
                        <a:solidFill>
                          <a:srgbClr val="943C84"/>
                        </a:solidFill>
                      </a:rPr>
                      <a:pPr/>
                      <a:t>[CATEGORY NAME]</a:t>
                    </a:fld>
                    <a:r>
                      <a:rPr lang="en-US" baseline="0">
                        <a:solidFill>
                          <a:srgbClr val="943C84"/>
                        </a:solidFill>
                      </a:rPr>
                      <a:t>
</a:t>
                    </a:r>
                    <a:fld id="{66B2C5FF-4D45-4B15-87FB-7C27DE5BD29C}" type="PERCENTAGE">
                      <a:rPr lang="en-US" baseline="0">
                        <a:solidFill>
                          <a:srgbClr val="943C84"/>
                        </a:solidFill>
                      </a:rPr>
                      <a:pPr/>
                      <a:t>[PERCENTAGE]</a:t>
                    </a:fld>
                    <a:endParaRPr lang="en-US" baseline="0">
                      <a:solidFill>
                        <a:srgbClr val="943C84"/>
                      </a:solidFill>
                    </a:endParaRPr>
                  </a:p>
                </c:rich>
              </c:tx>
              <c:dLblPos val="outEnd"/>
              <c:showLegendKey val="0"/>
              <c:showVal val="0"/>
              <c:showCatName val="1"/>
              <c:showSerName val="0"/>
              <c:showPercent val="1"/>
              <c:showBubbleSize val="0"/>
              <c:separator>
</c:separator>
              <c:extLst>
                <c:ext xmlns:c15="http://schemas.microsoft.com/office/drawing/2012/chart" uri="{CE6537A1-D6FC-4f65-9D91-7224C49458BB}">
                  <c15:layout>
                    <c:manualLayout>
                      <c:w val="0.28637720488466756"/>
                      <c:h val="0.27956979089681538"/>
                    </c:manualLayout>
                  </c15:layout>
                  <c15:dlblFieldTable/>
                  <c15:showDataLabelsRange val="0"/>
                </c:ext>
                <c:ext xmlns:c16="http://schemas.microsoft.com/office/drawing/2014/chart" uri="{C3380CC4-5D6E-409C-BE32-E72D297353CC}">
                  <c16:uniqueId val="{00000003-9F84-45A8-9D40-C6827EEF5E10}"/>
                </c:ext>
              </c:extLst>
            </c:dLbl>
            <c:dLbl>
              <c:idx val="2"/>
              <c:tx>
                <c:rich>
                  <a:bodyPr rot="0" spcFirstLastPara="1" vertOverflow="ellipsis" wrap="square" lIns="38100" tIns="19050" rIns="38100" bIns="19050" anchor="ctr" anchorCtr="1">
                    <a:spAutoFit/>
                  </a:bodyPr>
                  <a:lstStyle/>
                  <a:p>
                    <a:pPr>
                      <a:defRPr sz="1000" b="1" i="0" u="none" strike="noStrike" kern="1200" baseline="0">
                        <a:solidFill>
                          <a:schemeClr val="bg2">
                            <a:lumMod val="50000"/>
                          </a:schemeClr>
                        </a:solidFill>
                        <a:latin typeface="+mn-lt"/>
                        <a:ea typeface="+mn-ea"/>
                        <a:cs typeface="+mn-cs"/>
                      </a:defRPr>
                    </a:pPr>
                    <a:fld id="{18E0A9DF-BFC1-4D08-BB05-AF075A439DB0}" type="CATEGORYNAME">
                      <a:rPr lang="en-US" sz="1000">
                        <a:solidFill>
                          <a:srgbClr val="98C11D"/>
                        </a:solidFill>
                      </a:rPr>
                      <a:pPr>
                        <a:defRPr sz="1000" b="1" i="0" u="none" strike="noStrike" kern="1200" baseline="0">
                          <a:solidFill>
                            <a:schemeClr val="bg2">
                              <a:lumMod val="50000"/>
                            </a:schemeClr>
                          </a:solidFill>
                          <a:latin typeface="+mn-lt"/>
                          <a:ea typeface="+mn-ea"/>
                          <a:cs typeface="+mn-cs"/>
                        </a:defRPr>
                      </a:pPr>
                      <a:t>[CATEGORY NAME]</a:t>
                    </a:fld>
                    <a:r>
                      <a:rPr lang="en-US" sz="1000" baseline="0">
                        <a:solidFill>
                          <a:srgbClr val="98C11D"/>
                        </a:solidFill>
                      </a:rPr>
                      <a:t>
</a:t>
                    </a:r>
                    <a:fld id="{B135CA67-18EC-4CCD-A5E5-5C83D784E834}" type="PERCENTAGE">
                      <a:rPr lang="en-US" sz="1000" baseline="0">
                        <a:solidFill>
                          <a:srgbClr val="98C11D"/>
                        </a:solidFill>
                      </a:rPr>
                      <a:pPr>
                        <a:defRPr sz="1000" b="1" i="0" u="none" strike="noStrike" kern="1200" baseline="0">
                          <a:solidFill>
                            <a:schemeClr val="bg2">
                              <a:lumMod val="50000"/>
                            </a:schemeClr>
                          </a:solidFill>
                          <a:latin typeface="+mn-lt"/>
                          <a:ea typeface="+mn-ea"/>
                          <a:cs typeface="+mn-cs"/>
                        </a:defRPr>
                      </a:pPr>
                      <a:t>[PERCENTAGE]</a:t>
                    </a:fld>
                    <a:endParaRPr lang="en-US" sz="1000" baseline="0">
                      <a:solidFill>
                        <a:srgbClr val="98C11D"/>
                      </a:solidFill>
                    </a:endParaRPr>
                  </a:p>
                </c:rich>
              </c:tx>
              <c:spPr>
                <a:noFill/>
                <a:ln>
                  <a:noFill/>
                </a:ln>
                <a:effectLst/>
              </c:sp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0.22814111261872455"/>
                      <c:h val="0.45183514022638488"/>
                    </c:manualLayout>
                  </c15:layout>
                  <c15:dlblFieldTable/>
                  <c15:showDataLabelsRange val="0"/>
                </c:ext>
                <c:ext xmlns:c16="http://schemas.microsoft.com/office/drawing/2014/chart" uri="{C3380CC4-5D6E-409C-BE32-E72D297353CC}">
                  <c16:uniqueId val="{00000005-9F84-45A8-9D40-C6827EEF5E1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50000"/>
                      </a:schemeClr>
                    </a:solidFill>
                    <a:latin typeface="+mn-lt"/>
                    <a:ea typeface="+mn-ea"/>
                    <a:cs typeface="+mn-cs"/>
                  </a:defRPr>
                </a:pPr>
                <a:endParaRPr lang="en-US"/>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rect">
                    <a:avLst/>
                  </a:prstGeom>
                </c15:spPr>
              </c:ext>
            </c:extLst>
          </c:dLbls>
          <c:cat>
            <c:strRef>
              <c:f>Sheet1!$A$2:$A$4</c:f>
              <c:strCache>
                <c:ptCount val="3"/>
                <c:pt idx="0">
                  <c:v>Poor quality practice, process, and workforce</c:v>
                </c:pt>
                <c:pt idx="1">
                  <c:v>Scheme integrity </c:v>
                </c:pt>
                <c:pt idx="2">
                  <c:v>Participants’ rights and scheme principles </c:v>
                </c:pt>
              </c:strCache>
            </c:strRef>
          </c:cat>
          <c:val>
            <c:numRef>
              <c:f>Sheet1!$B$2:$B$4</c:f>
              <c:numCache>
                <c:formatCode>General</c:formatCode>
                <c:ptCount val="3"/>
                <c:pt idx="0">
                  <c:v>37</c:v>
                </c:pt>
                <c:pt idx="1">
                  <c:v>17</c:v>
                </c:pt>
                <c:pt idx="2">
                  <c:v>3</c:v>
                </c:pt>
              </c:numCache>
            </c:numRef>
          </c:val>
          <c:extLst>
            <c:ext xmlns:c16="http://schemas.microsoft.com/office/drawing/2014/chart" uri="{C3380CC4-5D6E-409C-BE32-E72D297353CC}">
              <c16:uniqueId val="{00000006-9F84-45A8-9D40-C6827EEF5E10}"/>
            </c:ext>
          </c:extLst>
        </c:ser>
        <c:dLbls>
          <c:dLblPos val="ctr"/>
          <c:showLegendKey val="0"/>
          <c:showVal val="0"/>
          <c:showCatName val="0"/>
          <c:showSerName val="0"/>
          <c:showPercent val="1"/>
          <c:showBubbleSize val="0"/>
          <c:showLeaderLines val="0"/>
        </c:dLbls>
        <c:firstSliceAng val="116"/>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Therapeutic supports</c:v>
                </c:pt>
              </c:strCache>
            </c:strRef>
          </c:tx>
          <c:spPr>
            <a:ln>
              <a:solidFill>
                <a:schemeClr val="bg1"/>
              </a:solidFill>
            </a:ln>
          </c:spPr>
          <c:dPt>
            <c:idx val="0"/>
            <c:bubble3D val="0"/>
            <c:spPr>
              <a:solidFill>
                <a:srgbClr val="612C69"/>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507-4AE6-98F6-928E68F6284C}"/>
              </c:ext>
            </c:extLst>
          </c:dPt>
          <c:dPt>
            <c:idx val="1"/>
            <c:bubble3D val="0"/>
            <c:spPr>
              <a:solidFill>
                <a:srgbClr val="943C84"/>
              </a:solidFill>
              <a:ln>
                <a:solidFill>
                  <a:schemeClr val="bg1"/>
                </a:solid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507-4AE6-98F6-928E68F6284C}"/>
              </c:ext>
            </c:extLst>
          </c:dPt>
          <c:dPt>
            <c:idx val="2"/>
            <c:bubble3D val="0"/>
            <c:spPr>
              <a:solidFill>
                <a:srgbClr val="98C11D"/>
              </a:solidFill>
              <a:ln>
                <a:solidFill>
                  <a:schemeClr val="bg1"/>
                </a:solidFill>
              </a:ln>
            </c:spPr>
            <c:extLst>
              <c:ext xmlns:c16="http://schemas.microsoft.com/office/drawing/2014/chart" uri="{C3380CC4-5D6E-409C-BE32-E72D297353CC}">
                <c16:uniqueId val="{00000005-A507-4AE6-98F6-928E68F6284C}"/>
              </c:ext>
            </c:extLst>
          </c:dPt>
          <c:dLbls>
            <c:dLbl>
              <c:idx val="0"/>
              <c:tx>
                <c:rich>
                  <a:bodyPr/>
                  <a:lstStyle/>
                  <a:p>
                    <a:fld id="{DA185189-BCA5-4228-8ECA-B0F9C92683D5}" type="CATEGORYNAME">
                      <a:rPr lang="en-US">
                        <a:solidFill>
                          <a:srgbClr val="612C69"/>
                        </a:solidFill>
                      </a:rPr>
                      <a:pPr/>
                      <a:t>[CATEGORY NAME]</a:t>
                    </a:fld>
                    <a:r>
                      <a:rPr lang="en-US" baseline="0">
                        <a:solidFill>
                          <a:srgbClr val="612C69"/>
                        </a:solidFill>
                      </a:rPr>
                      <a:t>
</a:t>
                    </a:r>
                    <a:fld id="{1D41DC0A-95CE-4D60-A644-783F5B2FE2A7}" type="PERCENTAGE">
                      <a:rPr lang="en-US" baseline="0">
                        <a:solidFill>
                          <a:srgbClr val="612C69"/>
                        </a:solidFill>
                      </a:rPr>
                      <a:pPr/>
                      <a:t>[PERCENTAGE]</a:t>
                    </a:fld>
                    <a:endParaRPr lang="en-US" baseline="0">
                      <a:solidFill>
                        <a:srgbClr val="612C69"/>
                      </a:solidFill>
                    </a:endParaRPr>
                  </a:p>
                </c:rich>
              </c:tx>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A507-4AE6-98F6-928E68F6284C}"/>
                </c:ext>
              </c:extLst>
            </c:dLbl>
            <c:dLbl>
              <c:idx val="1"/>
              <c:tx>
                <c:rich>
                  <a:bodyPr/>
                  <a:lstStyle/>
                  <a:p>
                    <a:fld id="{E98B997F-FF29-4AEF-AA53-F67C5992F812}" type="CATEGORYNAME">
                      <a:rPr lang="en-US">
                        <a:solidFill>
                          <a:srgbClr val="943C84"/>
                        </a:solidFill>
                      </a:rPr>
                      <a:pPr/>
                      <a:t>[CATEGORY NAME]</a:t>
                    </a:fld>
                    <a:r>
                      <a:rPr lang="en-US" baseline="0">
                        <a:solidFill>
                          <a:srgbClr val="943C84"/>
                        </a:solidFill>
                      </a:rPr>
                      <a:t>
</a:t>
                    </a:r>
                    <a:fld id="{FBC767A2-C218-47A2-9751-2AF732693408}" type="PERCENTAGE">
                      <a:rPr lang="en-US" baseline="0">
                        <a:solidFill>
                          <a:srgbClr val="943C84"/>
                        </a:solidFill>
                      </a:rPr>
                      <a:pPr/>
                      <a:t>[PERCENTAGE]</a:t>
                    </a:fld>
                    <a:endParaRPr lang="en-US" baseline="0">
                      <a:solidFill>
                        <a:srgbClr val="943C84"/>
                      </a:solidFill>
                    </a:endParaRPr>
                  </a:p>
                </c:rich>
              </c:tx>
              <c:dLblPos val="outEnd"/>
              <c:showLegendKey val="0"/>
              <c:showVal val="0"/>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A507-4AE6-98F6-928E68F6284C}"/>
                </c:ext>
              </c:extLst>
            </c:dLbl>
            <c:dLbl>
              <c:idx val="2"/>
              <c:layout>
                <c:manualLayout>
                  <c:x val="-7.8639405638213866E-2"/>
                  <c:y val="2.8845459243494347E-3"/>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bg2">
                            <a:lumMod val="50000"/>
                          </a:schemeClr>
                        </a:solidFill>
                        <a:latin typeface="+mn-lt"/>
                        <a:ea typeface="+mn-ea"/>
                        <a:cs typeface="+mn-cs"/>
                      </a:defRPr>
                    </a:pPr>
                    <a:fld id="{93EE44C7-26BE-4EE4-A6D9-462003167BC0}" type="CATEGORYNAME">
                      <a:rPr lang="en-US">
                        <a:solidFill>
                          <a:srgbClr val="98C11D"/>
                        </a:solidFill>
                      </a:rPr>
                      <a:pPr>
                        <a:defRPr sz="1000" b="1" i="0" u="none" strike="noStrike" kern="1200" baseline="0">
                          <a:solidFill>
                            <a:schemeClr val="bg2">
                              <a:lumMod val="50000"/>
                            </a:schemeClr>
                          </a:solidFill>
                          <a:latin typeface="+mn-lt"/>
                          <a:ea typeface="+mn-ea"/>
                          <a:cs typeface="+mn-cs"/>
                        </a:defRPr>
                      </a:pPr>
                      <a:t>[CATEGORY NAME]</a:t>
                    </a:fld>
                    <a:r>
                      <a:rPr lang="en-US" baseline="0">
                        <a:solidFill>
                          <a:srgbClr val="98C11D"/>
                        </a:solidFill>
                      </a:rPr>
                      <a:t>
</a:t>
                    </a:r>
                    <a:fld id="{86479003-5AA1-4DB8-9684-C6CB20B4BDDF}" type="PERCENTAGE">
                      <a:rPr lang="en-US" baseline="0">
                        <a:solidFill>
                          <a:srgbClr val="98C11D"/>
                        </a:solidFill>
                      </a:rPr>
                      <a:pPr>
                        <a:defRPr sz="1000" b="1" i="0" u="none" strike="noStrike" kern="1200" baseline="0">
                          <a:solidFill>
                            <a:schemeClr val="bg2">
                              <a:lumMod val="50000"/>
                            </a:schemeClr>
                          </a:solidFill>
                          <a:latin typeface="+mn-lt"/>
                          <a:ea typeface="+mn-ea"/>
                          <a:cs typeface="+mn-cs"/>
                        </a:defRPr>
                      </a:pPr>
                      <a:t>[PERCENTAGE]</a:t>
                    </a:fld>
                    <a:endParaRPr lang="en-US" baseline="0">
                      <a:solidFill>
                        <a:srgbClr val="98C11D"/>
                      </a:solidFill>
                    </a:endParaRPr>
                  </a:p>
                </c:rich>
              </c:tx>
              <c:spPr>
                <a:noFill/>
                <a:ln>
                  <a:noFill/>
                </a:ln>
                <a:effectLst/>
              </c:sp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3778744139400545"/>
                      <c:h val="0.39131357698142355"/>
                    </c:manualLayout>
                  </c15:layout>
                  <c15:dlblFieldTable/>
                  <c15:showDataLabelsRange val="0"/>
                </c:ext>
                <c:ext xmlns:c16="http://schemas.microsoft.com/office/drawing/2014/chart" uri="{C3380CC4-5D6E-409C-BE32-E72D297353CC}">
                  <c16:uniqueId val="{00000005-A507-4AE6-98F6-928E68F6284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2">
                        <a:lumMod val="50000"/>
                      </a:schemeClr>
                    </a:solidFill>
                    <a:latin typeface="+mn-lt"/>
                    <a:ea typeface="+mn-ea"/>
                    <a:cs typeface="+mn-cs"/>
                  </a:defRPr>
                </a:pPr>
                <a:endParaRPr lang="en-US"/>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15:spPr xmlns:c15="http://schemas.microsoft.com/office/drawing/2012/chart">
                  <a:prstGeom prst="rect">
                    <a:avLst/>
                  </a:prstGeom>
                </c15:spPr>
              </c:ext>
            </c:extLst>
          </c:dLbls>
          <c:cat>
            <c:strRef>
              <c:f>Sheet1!$A$2:$A$4</c:f>
              <c:strCache>
                <c:ptCount val="3"/>
                <c:pt idx="0">
                  <c:v>Poor quality practice, process, and workforce</c:v>
                </c:pt>
                <c:pt idx="1">
                  <c:v>Scheme integrity </c:v>
                </c:pt>
                <c:pt idx="2">
                  <c:v>Participants’ rights and scheme principles </c:v>
                </c:pt>
              </c:strCache>
            </c:strRef>
          </c:cat>
          <c:val>
            <c:numRef>
              <c:f>Sheet1!$B$2:$B$4</c:f>
              <c:numCache>
                <c:formatCode>General</c:formatCode>
                <c:ptCount val="3"/>
                <c:pt idx="0">
                  <c:v>38</c:v>
                </c:pt>
                <c:pt idx="1">
                  <c:v>40</c:v>
                </c:pt>
                <c:pt idx="2">
                  <c:v>5</c:v>
                </c:pt>
              </c:numCache>
            </c:numRef>
          </c:val>
          <c:extLst>
            <c:ext xmlns:c16="http://schemas.microsoft.com/office/drawing/2014/chart" uri="{C3380CC4-5D6E-409C-BE32-E72D297353CC}">
              <c16:uniqueId val="{00000006-A507-4AE6-98F6-928E68F6284C}"/>
            </c:ext>
          </c:extLst>
        </c:ser>
        <c:dLbls>
          <c:dLblPos val="ctr"/>
          <c:showLegendKey val="0"/>
          <c:showVal val="0"/>
          <c:showCatName val="0"/>
          <c:showSerName val="0"/>
          <c:showPercent val="1"/>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'[Complaints chart data.xlsx]Sheet26'!$C$1</c:f>
              <c:strCache>
                <c:ptCount val="1"/>
                <c:pt idx="0">
                  <c:v>Specific Theme 2</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Pt>
            <c:idx val="0"/>
            <c:invertIfNegative val="0"/>
            <c:bubble3D val="0"/>
            <c:spPr>
              <a:solidFill>
                <a:srgbClr val="612C69"/>
              </a:solidFill>
              <a:ln w="9525" cap="flat" cmpd="sng" algn="ctr">
                <a:solidFill>
                  <a:srgbClr val="943C84"/>
                </a:solidFill>
                <a:round/>
              </a:ln>
              <a:effectLst/>
            </c:spPr>
            <c:extLst>
              <c:ext xmlns:c16="http://schemas.microsoft.com/office/drawing/2014/chart" uri="{C3380CC4-5D6E-409C-BE32-E72D297353CC}">
                <c16:uniqueId val="{00000001-8137-4746-91F7-8BFBFE839FF1}"/>
              </c:ext>
            </c:extLst>
          </c:dPt>
          <c:dPt>
            <c:idx val="1"/>
            <c:invertIfNegative val="0"/>
            <c:bubble3D val="0"/>
            <c:spPr>
              <a:solidFill>
                <a:srgbClr val="612C69"/>
              </a:solidFill>
              <a:ln w="9525" cap="flat" cmpd="sng" algn="ctr">
                <a:solidFill>
                  <a:srgbClr val="612C69"/>
                </a:solidFill>
                <a:round/>
              </a:ln>
              <a:effectLst/>
            </c:spPr>
            <c:extLst>
              <c:ext xmlns:c16="http://schemas.microsoft.com/office/drawing/2014/chart" uri="{C3380CC4-5D6E-409C-BE32-E72D297353CC}">
                <c16:uniqueId val="{00000003-8137-4746-91F7-8BFBFE839FF1}"/>
              </c:ext>
            </c:extLst>
          </c:dPt>
          <c:dPt>
            <c:idx val="2"/>
            <c:invertIfNegative val="0"/>
            <c:bubble3D val="0"/>
            <c:spPr>
              <a:solidFill>
                <a:srgbClr val="612C69"/>
              </a:solidFill>
              <a:ln w="9525" cap="flat" cmpd="sng" algn="ctr">
                <a:solidFill>
                  <a:srgbClr val="612C69"/>
                </a:solidFill>
                <a:round/>
              </a:ln>
              <a:effectLst/>
            </c:spPr>
            <c:extLst>
              <c:ext xmlns:c16="http://schemas.microsoft.com/office/drawing/2014/chart" uri="{C3380CC4-5D6E-409C-BE32-E72D297353CC}">
                <c16:uniqueId val="{00000005-8137-4746-91F7-8BFBFE839FF1}"/>
              </c:ext>
            </c:extLst>
          </c:dPt>
          <c:dPt>
            <c:idx val="3"/>
            <c:invertIfNegative val="0"/>
            <c:bubble3D val="0"/>
            <c:spPr>
              <a:solidFill>
                <a:srgbClr val="612C69"/>
              </a:solidFill>
              <a:ln w="9525" cap="flat" cmpd="sng" algn="ctr">
                <a:solidFill>
                  <a:srgbClr val="612C69"/>
                </a:solidFill>
                <a:round/>
              </a:ln>
              <a:effectLst/>
            </c:spPr>
            <c:extLst>
              <c:ext xmlns:c16="http://schemas.microsoft.com/office/drawing/2014/chart" uri="{C3380CC4-5D6E-409C-BE32-E72D297353CC}">
                <c16:uniqueId val="{00000007-8137-4746-91F7-8BFBFE839FF1}"/>
              </c:ext>
            </c:extLst>
          </c:dPt>
          <c:dPt>
            <c:idx val="4"/>
            <c:invertIfNegative val="0"/>
            <c:bubble3D val="0"/>
            <c:spPr>
              <a:solidFill>
                <a:srgbClr val="612C69"/>
              </a:solidFill>
              <a:ln w="9525" cap="flat" cmpd="sng" algn="ctr">
                <a:solidFill>
                  <a:srgbClr val="612C69"/>
                </a:solidFill>
                <a:round/>
              </a:ln>
              <a:effectLst/>
            </c:spPr>
            <c:extLst>
              <c:ext xmlns:c16="http://schemas.microsoft.com/office/drawing/2014/chart" uri="{C3380CC4-5D6E-409C-BE32-E72D297353CC}">
                <c16:uniqueId val="{00000009-8137-4746-91F7-8BFBFE839FF1}"/>
              </c:ext>
            </c:extLst>
          </c:dPt>
          <c:dPt>
            <c:idx val="5"/>
            <c:invertIfNegative val="0"/>
            <c:bubble3D val="0"/>
            <c:spPr>
              <a:solidFill>
                <a:srgbClr val="943C84"/>
              </a:solidFill>
              <a:ln w="9525" cap="flat" cmpd="sng" algn="ctr">
                <a:solidFill>
                  <a:srgbClr val="943C84"/>
                </a:solidFill>
                <a:round/>
              </a:ln>
              <a:effectLst/>
            </c:spPr>
            <c:extLst>
              <c:ext xmlns:c16="http://schemas.microsoft.com/office/drawing/2014/chart" uri="{C3380CC4-5D6E-409C-BE32-E72D297353CC}">
                <c16:uniqueId val="{0000000B-8137-4746-91F7-8BFBFE839FF1}"/>
              </c:ext>
            </c:extLst>
          </c:dPt>
          <c:dPt>
            <c:idx val="6"/>
            <c:invertIfNegative val="0"/>
            <c:bubble3D val="0"/>
            <c:spPr>
              <a:solidFill>
                <a:srgbClr val="943C84"/>
              </a:solidFill>
              <a:ln w="9525" cap="flat" cmpd="sng" algn="ctr">
                <a:solidFill>
                  <a:srgbClr val="943C84"/>
                </a:solidFill>
                <a:round/>
              </a:ln>
              <a:effectLst/>
            </c:spPr>
            <c:extLst>
              <c:ext xmlns:c16="http://schemas.microsoft.com/office/drawing/2014/chart" uri="{C3380CC4-5D6E-409C-BE32-E72D297353CC}">
                <c16:uniqueId val="{0000000D-8137-4746-91F7-8BFBFE839FF1}"/>
              </c:ext>
            </c:extLst>
          </c:dPt>
          <c:dPt>
            <c:idx val="7"/>
            <c:invertIfNegative val="0"/>
            <c:bubble3D val="0"/>
            <c:spPr>
              <a:solidFill>
                <a:srgbClr val="943C84"/>
              </a:solidFill>
              <a:ln w="9525" cap="flat" cmpd="sng" algn="ctr">
                <a:solidFill>
                  <a:srgbClr val="943C84"/>
                </a:solidFill>
                <a:round/>
              </a:ln>
              <a:effectLst/>
            </c:spPr>
            <c:extLst>
              <c:ext xmlns:c16="http://schemas.microsoft.com/office/drawing/2014/chart" uri="{C3380CC4-5D6E-409C-BE32-E72D297353CC}">
                <c16:uniqueId val="{0000000F-8137-4746-91F7-8BFBFE839FF1}"/>
              </c:ext>
            </c:extLst>
          </c:dPt>
          <c:dPt>
            <c:idx val="8"/>
            <c:invertIfNegative val="0"/>
            <c:bubble3D val="0"/>
            <c:spPr>
              <a:solidFill>
                <a:srgbClr val="137E43"/>
              </a:solidFill>
              <a:ln w="9525" cap="flat" cmpd="sng" algn="ctr">
                <a:solidFill>
                  <a:srgbClr val="137E43"/>
                </a:solidFill>
                <a:round/>
              </a:ln>
              <a:effectLst/>
            </c:spPr>
            <c:extLst>
              <c:ext xmlns:c16="http://schemas.microsoft.com/office/drawing/2014/chart" uri="{C3380CC4-5D6E-409C-BE32-E72D297353CC}">
                <c16:uniqueId val="{00000011-8137-4746-91F7-8BFBFE839FF1}"/>
              </c:ext>
            </c:extLst>
          </c:dPt>
          <c:dPt>
            <c:idx val="9"/>
            <c:invertIfNegative val="0"/>
            <c:bubble3D val="0"/>
            <c:spPr>
              <a:solidFill>
                <a:srgbClr val="137E43"/>
              </a:solidFill>
              <a:ln w="9525" cap="flat" cmpd="sng" algn="ctr">
                <a:solidFill>
                  <a:srgbClr val="137E43"/>
                </a:solidFill>
                <a:round/>
              </a:ln>
              <a:effectLst/>
            </c:spPr>
            <c:extLst>
              <c:ext xmlns:c16="http://schemas.microsoft.com/office/drawing/2014/chart" uri="{C3380CC4-5D6E-409C-BE32-E72D297353CC}">
                <c16:uniqueId val="{00000013-8137-4746-91F7-8BFBFE839FF1}"/>
              </c:ext>
            </c:extLst>
          </c:dPt>
          <c:dPt>
            <c:idx val="10"/>
            <c:invertIfNegative val="0"/>
            <c:bubble3D val="0"/>
            <c:spPr>
              <a:solidFill>
                <a:srgbClr val="137E43"/>
              </a:solidFill>
              <a:ln w="9525" cap="flat" cmpd="sng" algn="ctr">
                <a:solidFill>
                  <a:srgbClr val="137E43"/>
                </a:solidFill>
                <a:round/>
              </a:ln>
              <a:effectLst/>
            </c:spPr>
            <c:extLst>
              <c:ext xmlns:c16="http://schemas.microsoft.com/office/drawing/2014/chart" uri="{C3380CC4-5D6E-409C-BE32-E72D297353CC}">
                <c16:uniqueId val="{00000015-8137-4746-91F7-8BFBFE839FF1}"/>
              </c:ext>
            </c:extLst>
          </c:dPt>
          <c:dPt>
            <c:idx val="11"/>
            <c:invertIfNegative val="0"/>
            <c:bubble3D val="0"/>
            <c:spPr>
              <a:solidFill>
                <a:srgbClr val="137E43"/>
              </a:solidFill>
              <a:ln w="9525" cap="flat" cmpd="sng" algn="ctr">
                <a:solidFill>
                  <a:srgbClr val="137E43"/>
                </a:solidFill>
                <a:round/>
              </a:ln>
              <a:effectLst/>
            </c:spPr>
            <c:extLst>
              <c:ext xmlns:c16="http://schemas.microsoft.com/office/drawing/2014/chart" uri="{C3380CC4-5D6E-409C-BE32-E72D297353CC}">
                <c16:uniqueId val="{00000017-8137-4746-91F7-8BFBFE839FF1}"/>
              </c:ext>
            </c:extLst>
          </c:dPt>
          <c:dPt>
            <c:idx val="12"/>
            <c:invertIfNegative val="0"/>
            <c:bubble3D val="0"/>
            <c:spPr>
              <a:solidFill>
                <a:srgbClr val="98C11D"/>
              </a:solidFill>
              <a:ln w="9525" cap="flat" cmpd="sng" algn="ctr">
                <a:solidFill>
                  <a:srgbClr val="98C11D"/>
                </a:solidFill>
                <a:round/>
              </a:ln>
              <a:effectLst/>
            </c:spPr>
            <c:extLst>
              <c:ext xmlns:c16="http://schemas.microsoft.com/office/drawing/2014/chart" uri="{C3380CC4-5D6E-409C-BE32-E72D297353CC}">
                <c16:uniqueId val="{00000019-8137-4746-91F7-8BFBFE839FF1}"/>
              </c:ext>
            </c:extLst>
          </c:dPt>
          <c:dPt>
            <c:idx val="13"/>
            <c:invertIfNegative val="0"/>
            <c:bubble3D val="0"/>
            <c:spPr>
              <a:solidFill>
                <a:srgbClr val="98C11D"/>
              </a:solidFill>
              <a:ln w="9525" cap="flat" cmpd="sng" algn="ctr">
                <a:solidFill>
                  <a:srgbClr val="98C11D"/>
                </a:solidFill>
                <a:round/>
              </a:ln>
              <a:effectLst/>
            </c:spPr>
            <c:extLst>
              <c:ext xmlns:c16="http://schemas.microsoft.com/office/drawing/2014/chart" uri="{C3380CC4-5D6E-409C-BE32-E72D297353CC}">
                <c16:uniqueId val="{0000001B-8137-4746-91F7-8BFBFE839FF1}"/>
              </c:ext>
            </c:extLst>
          </c:dPt>
          <c:dPt>
            <c:idx val="14"/>
            <c:invertIfNegative val="0"/>
            <c:bubble3D val="0"/>
            <c:spPr>
              <a:solidFill>
                <a:srgbClr val="98C11D"/>
              </a:solidFill>
              <a:ln w="9525" cap="flat" cmpd="sng" algn="ctr">
                <a:solidFill>
                  <a:srgbClr val="98C11D"/>
                </a:solidFill>
                <a:round/>
              </a:ln>
              <a:effectLst/>
            </c:spPr>
            <c:extLst>
              <c:ext xmlns:c16="http://schemas.microsoft.com/office/drawing/2014/chart" uri="{C3380CC4-5D6E-409C-BE32-E72D297353CC}">
                <c16:uniqueId val="{0000001D-8137-4746-91F7-8BFBFE839FF1}"/>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[1]Sheet26!$A$2:$B$16</c:f>
              <c:multiLvlStrCache>
                <c:ptCount val="15"/>
                <c:lvl>
                  <c:pt idx="0">
                    <c:v>Poor quality 
of supports</c:v>
                  </c:pt>
                  <c:pt idx="1">
                    <c:v>Worker 
Conduct </c:v>
                  </c:pt>
                  <c:pt idx="2">
                    <c:v>Governance and
management</c:v>
                  </c:pt>
                  <c:pt idx="3">
                    <c:v>Workforce</c:v>
                  </c:pt>
                  <c:pt idx="4">
                    <c:v>Culturally insensitive 
and unsafe practices </c:v>
                  </c:pt>
                  <c:pt idx="5">
                    <c:v>Financial 
integrity</c:v>
                  </c:pt>
                  <c:pt idx="6">
                    <c:v>Conflict of 
Interest</c:v>
                  </c:pt>
                  <c:pt idx="7">
                    <c:v>Sharp 
practices</c:v>
                  </c:pt>
                  <c:pt idx="8">
                    <c:v>Exploitation</c:v>
                  </c:pt>
                  <c:pt idx="9">
                    <c:v>Neglect</c:v>
                  </c:pt>
                  <c:pt idx="10">
                    <c:v>Violence 
and 
abuse</c:v>
                  </c:pt>
                  <c:pt idx="11">
                    <c:v>Restrictive 
Practices</c:v>
                  </c:pt>
                  <c:pt idx="12">
                    <c:v>Choice and 
Control</c:v>
                  </c:pt>
                  <c:pt idx="13">
                    <c:v>Access and 
continuity</c:v>
                  </c:pt>
                  <c:pt idx="14">
                    <c:v>Supported and
substituted 
decision making</c:v>
                  </c:pt>
                </c:lvl>
                <c:lvl>
                  <c:pt idx="0">
                    <c:v>Poor quality practice, process and workforce 
47%</c:v>
                  </c:pt>
                  <c:pt idx="5">
                    <c:v>Scheme integrity 
26%</c:v>
                  </c:pt>
                  <c:pt idx="8">
                    <c:v>Violence, abuse and neglect 
19%</c:v>
                  </c:pt>
                  <c:pt idx="12">
                    <c:v>Participant rights and scheme principles
8%</c:v>
                  </c:pt>
                </c:lvl>
              </c:multiLvlStrCache>
            </c:multiLvlStrRef>
          </c:cat>
          <c:val>
            <c:numRef>
              <c:f>[1]Sheet26!$C$2:$C$16</c:f>
              <c:numCache>
                <c:formatCode>0%</c:formatCode>
                <c:ptCount val="15"/>
                <c:pt idx="0">
                  <c:v>0.19</c:v>
                </c:pt>
                <c:pt idx="1">
                  <c:v>0.12</c:v>
                </c:pt>
                <c:pt idx="2">
                  <c:v>0.11</c:v>
                </c:pt>
                <c:pt idx="3">
                  <c:v>0.04</c:v>
                </c:pt>
                <c:pt idx="4">
                  <c:v>0</c:v>
                </c:pt>
                <c:pt idx="5">
                  <c:v>0.21</c:v>
                </c:pt>
                <c:pt idx="6">
                  <c:v>0.04</c:v>
                </c:pt>
                <c:pt idx="7">
                  <c:v>0.01</c:v>
                </c:pt>
                <c:pt idx="8">
                  <c:v>0.06</c:v>
                </c:pt>
                <c:pt idx="9">
                  <c:v>0.06</c:v>
                </c:pt>
                <c:pt idx="10">
                  <c:v>0.05</c:v>
                </c:pt>
                <c:pt idx="11">
                  <c:v>0.02</c:v>
                </c:pt>
                <c:pt idx="12">
                  <c:v>0.05</c:v>
                </c:pt>
                <c:pt idx="13">
                  <c:v>0.03</c:v>
                </c:pt>
                <c:pt idx="14">
                  <c:v>0.01</c:v>
                </c:pt>
              </c:numCache>
            </c:numRef>
          </c:val>
          <c:extLst>
            <c:ext xmlns:c16="http://schemas.microsoft.com/office/drawing/2014/chart" uri="{C3380CC4-5D6E-409C-BE32-E72D297353CC}">
              <c16:uniqueId val="{0000001E-8137-4746-91F7-8BFBFE839FF1}"/>
            </c:ext>
          </c:extLst>
        </c:ser>
        <c:dLbls>
          <c:dLblPos val="outEnd"/>
          <c:showLegendKey val="0"/>
          <c:showVal val="1"/>
          <c:showCatName val="0"/>
          <c:showSerName val="0"/>
          <c:showPercent val="0"/>
          <c:showBubbleSize val="0"/>
        </c:dLbls>
        <c:gapWidth val="100"/>
        <c:overlap val="-24"/>
        <c:axId val="1150899088"/>
        <c:axId val="1150899448"/>
      </c:barChart>
      <c:catAx>
        <c:axId val="11508990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crossAx val="1150899448"/>
        <c:crosses val="autoZero"/>
        <c:auto val="1"/>
        <c:lblAlgn val="ctr"/>
        <c:lblOffset val="100"/>
        <c:noMultiLvlLbl val="0"/>
      </c:catAx>
      <c:valAx>
        <c:axId val="1150899448"/>
        <c:scaling>
          <c:orientation val="minMax"/>
        </c:scaling>
        <c:delete val="1"/>
        <c:axPos val="l"/>
        <c:numFmt formatCode="0%" sourceLinked="1"/>
        <c:majorTickMark val="none"/>
        <c:minorTickMark val="none"/>
        <c:tickLblPos val="nextTo"/>
        <c:crossAx val="1150899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4152AEC-C566-4AC8-A9E7-611D6D77213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F9CD40579B1814AA6D877B7D71DAA96" ma:contentTypeVersion="" ma:contentTypeDescription="PDMS Document Site Content Type" ma:contentTypeScope="" ma:versionID="4e9bb72be69fd87332ac171459dc7baa">
  <xsd:schema xmlns:xsd="http://www.w3.org/2001/XMLSchema" xmlns:xs="http://www.w3.org/2001/XMLSchema" xmlns:p="http://schemas.microsoft.com/office/2006/metadata/properties" xmlns:ns2="84152AEC-C566-4AC8-A9E7-611D6D77213E" targetNamespace="http://schemas.microsoft.com/office/2006/metadata/properties" ma:root="true" ma:fieldsID="71229900aab0acd0d392e083b7353b91" ns2:_="">
    <xsd:import namespace="84152AEC-C566-4AC8-A9E7-611D6D77213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52AEC-C566-4AC8-A9E7-611D6D77213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448A1-68C3-4F91-8323-5E26BD0CCE4C}">
  <ds:schemaRefs>
    <ds:schemaRef ds:uri="http://schemas.microsoft.com/sharepoint/v3/contenttype/forms"/>
  </ds:schemaRefs>
</ds:datastoreItem>
</file>

<file path=customXml/itemProps2.xml><?xml version="1.0" encoding="utf-8"?>
<ds:datastoreItem xmlns:ds="http://schemas.openxmlformats.org/officeDocument/2006/customXml" ds:itemID="{21F1BB36-3812-49E3-8754-90D9C4E23CC9}">
  <ds:schemaRefs>
    <ds:schemaRef ds:uri="http://schemas.microsoft.com/office/2006/metadata/properties"/>
    <ds:schemaRef ds:uri="http://schemas.microsoft.com/office/infopath/2007/PartnerControls"/>
    <ds:schemaRef ds:uri="84152AEC-C566-4AC8-A9E7-611D6D77213E"/>
  </ds:schemaRefs>
</ds:datastoreItem>
</file>

<file path=customXml/itemProps3.xml><?xml version="1.0" encoding="utf-8"?>
<ds:datastoreItem xmlns:ds="http://schemas.openxmlformats.org/officeDocument/2006/customXml" ds:itemID="{467F1AFA-3246-47E3-BAD5-9DE6B92F0F35}">
  <ds:schemaRefs>
    <ds:schemaRef ds:uri="http://schemas.openxmlformats.org/officeDocument/2006/bibliography"/>
  </ds:schemaRefs>
</ds:datastoreItem>
</file>

<file path=customXml/itemProps4.xml><?xml version="1.0" encoding="utf-8"?>
<ds:datastoreItem xmlns:ds="http://schemas.openxmlformats.org/officeDocument/2006/customXml" ds:itemID="{37336028-7905-42EF-B5A3-0716F0423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52AEC-C566-4AC8-A9E7-611D6D7721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Template>
  <TotalTime>0</TotalTime>
  <Pages>8</Pages>
  <Words>1492</Words>
  <Characters>8748</Characters>
  <Application>Microsoft Office Word</Application>
  <DocSecurity>0</DocSecurity>
  <Lines>149</Lines>
  <Paragraphs>61</Paragraphs>
  <ScaleCrop>false</ScaleCrop>
  <HeadingPairs>
    <vt:vector size="2" baseType="variant">
      <vt:variant>
        <vt:lpstr>Title</vt:lpstr>
      </vt:variant>
      <vt:variant>
        <vt:i4>1</vt:i4>
      </vt:variant>
    </vt:vector>
  </HeadingPairs>
  <TitlesOfParts>
    <vt:vector size="1" baseType="lpstr">
      <vt:lpstr>Document template - portrait layout</vt:lpstr>
    </vt:vector>
  </TitlesOfParts>
  <Company/>
  <LinksUpToDate>false</LinksUpToDate>
  <CharactersWithSpaces>10210</CharactersWithSpaces>
  <SharedDoc>false</SharedDoc>
  <HLinks>
    <vt:vector size="6" baseType="variant">
      <vt:variant>
        <vt:i4>7798870</vt:i4>
      </vt:variant>
      <vt:variant>
        <vt:i4>0</vt:i4>
      </vt:variant>
      <vt:variant>
        <vt:i4>0</vt:i4>
      </vt:variant>
      <vt:variant>
        <vt:i4>5</vt:i4>
      </vt:variant>
      <vt:variant>
        <vt:lpwstr>mailto:Ross.ANDREWS@ndiscommission.gov.au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 - portrait layout</dc:title>
  <dc:subject/>
  <dc:creator>D'OLIER, Kim</dc:creator>
  <cp:keywords>[SEC=OFFICIAL]</cp:keywords>
  <dc:description>DOTX Document template - portrait - v 2.1 (July 2023)</dc:description>
  <cp:lastModifiedBy>GOULDING, Sharna</cp:lastModifiedBy>
  <cp:revision>2</cp:revision>
  <dcterms:created xsi:type="dcterms:W3CDTF">2024-08-28T00:28:00Z</dcterms:created>
  <dcterms:modified xsi:type="dcterms:W3CDTF">2024-08-28T00:28:00Z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C6E30C209EB04CC6B88BBBEEF3B3CE6C</vt:lpwstr>
  </property>
  <property fmtid="{D5CDD505-2E9C-101B-9397-08002B2CF9AE}" pid="9" name="PM_ProtectiveMarkingValue_Footer">
    <vt:lpwstr>OFFICIAL</vt:lpwstr>
  </property>
  <property fmtid="{D5CDD505-2E9C-101B-9397-08002B2CF9AE}" pid="10" name="PM_OriginationTimeStamp">
    <vt:lpwstr>2023-07-25T00:10:21Z</vt:lpwstr>
  </property>
  <property fmtid="{D5CDD505-2E9C-101B-9397-08002B2CF9AE}" pid="11" name="PM_ProtectiveMarkingValue_Header">
    <vt:lpwstr>OFFICIAL</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vt:lpwstr>
  </property>
  <property fmtid="{D5CDD505-2E9C-101B-9397-08002B2CF9AE}" pid="18" name="PM_Hash_Version">
    <vt:lpwstr>2022.1</vt:lpwstr>
  </property>
  <property fmtid="{D5CDD505-2E9C-101B-9397-08002B2CF9AE}" pid="19" name="PM_OriginatorDomainName_SHA256">
    <vt:lpwstr>CE53151D70EF3143B9B6CA1DC053F41E858E2C804CF2EE5AE813E5CCE407743B</vt:lpwstr>
  </property>
  <property fmtid="{D5CDD505-2E9C-101B-9397-08002B2CF9AE}" pid="20" name="PM_SecurityClassification_Prev">
    <vt:lpwstr>OFFICIAL</vt:lpwstr>
  </property>
  <property fmtid="{D5CDD505-2E9C-101B-9397-08002B2CF9AE}" pid="21" name="PM_Qualifier_Prev">
    <vt:lpwstr/>
  </property>
  <property fmtid="{D5CDD505-2E9C-101B-9397-08002B2CF9AE}" pid="22" name="MSIP_Label_eb34d90b-fc41-464d-af60-f74d721d0790_SetDate">
    <vt:lpwstr>2023-07-25T00:10:21Z</vt:lpwstr>
  </property>
  <property fmtid="{D5CDD505-2E9C-101B-9397-08002B2CF9AE}" pid="23" name="MSIP_Label_eb34d90b-fc41-464d-af60-f74d721d0790_Name">
    <vt:lpwstr>OFFICIAL</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ContentBits">
    <vt:lpwstr>0</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PMUuid">
    <vt:lpwstr>v=2022.2;d=gov.au;g=46DD6D7C-8107-577B-BC6E-F348953B2E44</vt:lpwstr>
  </property>
  <property fmtid="{D5CDD505-2E9C-101B-9397-08002B2CF9AE}" pid="29" name="ContentTypeId">
    <vt:lpwstr>0x010100266966F133664895A6EE3632470D45F5002F9CD40579B1814AA6D877B7D71DAA96</vt:lpwstr>
  </property>
  <property fmtid="{D5CDD505-2E9C-101B-9397-08002B2CF9AE}" pid="30" name="MediaServiceImageTags">
    <vt:lpwstr/>
  </property>
  <property fmtid="{D5CDD505-2E9C-101B-9397-08002B2CF9AE}" pid="31" name="PM_Originator_Hash_SHA1">
    <vt:lpwstr>7537365F9C38E7D74B57276EDD53E78D65B3317B</vt:lpwstr>
  </property>
  <property fmtid="{D5CDD505-2E9C-101B-9397-08002B2CF9AE}" pid="32" name="PM_Hash_Salt_Prev">
    <vt:lpwstr>31952B957A7C6463693F271808A2A9D4</vt:lpwstr>
  </property>
  <property fmtid="{D5CDD505-2E9C-101B-9397-08002B2CF9AE}" pid="33" name="PM_Hash_Salt">
    <vt:lpwstr>9601F9FEFA5B0B545CF7F834BE2384B9</vt:lpwstr>
  </property>
  <property fmtid="{D5CDD505-2E9C-101B-9397-08002B2CF9AE}" pid="34" name="PM_Hash_SHA1">
    <vt:lpwstr>664BEC57181EED84AE0E380646273A25D6D9D8D1</vt:lpwstr>
  </property>
  <property fmtid="{D5CDD505-2E9C-101B-9397-08002B2CF9AE}" pid="35" name="PM_OriginatorUserAccountName_SHA256">
    <vt:lpwstr>40573B5EF12A1A952F9C003C942585076288749D817442BA47DF3157D63C4408</vt:lpwstr>
  </property>
  <property fmtid="{D5CDD505-2E9C-101B-9397-08002B2CF9AE}" pid="36" name="PMHMAC">
    <vt:lpwstr>v=2022.1;a=SHA256;h=F21F7CE32A2930E05594D5A97A768A36D6737D4729E25E2FED6C545DFE618A8B</vt:lpwstr>
  </property>
  <property fmtid="{D5CDD505-2E9C-101B-9397-08002B2CF9AE}" pid="37" name="MSIP_Label_eb34d90b-fc41-464d-af60-f74d721d0790_ActionId">
    <vt:lpwstr>96fce2304820400a9018a791e5b2c2f9</vt:lpwstr>
  </property>
</Properties>
</file>