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2859" w14:textId="1E5661A3" w:rsidR="00D23398" w:rsidRDefault="007D5FB7" w:rsidP="00D23398">
      <w:pPr>
        <w:pStyle w:val="Heading1"/>
        <w:bidi/>
        <w:spacing w:before="0" w:after="120" w:line="240" w:lineRule="auto"/>
        <w:rPr>
          <w:rFonts w:ascii="Dubai" w:hAnsi="Dubai" w:cs="Dubai"/>
          <w:bCs/>
          <w:noProof/>
          <w:sz w:val="84"/>
          <w:szCs w:val="84"/>
          <w:lang w:val="ar" w:eastAsia="en-AU"/>
        </w:rPr>
      </w:pPr>
      <w:bookmarkStart w:id="0" w:name="_Toc169093098"/>
      <w:r w:rsidRPr="003A66CF">
        <w:rPr>
          <w:rFonts w:ascii="Dubai" w:hAnsi="Dubai" w:cs="Dubai"/>
          <w:bCs/>
          <w:noProof/>
          <w:sz w:val="84"/>
          <w:szCs w:val="84"/>
          <w:rtl/>
          <w:lang w:val="ar" w:eastAsia="en-AU"/>
        </w:rPr>
        <w:t>الإشراف على القدرات</w:t>
      </w:r>
      <w:bookmarkEnd w:id="0"/>
    </w:p>
    <w:p w14:paraId="72EC693A" w14:textId="45007D02" w:rsidR="00E57DAE" w:rsidRPr="00E57DAE" w:rsidRDefault="00E57DAE" w:rsidP="00E57DAE">
      <w:pPr>
        <w:pStyle w:val="Footer"/>
        <w:bidi/>
        <w:rPr>
          <w:rFonts w:ascii="Dubai" w:hAnsi="Dubai" w:cs="Dubai"/>
          <w:b/>
          <w:bCs/>
          <w:color w:val="612C69"/>
          <w:sz w:val="34"/>
          <w:szCs w:val="34"/>
        </w:rPr>
      </w:pPr>
      <w:r w:rsidRPr="00E57DAE">
        <w:rPr>
          <w:rFonts w:ascii="Dubai" w:hAnsi="Dubai" w:cs="Dubai"/>
          <w:b/>
          <w:bCs/>
          <w:color w:val="612C69"/>
          <w:sz w:val="34"/>
          <w:szCs w:val="34"/>
          <w:rtl/>
        </w:rPr>
        <w:t>العربية</w:t>
      </w:r>
      <w:r w:rsidRPr="00E57DAE">
        <w:rPr>
          <w:rFonts w:ascii="Dubai" w:hAnsi="Dubai" w:cs="Dubai"/>
          <w:b/>
          <w:bCs/>
          <w:color w:val="612C69"/>
          <w:sz w:val="34"/>
          <w:szCs w:val="34"/>
        </w:rPr>
        <w:t xml:space="preserve"> Arabic | </w:t>
      </w:r>
    </w:p>
    <w:p w14:paraId="335ECFB3" w14:textId="50E5B460" w:rsidR="00D23398" w:rsidRDefault="007D5FB7" w:rsidP="005F1470">
      <w:pPr>
        <w:pStyle w:val="NewCoverSubtitle"/>
        <w:framePr w:w="8505" w:h="4186" w:hRule="exact" w:wrap="notBeside" w:vAnchor="page" w:hAnchor="page" w:x="1331" w:y="5013" w:anchorLock="1"/>
        <w:pBdr>
          <w:left w:val="none" w:sz="0" w:space="0" w:color="auto"/>
          <w:right w:val="single" w:sz="48" w:space="30" w:color="83B14C" w:themeColor="accent5"/>
        </w:pBdr>
        <w:bidi/>
        <w:spacing w:before="120" w:line="600" w:lineRule="atLeast"/>
        <w:rPr>
          <w:rFonts w:ascii="Dubai" w:hAnsi="Dubai" w:cs="Dubai"/>
          <w:noProof/>
          <w:color w:val="612C69"/>
          <w:sz w:val="60"/>
          <w:szCs w:val="60"/>
          <w:lang w:val="ar" w:eastAsia="en-AU"/>
        </w:rPr>
      </w:pPr>
      <w:r w:rsidRPr="00E57DAE">
        <w:rPr>
          <w:rFonts w:ascii="Dubai" w:hAnsi="Dubai" w:cs="Dubai"/>
          <w:noProof/>
          <w:color w:val="612C69"/>
          <w:sz w:val="60"/>
          <w:szCs w:val="60"/>
          <w:rtl/>
          <w:lang w:val="ar" w:eastAsia="en-AU"/>
        </w:rPr>
        <w:t xml:space="preserve">علاقة الإشراف والدعم: دليل </w:t>
      </w:r>
      <w:r w:rsidR="002A612E" w:rsidRPr="00E57DAE">
        <w:rPr>
          <w:rFonts w:ascii="Dubai" w:hAnsi="Dubai" w:cs="Dubai"/>
          <w:noProof/>
          <w:color w:val="612C69"/>
          <w:sz w:val="60"/>
          <w:szCs w:val="60"/>
          <w:lang w:val="ar" w:eastAsia="en-AU"/>
        </w:rPr>
        <w:br/>
      </w:r>
      <w:r w:rsidRPr="00E57DAE">
        <w:rPr>
          <w:rFonts w:ascii="Dubai" w:hAnsi="Dubai" w:cs="Dubai"/>
          <w:noProof/>
          <w:color w:val="612C69"/>
          <w:sz w:val="60"/>
          <w:szCs w:val="60"/>
          <w:rtl/>
          <w:lang w:val="ar" w:eastAsia="en-AU"/>
        </w:rPr>
        <w:t>للمشرفين والعمّال</w:t>
      </w:r>
    </w:p>
    <w:p w14:paraId="1745AB95" w14:textId="77777777" w:rsidR="005F1470" w:rsidRPr="00E57DAE" w:rsidRDefault="005F1470" w:rsidP="005F1470">
      <w:pPr>
        <w:pStyle w:val="NewCoverSubtitle"/>
        <w:framePr w:w="8505" w:h="4186" w:hRule="exact" w:wrap="notBeside" w:vAnchor="page" w:hAnchor="page" w:x="1331" w:y="5013" w:anchorLock="1"/>
        <w:pBdr>
          <w:left w:val="none" w:sz="0" w:space="0" w:color="auto"/>
          <w:right w:val="single" w:sz="48" w:space="30" w:color="83B14C" w:themeColor="accent5"/>
        </w:pBdr>
        <w:bidi/>
        <w:spacing w:before="120" w:line="600" w:lineRule="atLeast"/>
        <w:rPr>
          <w:rFonts w:ascii="Dubai" w:hAnsi="Dubai" w:cs="Dubai"/>
          <w:noProof/>
          <w:color w:val="612C69"/>
          <w:sz w:val="60"/>
          <w:szCs w:val="60"/>
          <w:lang w:eastAsia="en-AU"/>
        </w:rPr>
      </w:pPr>
    </w:p>
    <w:p w14:paraId="2D0DFE05" w14:textId="4044D54E" w:rsidR="00D23398" w:rsidRPr="009619F2" w:rsidRDefault="007D5FB7" w:rsidP="005F1470">
      <w:pPr>
        <w:pStyle w:val="NewCoverSubtitle"/>
        <w:framePr w:w="8505" w:h="4186" w:hRule="exact" w:wrap="notBeside" w:vAnchor="page" w:hAnchor="page" w:x="1331" w:y="5013" w:anchorLock="1"/>
        <w:pBdr>
          <w:left w:val="none" w:sz="0" w:space="0" w:color="auto"/>
          <w:right w:val="single" w:sz="48" w:space="30" w:color="83B14C" w:themeColor="accent5"/>
        </w:pBdr>
        <w:bidi/>
        <w:spacing w:before="0" w:after="1000" w:line="240" w:lineRule="auto"/>
        <w:rPr>
          <w:rFonts w:ascii="Dubai" w:hAnsi="Dubai" w:cs="Dubai"/>
          <w:noProof/>
          <w:color w:val="612C69"/>
          <w:sz w:val="40"/>
          <w:szCs w:val="40"/>
          <w:lang w:eastAsia="en-AU"/>
        </w:rPr>
      </w:pPr>
      <w:r w:rsidRPr="009619F2">
        <w:rPr>
          <w:rFonts w:ascii="Dubai" w:hAnsi="Dubai" w:cs="Dubai"/>
          <w:noProof/>
          <w:color w:val="612C69"/>
          <w:sz w:val="40"/>
          <w:szCs w:val="40"/>
          <w:rtl/>
          <w:lang w:val="ar" w:eastAsia="en-AU"/>
        </w:rPr>
        <w:t>أيلول / سبتمبر 2023</w:t>
      </w:r>
    </w:p>
    <w:p w14:paraId="0CD6D8B1" w14:textId="5A2506EC" w:rsidR="00D23398" w:rsidRPr="003A66CF" w:rsidRDefault="00B54099" w:rsidP="00FD59A1">
      <w:pPr>
        <w:suppressAutoHyphens w:val="0"/>
        <w:spacing w:before="120" w:after="120" w:line="240" w:lineRule="auto"/>
        <w:ind w:left="-1418"/>
        <w:rPr>
          <w:rFonts w:ascii="Dubai" w:hAnsi="Dubai" w:cs="Dubai"/>
        </w:rPr>
      </w:pPr>
      <w:r w:rsidRPr="003A66CF">
        <w:rPr>
          <w:rFonts w:ascii="Dubai" w:hAnsi="Dubai" w:cs="Dubai"/>
          <w:noProof/>
          <w:lang w:eastAsia="en-AU"/>
        </w:rPr>
        <w:drawing>
          <wp:inline distT="0" distB="0" distL="0" distR="0" wp14:anchorId="5F7DF188" wp14:editId="26267821">
            <wp:extent cx="7516495" cy="3728720"/>
            <wp:effectExtent l="0" t="0" r="8255" b="5080"/>
            <wp:docPr id="10" name="Picture 10" descr="إفريز الخلفية الزخرفية. الإفريز عبارة عن مجموعة من الرموز الباهتة لإطار عمل قدرة القوى العاملة لـ NDIS. تمثل الرموز إمكانات مختلفة داخل إطار العمل بما في ذلك: &quot;علاقتنا&quot;، &quot;تأثيرك&quot;، &quot;ادعمني&quot;، &quot;كن حاضرًا&quot;، &quot;تسجيل الدخول&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إفريز الخلفية الزخرفية. الإفريز عبارة عن مجموعة من الرموز الباهتة لإطار عمل قدرة القوى العاملة لـ NDIS. تمثل الرموز إمكانات مختلفة داخل إطار العمل بما في ذلك: &quot;علاقتنا&quot;، &quot;تأثيرك&quot;، &quot;ادعمني&quot;، &quot;كن حاضرًا&quot;، &quot;تسجيل الدخول&quot;."/>
                    <pic:cNvPicPr/>
                  </pic:nvPicPr>
                  <pic:blipFill rotWithShape="1">
                    <a:blip r:embed="rId8">
                      <a:extLst>
                        <a:ext uri="{28A0092B-C50C-407E-A947-70E740481C1C}">
                          <a14:useLocalDpi xmlns:a14="http://schemas.microsoft.com/office/drawing/2010/main" val="0"/>
                        </a:ext>
                      </a:extLst>
                    </a:blip>
                    <a:srcRect t="56109" b="8015"/>
                    <a:stretch/>
                  </pic:blipFill>
                  <pic:spPr bwMode="auto">
                    <a:xfrm>
                      <a:off x="0" y="0"/>
                      <a:ext cx="7516495" cy="3728720"/>
                    </a:xfrm>
                    <a:prstGeom prst="rect">
                      <a:avLst/>
                    </a:prstGeom>
                    <a:ln>
                      <a:noFill/>
                    </a:ln>
                    <a:extLst>
                      <a:ext uri="{53640926-AAD7-44D8-BBD7-CCE9431645EC}">
                        <a14:shadowObscured xmlns:a14="http://schemas.microsoft.com/office/drawing/2010/main"/>
                      </a:ext>
                    </a:extLst>
                  </pic:spPr>
                </pic:pic>
              </a:graphicData>
            </a:graphic>
          </wp:inline>
        </w:drawing>
      </w:r>
      <w:r w:rsidR="007D5FB7" w:rsidRPr="003A66CF">
        <w:rPr>
          <w:rFonts w:ascii="Dubai" w:hAnsi="Dubai" w:cs="Dubai"/>
          <w:noProof/>
          <w:lang w:eastAsia="en-AU"/>
        </w:rPr>
        <w:drawing>
          <wp:anchor distT="0" distB="0" distL="114300" distR="114300" simplePos="0" relativeHeight="251660288" behindDoc="0" locked="0" layoutInCell="1" allowOverlap="1" wp14:anchorId="60C33D8D" wp14:editId="41F2DB9D">
            <wp:simplePos x="0" y="0"/>
            <wp:positionH relativeFrom="column">
              <wp:posOffset>845820</wp:posOffset>
            </wp:positionH>
            <wp:positionV relativeFrom="page">
              <wp:posOffset>8401050</wp:posOffset>
            </wp:positionV>
            <wp:extent cx="1054800" cy="1054800"/>
            <wp:effectExtent l="0" t="0" r="0" b="0"/>
            <wp:wrapNone/>
            <wp:docPr id="19" name="Picture 19" descr="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7D5FB7" w:rsidRPr="003A66CF">
        <w:rPr>
          <w:rFonts w:ascii="Dubai" w:hAnsi="Dubai" w:cs="Dubai"/>
          <w:noProof/>
          <w:lang w:eastAsia="en-AU"/>
        </w:rPr>
        <w:drawing>
          <wp:anchor distT="0" distB="0" distL="114300" distR="114300" simplePos="0" relativeHeight="251659264" behindDoc="0" locked="0" layoutInCell="1" allowOverlap="1" wp14:anchorId="22144A74" wp14:editId="59877229">
            <wp:simplePos x="0" y="0"/>
            <wp:positionH relativeFrom="column">
              <wp:posOffset>3827145</wp:posOffset>
            </wp:positionH>
            <wp:positionV relativeFrom="page">
              <wp:posOffset>8401050</wp:posOffset>
            </wp:positionV>
            <wp:extent cx="1054800" cy="1054800"/>
            <wp:effectExtent l="0" t="0" r="0" b="0"/>
            <wp:wrapNone/>
            <wp:docPr id="16" name="Picture 16"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7D5FB7" w:rsidRPr="003A66CF">
        <w:rPr>
          <w:rFonts w:ascii="Dubai" w:hAnsi="Dubai" w:cs="Dubai"/>
        </w:rPr>
        <w:br w:type="page"/>
      </w:r>
    </w:p>
    <w:p w14:paraId="2943ADBB" w14:textId="77777777" w:rsidR="002058D6" w:rsidRPr="00E57DAE" w:rsidRDefault="007D5FB7" w:rsidP="002058D6">
      <w:pPr>
        <w:pStyle w:val="TOCHeading"/>
        <w:bidi/>
        <w:rPr>
          <w:rFonts w:ascii="Dubai" w:hAnsi="Dubai" w:cs="Dubai"/>
          <w:bCs/>
        </w:rPr>
      </w:pPr>
      <w:bookmarkStart w:id="1" w:name="_Toc125019645"/>
      <w:bookmarkStart w:id="2" w:name="_Toc119420750"/>
      <w:r w:rsidRPr="00E57DAE">
        <w:rPr>
          <w:rFonts w:ascii="Dubai" w:hAnsi="Dubai" w:cs="Dubai"/>
          <w:bCs/>
          <w:rtl/>
          <w:lang w:val="ar"/>
        </w:rPr>
        <w:lastRenderedPageBreak/>
        <w:t>المحتويات</w:t>
      </w:r>
      <w:bookmarkEnd w:id="1"/>
    </w:p>
    <w:bookmarkStart w:id="3" w:name="_Toc121325235"/>
    <w:p w14:paraId="6C94B927" w14:textId="55006A33" w:rsidR="00E221DC" w:rsidRPr="008F6BB8" w:rsidRDefault="007D5FB7" w:rsidP="00E221DC">
      <w:pPr>
        <w:pStyle w:val="TOC1"/>
        <w:rPr>
          <w:rFonts w:eastAsiaTheme="minorEastAsia"/>
          <w:b w:val="0"/>
          <w:color w:val="000000" w:themeColor="text1"/>
          <w:sz w:val="22"/>
          <w:szCs w:val="22"/>
          <w:lang w:val="en-PH" w:eastAsia="zh-CN"/>
        </w:rPr>
      </w:pPr>
      <w:r w:rsidRPr="008F6BB8">
        <w:rPr>
          <w:color w:val="000000" w:themeColor="text1"/>
          <w:sz w:val="22"/>
          <w:szCs w:val="26"/>
        </w:rPr>
        <w:fldChar w:fldCharType="begin"/>
      </w:r>
      <w:r w:rsidRPr="008F6BB8">
        <w:rPr>
          <w:color w:val="000000" w:themeColor="text1"/>
        </w:rPr>
        <w:instrText xml:space="preserve"> TOC \o "1-2" \h \z \u </w:instrText>
      </w:r>
      <w:r w:rsidRPr="008F6BB8">
        <w:rPr>
          <w:color w:val="000000" w:themeColor="text1"/>
          <w:sz w:val="22"/>
          <w:szCs w:val="26"/>
        </w:rPr>
        <w:fldChar w:fldCharType="separate"/>
      </w:r>
      <w:hyperlink w:anchor="_Toc169093099" w:history="1">
        <w:r w:rsidR="00E221DC" w:rsidRPr="008F6BB8">
          <w:rPr>
            <w:rStyle w:val="Hyperlink"/>
            <w:b w:val="0"/>
            <w:color w:val="000000" w:themeColor="text1"/>
            <w:rtl/>
          </w:rPr>
          <w:t>مفتاح أيقونة المستخدم</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_Toc169093099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2</w:t>
        </w:r>
        <w:r w:rsidR="00E221DC" w:rsidRPr="008F6BB8">
          <w:rPr>
            <w:b w:val="0"/>
            <w:webHidden/>
            <w:color w:val="000000" w:themeColor="text1"/>
          </w:rPr>
          <w:fldChar w:fldCharType="end"/>
        </w:r>
      </w:hyperlink>
    </w:p>
    <w:p w14:paraId="209006C7" w14:textId="04449C2B" w:rsidR="00E221DC" w:rsidRPr="008F6BB8" w:rsidRDefault="009E5DE1" w:rsidP="00E221DC">
      <w:pPr>
        <w:pStyle w:val="TOC1"/>
        <w:rPr>
          <w:rFonts w:eastAsiaTheme="minorEastAsia"/>
          <w:b w:val="0"/>
          <w:color w:val="000000" w:themeColor="text1"/>
          <w:sz w:val="22"/>
          <w:szCs w:val="22"/>
          <w:lang w:val="en-PH" w:eastAsia="zh-CN"/>
        </w:rPr>
      </w:pPr>
      <w:hyperlink w:anchor="_Toc169093100" w:history="1">
        <w:r w:rsidR="00E221DC" w:rsidRPr="008F6BB8">
          <w:rPr>
            <w:rStyle w:val="Hyperlink"/>
            <w:b w:val="0"/>
            <w:color w:val="000000" w:themeColor="text1"/>
            <w:rtl/>
          </w:rPr>
          <w:t>المقدّمة</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_Toc169093100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2</w:t>
        </w:r>
        <w:r w:rsidR="00E221DC" w:rsidRPr="008F6BB8">
          <w:rPr>
            <w:b w:val="0"/>
            <w:webHidden/>
            <w:color w:val="000000" w:themeColor="text1"/>
          </w:rPr>
          <w:fldChar w:fldCharType="end"/>
        </w:r>
      </w:hyperlink>
    </w:p>
    <w:p w14:paraId="5060D2A3" w14:textId="2DF7D8F8" w:rsidR="00E221DC" w:rsidRPr="008F6BB8" w:rsidRDefault="009E5DE1" w:rsidP="00E221DC">
      <w:pPr>
        <w:pStyle w:val="TOC2"/>
        <w:bidi/>
        <w:rPr>
          <w:rFonts w:ascii="Dubai" w:eastAsiaTheme="minorEastAsia" w:hAnsi="Dubai" w:cs="Dubai"/>
          <w:noProof/>
          <w:szCs w:val="22"/>
          <w:lang w:val="en-PH" w:eastAsia="zh-CN"/>
        </w:rPr>
      </w:pPr>
      <w:hyperlink w:anchor="_Toc169093101" w:history="1">
        <w:r w:rsidR="00E221DC" w:rsidRPr="008F6BB8">
          <w:rPr>
            <w:rStyle w:val="Hyperlink"/>
            <w:rFonts w:ascii="Dubai" w:hAnsi="Dubai" w:cs="Dubai"/>
            <w:noProof/>
            <w:color w:val="000000" w:themeColor="text1"/>
            <w:rtl/>
            <w:lang w:val="ar"/>
          </w:rPr>
          <w:t>موارد الإشراف ذات الصلة</w:t>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_Toc169093101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2</w:t>
        </w:r>
        <w:r w:rsidR="00E221DC" w:rsidRPr="008F6BB8">
          <w:rPr>
            <w:rFonts w:ascii="Dubai" w:hAnsi="Dubai" w:cs="Dubai"/>
            <w:noProof/>
            <w:webHidden/>
          </w:rPr>
          <w:fldChar w:fldCharType="end"/>
        </w:r>
      </w:hyperlink>
    </w:p>
    <w:p w14:paraId="2D7DA8F5" w14:textId="22F27098" w:rsidR="00E221DC" w:rsidRPr="008F6BB8" w:rsidRDefault="009E5DE1" w:rsidP="00E221DC">
      <w:pPr>
        <w:pStyle w:val="TOC2"/>
        <w:bidi/>
        <w:rPr>
          <w:rFonts w:ascii="Dubai" w:eastAsiaTheme="minorEastAsia" w:hAnsi="Dubai" w:cs="Dubai"/>
          <w:noProof/>
          <w:szCs w:val="22"/>
          <w:lang w:val="en-PH" w:eastAsia="zh-CN"/>
        </w:rPr>
      </w:pPr>
      <w:hyperlink w:anchor="_Toc169093102" w:history="1">
        <w:r w:rsidR="00E221DC" w:rsidRPr="008F6BB8">
          <w:rPr>
            <w:rStyle w:val="Hyperlink"/>
            <w:rFonts w:ascii="Dubai" w:hAnsi="Dubai" w:cs="Dubai"/>
            <w:noProof/>
            <w:color w:val="000000" w:themeColor="text1"/>
            <w:rtl/>
            <w:lang w:val="ar"/>
          </w:rPr>
          <w:t>ماذا يوجد في هذا الدليل</w:t>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_Toc169093102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3</w:t>
        </w:r>
        <w:r w:rsidR="00E221DC" w:rsidRPr="008F6BB8">
          <w:rPr>
            <w:rFonts w:ascii="Dubai" w:hAnsi="Dubai" w:cs="Dubai"/>
            <w:noProof/>
            <w:webHidden/>
          </w:rPr>
          <w:fldChar w:fldCharType="end"/>
        </w:r>
      </w:hyperlink>
    </w:p>
    <w:p w14:paraId="48C78E81" w14:textId="398C90B0" w:rsidR="00E221DC" w:rsidRPr="008F6BB8" w:rsidRDefault="009E5DE1" w:rsidP="00E221DC">
      <w:pPr>
        <w:pStyle w:val="TOC2"/>
        <w:bidi/>
        <w:rPr>
          <w:rFonts w:ascii="Dubai" w:eastAsiaTheme="minorEastAsia" w:hAnsi="Dubai" w:cs="Dubai"/>
          <w:noProof/>
          <w:szCs w:val="22"/>
          <w:lang w:val="en-PH" w:eastAsia="zh-CN"/>
        </w:rPr>
      </w:pPr>
      <w:hyperlink w:anchor="_Toc169093103" w:history="1">
        <w:r w:rsidR="00E221DC" w:rsidRPr="008F6BB8">
          <w:rPr>
            <w:rStyle w:val="Hyperlink"/>
            <w:rFonts w:ascii="Dubai" w:hAnsi="Dubai" w:cs="Dubai"/>
            <w:noProof/>
            <w:color w:val="000000" w:themeColor="text1"/>
            <w:rtl/>
            <w:lang w:val="ar"/>
          </w:rPr>
          <w:t>استخدام هذا الدليل</w:t>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_Toc169093103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3</w:t>
        </w:r>
        <w:r w:rsidR="00E221DC" w:rsidRPr="008F6BB8">
          <w:rPr>
            <w:rFonts w:ascii="Dubai" w:hAnsi="Dubai" w:cs="Dubai"/>
            <w:noProof/>
            <w:webHidden/>
          </w:rPr>
          <w:fldChar w:fldCharType="end"/>
        </w:r>
      </w:hyperlink>
    </w:p>
    <w:p w14:paraId="2AB2B9FD" w14:textId="307F099D" w:rsidR="00E221DC" w:rsidRPr="008F6BB8" w:rsidRDefault="009E5DE1" w:rsidP="00E221DC">
      <w:pPr>
        <w:pStyle w:val="TOC1"/>
        <w:rPr>
          <w:rFonts w:eastAsiaTheme="minorEastAsia"/>
          <w:b w:val="0"/>
          <w:color w:val="000000" w:themeColor="text1"/>
          <w:sz w:val="22"/>
          <w:szCs w:val="22"/>
          <w:lang w:val="en-PH" w:eastAsia="zh-CN"/>
        </w:rPr>
      </w:pPr>
      <w:hyperlink w:anchor="_Toc169093104" w:history="1">
        <w:r w:rsidR="00E221DC" w:rsidRPr="008F6BB8">
          <w:rPr>
            <w:rStyle w:val="Hyperlink"/>
            <w:b w:val="0"/>
            <w:color w:val="000000" w:themeColor="text1"/>
            <w:rtl/>
          </w:rPr>
          <w:t>أدوار ومسؤوليات المشرفين والعاملين</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_Toc169093104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4</w:t>
        </w:r>
        <w:r w:rsidR="00E221DC" w:rsidRPr="008F6BB8">
          <w:rPr>
            <w:b w:val="0"/>
            <w:webHidden/>
            <w:color w:val="000000" w:themeColor="text1"/>
          </w:rPr>
          <w:fldChar w:fldCharType="end"/>
        </w:r>
      </w:hyperlink>
    </w:p>
    <w:p w14:paraId="2595F18F" w14:textId="6F4DD378" w:rsidR="00E221DC" w:rsidRPr="008F6BB8" w:rsidRDefault="009E5DE1" w:rsidP="00E221DC">
      <w:pPr>
        <w:pStyle w:val="TOC2"/>
        <w:bidi/>
        <w:rPr>
          <w:rFonts w:ascii="Dubai" w:eastAsiaTheme="minorEastAsia" w:hAnsi="Dubai" w:cs="Dubai"/>
          <w:noProof/>
          <w:szCs w:val="22"/>
          <w:lang w:val="en-PH" w:eastAsia="zh-CN"/>
        </w:rPr>
      </w:pPr>
      <w:hyperlink w:anchor="_Toc169093105" w:history="1">
        <w:r w:rsidR="00E221DC" w:rsidRPr="008F6BB8">
          <w:rPr>
            <w:rStyle w:val="Hyperlink"/>
            <w:rFonts w:ascii="Dubai" w:hAnsi="Dubai" w:cs="Dubai"/>
            <w:noProof/>
            <w:color w:val="000000" w:themeColor="text1"/>
            <w:rtl/>
            <w:lang w:val="ar"/>
          </w:rPr>
          <w:t>المشرف</w:t>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_Toc169093105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4</w:t>
        </w:r>
        <w:r w:rsidR="00E221DC" w:rsidRPr="008F6BB8">
          <w:rPr>
            <w:rFonts w:ascii="Dubai" w:hAnsi="Dubai" w:cs="Dubai"/>
            <w:noProof/>
            <w:webHidden/>
          </w:rPr>
          <w:fldChar w:fldCharType="end"/>
        </w:r>
      </w:hyperlink>
    </w:p>
    <w:p w14:paraId="0460BBD7" w14:textId="551757DA" w:rsidR="00E221DC" w:rsidRPr="008F6BB8" w:rsidRDefault="009E5DE1" w:rsidP="00E221DC">
      <w:pPr>
        <w:pStyle w:val="TOC2"/>
        <w:bidi/>
        <w:rPr>
          <w:rFonts w:ascii="Dubai" w:eastAsiaTheme="minorEastAsia" w:hAnsi="Dubai" w:cs="Dubai"/>
          <w:noProof/>
          <w:szCs w:val="22"/>
          <w:lang w:val="en-PH" w:eastAsia="zh-CN"/>
        </w:rPr>
      </w:pPr>
      <w:hyperlink w:anchor="_Toc169093106" w:history="1">
        <w:r w:rsidR="00E221DC" w:rsidRPr="008F6BB8">
          <w:rPr>
            <w:rStyle w:val="Hyperlink"/>
            <w:rFonts w:ascii="Dubai" w:hAnsi="Dubai" w:cs="Dubai"/>
            <w:noProof/>
            <w:color w:val="000000" w:themeColor="text1"/>
            <w:rtl/>
            <w:lang w:val="ar"/>
          </w:rPr>
          <w:t>العامل</w:t>
        </w:r>
        <w:r w:rsidR="00E221DC" w:rsidRPr="008F6BB8">
          <w:rPr>
            <w:rStyle w:val="Hyperlink"/>
            <w:rFonts w:ascii="Dubai" w:hAnsi="Dubai" w:cs="Dubai"/>
            <w:noProof/>
            <w:color w:val="000000" w:themeColor="text1"/>
            <w:lang w:val="ar"/>
          </w:rPr>
          <w:tab/>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_Toc169093106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5</w:t>
        </w:r>
        <w:r w:rsidR="00E221DC" w:rsidRPr="008F6BB8">
          <w:rPr>
            <w:rFonts w:ascii="Dubai" w:hAnsi="Dubai" w:cs="Dubai"/>
            <w:noProof/>
            <w:webHidden/>
          </w:rPr>
          <w:fldChar w:fldCharType="end"/>
        </w:r>
      </w:hyperlink>
    </w:p>
    <w:p w14:paraId="0E12E620" w14:textId="31A156E6" w:rsidR="00E221DC" w:rsidRPr="008F6BB8" w:rsidRDefault="009E5DE1" w:rsidP="00E221DC">
      <w:pPr>
        <w:pStyle w:val="TOC1"/>
        <w:rPr>
          <w:rFonts w:eastAsiaTheme="minorEastAsia"/>
          <w:b w:val="0"/>
          <w:color w:val="000000" w:themeColor="text1"/>
          <w:sz w:val="22"/>
          <w:szCs w:val="22"/>
          <w:lang w:val="en-PH" w:eastAsia="zh-CN"/>
        </w:rPr>
      </w:pPr>
      <w:hyperlink w:anchor="_Toc169093107" w:history="1">
        <w:r w:rsidR="00E221DC" w:rsidRPr="008F6BB8">
          <w:rPr>
            <w:rStyle w:val="Hyperlink"/>
            <w:b w:val="0"/>
            <w:color w:val="000000" w:themeColor="text1"/>
            <w:rtl/>
          </w:rPr>
          <w:t>طرق الإشراف</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_Toc169093107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6</w:t>
        </w:r>
        <w:r w:rsidR="00E221DC" w:rsidRPr="008F6BB8">
          <w:rPr>
            <w:b w:val="0"/>
            <w:webHidden/>
            <w:color w:val="000000" w:themeColor="text1"/>
          </w:rPr>
          <w:fldChar w:fldCharType="end"/>
        </w:r>
      </w:hyperlink>
    </w:p>
    <w:p w14:paraId="061303E3" w14:textId="3BB15313" w:rsidR="00E221DC" w:rsidRPr="008F6BB8" w:rsidRDefault="009E5DE1" w:rsidP="00E221DC">
      <w:pPr>
        <w:pStyle w:val="TOC1"/>
        <w:rPr>
          <w:rFonts w:eastAsiaTheme="minorEastAsia"/>
          <w:b w:val="0"/>
          <w:color w:val="000000" w:themeColor="text1"/>
          <w:sz w:val="22"/>
          <w:szCs w:val="22"/>
          <w:lang w:val="en-PH" w:eastAsia="zh-CN"/>
        </w:rPr>
      </w:pPr>
      <w:hyperlink w:anchor="_Toc169093108" w:history="1">
        <w:r w:rsidR="00E221DC" w:rsidRPr="008F6BB8">
          <w:rPr>
            <w:rStyle w:val="Hyperlink"/>
            <w:b w:val="0"/>
            <w:color w:val="000000" w:themeColor="text1"/>
            <w:rtl/>
          </w:rPr>
          <w:t>إعداد العلاقة الإشرافية والترتيبات</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_Toc169093108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8</w:t>
        </w:r>
        <w:r w:rsidR="00E221DC" w:rsidRPr="008F6BB8">
          <w:rPr>
            <w:b w:val="0"/>
            <w:webHidden/>
            <w:color w:val="000000" w:themeColor="text1"/>
          </w:rPr>
          <w:fldChar w:fldCharType="end"/>
        </w:r>
      </w:hyperlink>
    </w:p>
    <w:p w14:paraId="2288E007" w14:textId="7B7F0C09" w:rsidR="00E221DC" w:rsidRPr="008F6BB8" w:rsidRDefault="009E5DE1" w:rsidP="00E221DC">
      <w:pPr>
        <w:pStyle w:val="TOC1"/>
        <w:rPr>
          <w:rFonts w:eastAsiaTheme="minorEastAsia"/>
          <w:b w:val="0"/>
          <w:color w:val="000000" w:themeColor="text1"/>
          <w:sz w:val="22"/>
          <w:szCs w:val="22"/>
          <w:lang w:val="en-PH" w:eastAsia="zh-CN"/>
        </w:rPr>
      </w:pPr>
      <w:hyperlink w:anchor="_Toc169093109" w:history="1">
        <w:r w:rsidR="00E221DC" w:rsidRPr="008F6BB8">
          <w:rPr>
            <w:rStyle w:val="Hyperlink"/>
            <w:b w:val="0"/>
            <w:color w:val="000000" w:themeColor="text1"/>
            <w:rtl/>
          </w:rPr>
          <w:t>تطوير اتفاقية الأداء</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_Toc169093109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11</w:t>
        </w:r>
        <w:r w:rsidR="00E221DC" w:rsidRPr="008F6BB8">
          <w:rPr>
            <w:b w:val="0"/>
            <w:webHidden/>
            <w:color w:val="000000" w:themeColor="text1"/>
          </w:rPr>
          <w:fldChar w:fldCharType="end"/>
        </w:r>
      </w:hyperlink>
    </w:p>
    <w:p w14:paraId="780727BC" w14:textId="45338B35" w:rsidR="00E221DC" w:rsidRPr="008F6BB8" w:rsidRDefault="009E5DE1" w:rsidP="00E221DC">
      <w:pPr>
        <w:pStyle w:val="TOC1"/>
        <w:rPr>
          <w:rFonts w:eastAsiaTheme="minorEastAsia"/>
          <w:b w:val="0"/>
          <w:color w:val="000000" w:themeColor="text1"/>
          <w:sz w:val="22"/>
          <w:szCs w:val="22"/>
          <w:lang w:val="en-PH" w:eastAsia="zh-CN"/>
        </w:rPr>
      </w:pPr>
      <w:hyperlink w:anchor="_Toc169093110" w:history="1">
        <w:r w:rsidR="00E221DC" w:rsidRPr="008F6BB8">
          <w:rPr>
            <w:rStyle w:val="Hyperlink"/>
            <w:b w:val="0"/>
            <w:color w:val="000000" w:themeColor="text1"/>
            <w:rtl/>
          </w:rPr>
          <w:t>دعم خطة تطوير القدرات</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_Toc169093110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12</w:t>
        </w:r>
        <w:r w:rsidR="00E221DC" w:rsidRPr="008F6BB8">
          <w:rPr>
            <w:b w:val="0"/>
            <w:webHidden/>
            <w:color w:val="000000" w:themeColor="text1"/>
          </w:rPr>
          <w:fldChar w:fldCharType="end"/>
        </w:r>
      </w:hyperlink>
    </w:p>
    <w:p w14:paraId="458C442B" w14:textId="1F0B3593" w:rsidR="00E221DC" w:rsidRPr="008F6BB8" w:rsidRDefault="009E5DE1" w:rsidP="00E221DC">
      <w:pPr>
        <w:pStyle w:val="TOC1"/>
        <w:rPr>
          <w:rFonts w:eastAsiaTheme="minorEastAsia"/>
          <w:b w:val="0"/>
          <w:color w:val="000000" w:themeColor="text1"/>
          <w:sz w:val="22"/>
          <w:szCs w:val="22"/>
          <w:lang w:val="en-PH" w:eastAsia="zh-CN"/>
        </w:rPr>
      </w:pPr>
      <w:hyperlink w:anchor="_Toc169093111" w:history="1">
        <w:r w:rsidR="00E221DC" w:rsidRPr="008F6BB8">
          <w:rPr>
            <w:rStyle w:val="Hyperlink"/>
            <w:b w:val="0"/>
            <w:color w:val="000000" w:themeColor="text1"/>
            <w:rtl/>
          </w:rPr>
          <w:t>دعم الرفاه</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_Toc169093111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13</w:t>
        </w:r>
        <w:r w:rsidR="00E221DC" w:rsidRPr="008F6BB8">
          <w:rPr>
            <w:b w:val="0"/>
            <w:webHidden/>
            <w:color w:val="000000" w:themeColor="text1"/>
          </w:rPr>
          <w:fldChar w:fldCharType="end"/>
        </w:r>
      </w:hyperlink>
    </w:p>
    <w:p w14:paraId="311FFC9D" w14:textId="52DF2FAC" w:rsidR="00E221DC" w:rsidRPr="008F6BB8" w:rsidRDefault="009E5DE1" w:rsidP="00E221DC">
      <w:pPr>
        <w:pStyle w:val="TOC2"/>
        <w:bidi/>
        <w:rPr>
          <w:rFonts w:ascii="Dubai" w:eastAsiaTheme="minorEastAsia" w:hAnsi="Dubai" w:cs="Dubai"/>
          <w:noProof/>
          <w:szCs w:val="22"/>
          <w:lang w:val="en-PH" w:eastAsia="zh-CN"/>
        </w:rPr>
      </w:pPr>
      <w:hyperlink w:anchor="_Toc169093112" w:history="1">
        <w:r w:rsidR="00E221DC" w:rsidRPr="008F6BB8">
          <w:rPr>
            <w:rStyle w:val="Hyperlink"/>
            <w:rFonts w:ascii="Dubai" w:hAnsi="Dubai" w:cs="Dubai"/>
            <w:noProof/>
            <w:color w:val="000000" w:themeColor="text1"/>
            <w:rtl/>
            <w:lang w:val="ar"/>
          </w:rPr>
          <w:t>مؤشّرات الرفاه في العمل</w:t>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_Toc169093112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13</w:t>
        </w:r>
        <w:r w:rsidR="00E221DC" w:rsidRPr="008F6BB8">
          <w:rPr>
            <w:rFonts w:ascii="Dubai" w:hAnsi="Dubai" w:cs="Dubai"/>
            <w:noProof/>
            <w:webHidden/>
          </w:rPr>
          <w:fldChar w:fldCharType="end"/>
        </w:r>
      </w:hyperlink>
    </w:p>
    <w:p w14:paraId="332AE874" w14:textId="1CAD9EDE" w:rsidR="00E221DC" w:rsidRPr="008F6BB8" w:rsidRDefault="009E5DE1" w:rsidP="00E221DC">
      <w:pPr>
        <w:pStyle w:val="TOC2"/>
        <w:bidi/>
        <w:rPr>
          <w:rFonts w:ascii="Dubai" w:eastAsiaTheme="minorEastAsia" w:hAnsi="Dubai" w:cs="Dubai"/>
          <w:noProof/>
          <w:szCs w:val="22"/>
          <w:lang w:val="en-PH" w:eastAsia="zh-CN"/>
        </w:rPr>
      </w:pPr>
      <w:hyperlink w:anchor="_Toc169093113" w:history="1">
        <w:r w:rsidR="00E221DC" w:rsidRPr="008F6BB8">
          <w:rPr>
            <w:rStyle w:val="Hyperlink"/>
            <w:rFonts w:ascii="Dubai" w:hAnsi="Dubai" w:cs="Dubai"/>
            <w:noProof/>
            <w:color w:val="000000" w:themeColor="text1"/>
            <w:rtl/>
            <w:lang w:val="ar"/>
          </w:rPr>
          <w:t>استراتيجيات لتعزيز الرفاه</w:t>
        </w:r>
        <w:r w:rsidR="00E221DC" w:rsidRPr="008F6BB8">
          <w:rPr>
            <w:rFonts w:ascii="Dubai" w:hAnsi="Dubai" w:cs="Dubai"/>
            <w:noProof/>
            <w:webHidden/>
          </w:rPr>
          <w:tab/>
        </w:r>
        <w:r w:rsidR="00E221DC" w:rsidRPr="008F6BB8">
          <w:rPr>
            <w:rFonts w:ascii="Dubai" w:hAnsi="Dubai" w:cs="Dubai"/>
            <w:noProof/>
            <w:webHidden/>
          </w:rPr>
          <w:fldChar w:fldCharType="begin"/>
        </w:r>
        <w:r w:rsidR="00E221DC" w:rsidRPr="008F6BB8">
          <w:rPr>
            <w:rFonts w:ascii="Dubai" w:hAnsi="Dubai" w:cs="Dubai"/>
            <w:noProof/>
            <w:webHidden/>
          </w:rPr>
          <w:instrText xml:space="preserve"> PAGEREF _Toc169093113 \h </w:instrText>
        </w:r>
        <w:r w:rsidR="00E221DC" w:rsidRPr="008F6BB8">
          <w:rPr>
            <w:rFonts w:ascii="Dubai" w:hAnsi="Dubai" w:cs="Dubai"/>
            <w:noProof/>
            <w:webHidden/>
          </w:rPr>
        </w:r>
        <w:r w:rsidR="00E221DC" w:rsidRPr="008F6BB8">
          <w:rPr>
            <w:rFonts w:ascii="Dubai" w:hAnsi="Dubai" w:cs="Dubai"/>
            <w:noProof/>
            <w:webHidden/>
          </w:rPr>
          <w:fldChar w:fldCharType="separate"/>
        </w:r>
        <w:r w:rsidR="001F231D">
          <w:rPr>
            <w:rFonts w:ascii="Dubai" w:hAnsi="Dubai" w:cs="Dubai"/>
            <w:noProof/>
            <w:webHidden/>
            <w:rtl/>
          </w:rPr>
          <w:t>13</w:t>
        </w:r>
        <w:r w:rsidR="00E221DC" w:rsidRPr="008F6BB8">
          <w:rPr>
            <w:rFonts w:ascii="Dubai" w:hAnsi="Dubai" w:cs="Dubai"/>
            <w:noProof/>
            <w:webHidden/>
          </w:rPr>
          <w:fldChar w:fldCharType="end"/>
        </w:r>
      </w:hyperlink>
    </w:p>
    <w:p w14:paraId="102486AE" w14:textId="65AAB3D5" w:rsidR="00E221DC" w:rsidRPr="008F6BB8" w:rsidRDefault="009E5DE1" w:rsidP="00E221DC">
      <w:pPr>
        <w:pStyle w:val="TOC1"/>
        <w:rPr>
          <w:rFonts w:eastAsiaTheme="minorEastAsia"/>
          <w:b w:val="0"/>
          <w:color w:val="000000" w:themeColor="text1"/>
          <w:sz w:val="22"/>
          <w:szCs w:val="22"/>
          <w:lang w:val="en-PH" w:eastAsia="zh-CN"/>
        </w:rPr>
      </w:pPr>
      <w:hyperlink w:anchor="_Toc169093114" w:history="1">
        <w:r w:rsidR="00E221DC" w:rsidRPr="008F6BB8">
          <w:rPr>
            <w:rStyle w:val="Hyperlink"/>
            <w:b w:val="0"/>
            <w:color w:val="000000" w:themeColor="text1"/>
            <w:rtl/>
          </w:rPr>
          <w:t>موارد مفيدة أخرى</w:t>
        </w:r>
        <w:r w:rsidR="00E221DC" w:rsidRPr="008F6BB8">
          <w:rPr>
            <w:b w:val="0"/>
            <w:webHidden/>
            <w:color w:val="000000" w:themeColor="text1"/>
          </w:rPr>
          <w:tab/>
        </w:r>
        <w:r w:rsidR="00E221DC" w:rsidRPr="008F6BB8">
          <w:rPr>
            <w:b w:val="0"/>
            <w:webHidden/>
            <w:color w:val="000000" w:themeColor="text1"/>
          </w:rPr>
          <w:fldChar w:fldCharType="begin"/>
        </w:r>
        <w:r w:rsidR="00E221DC" w:rsidRPr="008F6BB8">
          <w:rPr>
            <w:b w:val="0"/>
            <w:webHidden/>
            <w:color w:val="000000" w:themeColor="text1"/>
          </w:rPr>
          <w:instrText xml:space="preserve"> PAGEREF _Toc169093114 \h </w:instrText>
        </w:r>
        <w:r w:rsidR="00E221DC" w:rsidRPr="008F6BB8">
          <w:rPr>
            <w:b w:val="0"/>
            <w:webHidden/>
            <w:color w:val="000000" w:themeColor="text1"/>
          </w:rPr>
        </w:r>
        <w:r w:rsidR="00E221DC" w:rsidRPr="008F6BB8">
          <w:rPr>
            <w:b w:val="0"/>
            <w:webHidden/>
            <w:color w:val="000000" w:themeColor="text1"/>
          </w:rPr>
          <w:fldChar w:fldCharType="separate"/>
        </w:r>
        <w:r w:rsidR="001F231D">
          <w:rPr>
            <w:b w:val="0"/>
            <w:webHidden/>
            <w:color w:val="000000" w:themeColor="text1"/>
            <w:rtl/>
            <w:lang w:bidi="ar"/>
          </w:rPr>
          <w:t>14</w:t>
        </w:r>
        <w:r w:rsidR="00E221DC" w:rsidRPr="008F6BB8">
          <w:rPr>
            <w:b w:val="0"/>
            <w:webHidden/>
            <w:color w:val="000000" w:themeColor="text1"/>
          </w:rPr>
          <w:fldChar w:fldCharType="end"/>
        </w:r>
      </w:hyperlink>
    </w:p>
    <w:p w14:paraId="669A5FEC" w14:textId="644F8133" w:rsidR="005E55E6" w:rsidRPr="00E57DAE" w:rsidRDefault="007D5FB7" w:rsidP="00E221DC">
      <w:pPr>
        <w:pStyle w:val="Heading1"/>
        <w:bidi/>
        <w:rPr>
          <w:rFonts w:ascii="Dubai" w:hAnsi="Dubai" w:cs="Dubai"/>
          <w:bCs/>
        </w:rPr>
      </w:pPr>
      <w:r w:rsidRPr="008F6BB8">
        <w:rPr>
          <w:rFonts w:ascii="Dubai" w:hAnsi="Dubai" w:cs="Dubai"/>
          <w:b w:val="0"/>
          <w:bCs/>
          <w:color w:val="000000" w:themeColor="text1"/>
          <w:szCs w:val="32"/>
        </w:rPr>
        <w:lastRenderedPageBreak/>
        <w:fldChar w:fldCharType="end"/>
      </w:r>
      <w:bookmarkStart w:id="4" w:name="_Toc133563839"/>
      <w:bookmarkStart w:id="5" w:name="_Toc135213560"/>
      <w:bookmarkStart w:id="6" w:name="_Toc135231027"/>
      <w:r w:rsidRPr="00E57DAE">
        <w:rPr>
          <w:rFonts w:ascii="Dubai" w:hAnsi="Dubai" w:cs="Dubai"/>
          <w:bCs/>
          <w:rtl/>
          <w:lang w:val="ar"/>
        </w:rPr>
        <w:t xml:space="preserve"> </w:t>
      </w:r>
      <w:bookmarkStart w:id="7" w:name="_Toc169093099"/>
      <w:r w:rsidRPr="00E57DAE">
        <w:rPr>
          <w:rFonts w:ascii="Dubai" w:hAnsi="Dubai" w:cs="Dubai"/>
          <w:bCs/>
          <w:rtl/>
          <w:lang w:val="ar"/>
        </w:rPr>
        <w:t>مفتاح أيقونة المستخدم</w:t>
      </w:r>
      <w:bookmarkEnd w:id="4"/>
      <w:bookmarkEnd w:id="5"/>
      <w:bookmarkEnd w:id="6"/>
      <w:bookmarkEnd w:id="7"/>
    </w:p>
    <w:p w14:paraId="4B5ECD3B" w14:textId="20DB488B" w:rsidR="005E55E6" w:rsidRPr="003A66CF" w:rsidRDefault="007D5FB7" w:rsidP="003A66CF">
      <w:pPr>
        <w:keepNext/>
        <w:keepLines/>
        <w:bidi/>
        <w:rPr>
          <w:rFonts w:ascii="Dubai" w:hAnsi="Dubai" w:cs="Dubai"/>
          <w:szCs w:val="22"/>
        </w:rPr>
      </w:pPr>
      <w:r w:rsidRPr="003A66CF">
        <w:rPr>
          <w:rFonts w:ascii="Dubai" w:hAnsi="Dubai" w:cs="Dubai"/>
          <w:szCs w:val="22"/>
          <w:rtl/>
          <w:lang w:val="ar"/>
        </w:rPr>
        <w:t>يستخدم كل مستند في مجموعة موارد</w:t>
      </w:r>
      <w:r w:rsidR="005F1470" w:rsidRPr="005F1470">
        <w:rPr>
          <w:rFonts w:ascii="Dubai" w:hAnsi="Dubai" w:cs="Dubai"/>
          <w:szCs w:val="22"/>
          <w:rtl/>
          <w:lang w:val="ar"/>
        </w:rPr>
        <w:t xml:space="preserve"> </w:t>
      </w:r>
      <w:r w:rsidR="005F1470" w:rsidRPr="008F375B">
        <w:rPr>
          <w:rFonts w:ascii="Dubai" w:hAnsi="Dubai" w:cs="Dubai"/>
          <w:szCs w:val="22"/>
          <w:rtl/>
          <w:lang w:val="ar"/>
        </w:rPr>
        <w:t>إطار عمل</w:t>
      </w:r>
      <w:r w:rsidR="005F1470">
        <w:rPr>
          <w:rFonts w:ascii="Dubai" w:hAnsi="Dubai" w:cs="Dubai" w:hint="cs"/>
          <w:szCs w:val="22"/>
          <w:rtl/>
          <w:lang w:val="ar"/>
        </w:rPr>
        <w:t xml:space="preserve"> </w:t>
      </w:r>
      <w:r w:rsidR="005F1470" w:rsidRPr="008F375B">
        <w:rPr>
          <w:rFonts w:ascii="Dubai" w:hAnsi="Dubai" w:cs="Dubai"/>
          <w:szCs w:val="22"/>
          <w:lang w:val="ar"/>
        </w:rPr>
        <w:t>NDIS</w:t>
      </w:r>
      <w:r w:rsidR="005F1470" w:rsidRPr="008F375B">
        <w:rPr>
          <w:rFonts w:ascii="Dubai" w:hAnsi="Dubai" w:cs="Dubai"/>
          <w:szCs w:val="22"/>
          <w:rtl/>
          <w:lang w:val="ar"/>
        </w:rPr>
        <w:t xml:space="preserve"> </w:t>
      </w:r>
      <w:r w:rsidR="005F1470">
        <w:rPr>
          <w:rFonts w:ascii="Dubai" w:hAnsi="Dubai" w:cs="Dubai" w:hint="cs"/>
          <w:szCs w:val="22"/>
          <w:rtl/>
          <w:lang w:val="ar"/>
        </w:rPr>
        <w:t>ل</w:t>
      </w:r>
      <w:r w:rsidR="005F1470" w:rsidRPr="008F375B">
        <w:rPr>
          <w:rFonts w:ascii="Dubai" w:hAnsi="Dubai" w:cs="Dubai"/>
          <w:szCs w:val="22"/>
          <w:rtl/>
          <w:lang w:val="ar"/>
        </w:rPr>
        <w:t>قدرة القوى العاملة</w:t>
      </w:r>
      <w:r w:rsidRPr="003A66CF">
        <w:rPr>
          <w:rFonts w:ascii="Dubai" w:hAnsi="Dubai" w:cs="Dubai"/>
          <w:szCs w:val="22"/>
          <w:rtl/>
          <w:lang w:val="ar"/>
        </w:rPr>
        <w:t xml:space="preserve"> NDIS Workforce Capability Framework أيقونة واحدة أو أكثر لإظهار المستخدم أو المستخدمين المستهدفين.</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BE1249" w:rsidRPr="003A66CF" w14:paraId="312CBAF6" w14:textId="77777777" w:rsidTr="0069404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0EF42AE0" w14:textId="77777777" w:rsidR="005E55E6" w:rsidRPr="003A66CF" w:rsidRDefault="007D5FB7" w:rsidP="003A66CF">
            <w:pPr>
              <w:pStyle w:val="NormalTables"/>
              <w:keepNext/>
              <w:keepLines/>
              <w:bidi/>
              <w:ind w:left="-111"/>
              <w:jc w:val="center"/>
              <w:rPr>
                <w:rFonts w:ascii="Dubai" w:hAnsi="Dubai" w:cs="Dubai"/>
                <w:noProof/>
                <w:color w:val="FFFFFF" w:themeColor="background1"/>
                <w:szCs w:val="22"/>
                <w:lang w:eastAsia="en-AU"/>
              </w:rPr>
            </w:pPr>
            <w:r w:rsidRPr="003A66CF">
              <w:rPr>
                <w:rFonts w:ascii="Dubai" w:hAnsi="Dubai" w:cs="Dubai"/>
                <w:noProof/>
                <w:color w:val="FFFFFF" w:themeColor="background1"/>
                <w:szCs w:val="22"/>
                <w:rtl/>
                <w:lang w:val="ar" w:eastAsia="en-AU"/>
              </w:rPr>
              <w:t>أيقونة</w:t>
            </w:r>
          </w:p>
        </w:tc>
        <w:tc>
          <w:tcPr>
            <w:tcW w:w="7223" w:type="dxa"/>
          </w:tcPr>
          <w:p w14:paraId="481D9011" w14:textId="77777777" w:rsidR="005E55E6" w:rsidRPr="003A66CF" w:rsidRDefault="007D5FB7" w:rsidP="003A66CF">
            <w:pPr>
              <w:pStyle w:val="NormalTables"/>
              <w:keepNext/>
              <w:keepLines/>
              <w:bidi/>
              <w:cnfStyle w:val="100000000000" w:firstRow="1" w:lastRow="0" w:firstColumn="0" w:lastColumn="0" w:oddVBand="0" w:evenVBand="0" w:oddHBand="0" w:evenHBand="0" w:firstRowFirstColumn="0" w:firstRowLastColumn="0" w:lastRowFirstColumn="0" w:lastRowLastColumn="0"/>
              <w:rPr>
                <w:rFonts w:ascii="Dubai" w:hAnsi="Dubai" w:cs="Dubai"/>
                <w:color w:val="FFFFFF" w:themeColor="background1"/>
                <w:szCs w:val="22"/>
                <w:lang w:val="en-US"/>
              </w:rPr>
            </w:pPr>
            <w:r w:rsidRPr="003A66CF">
              <w:rPr>
                <w:rFonts w:ascii="Dubai" w:hAnsi="Dubai" w:cs="Dubai"/>
                <w:color w:val="FFFFFF" w:themeColor="background1"/>
                <w:szCs w:val="22"/>
                <w:rtl/>
                <w:lang w:val="ar"/>
              </w:rPr>
              <w:t>مفتاح</w:t>
            </w:r>
          </w:p>
        </w:tc>
      </w:tr>
      <w:tr w:rsidR="00BE1249" w:rsidRPr="003A66CF" w14:paraId="49389710" w14:textId="77777777" w:rsidTr="00A93566">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1C0D4098" w14:textId="77777777" w:rsidR="005E55E6" w:rsidRPr="003A66CF" w:rsidRDefault="007D5FB7" w:rsidP="003A66CF">
            <w:pPr>
              <w:pStyle w:val="NormalTables"/>
              <w:keepNext/>
              <w:keepLines/>
              <w:ind w:left="-111"/>
              <w:jc w:val="center"/>
              <w:rPr>
                <w:rFonts w:ascii="Dubai" w:hAnsi="Dubai" w:cs="Dubai"/>
                <w:color w:val="BA2E96" w:themeColor="accent3"/>
                <w:lang w:val="en-US"/>
              </w:rPr>
            </w:pPr>
            <w:r w:rsidRPr="003A66CF">
              <w:rPr>
                <w:rFonts w:ascii="Dubai" w:hAnsi="Dubai" w:cs="Dubai"/>
                <w:noProof/>
                <w:color w:val="5F2E74" w:themeColor="text2"/>
                <w:lang w:eastAsia="en-AU"/>
              </w:rPr>
              <w:drawing>
                <wp:inline distT="0" distB="0" distL="0" distR="0" wp14:anchorId="2DE42F12" wp14:editId="768B83D0">
                  <wp:extent cx="298450" cy="298450"/>
                  <wp:effectExtent l="0" t="0" r="6350" b="6350"/>
                  <wp:docPr id="17" name="Picture 17" descr="رمز إطار عمل NDIS لقدرة القوى العاملة الذي يمثل المشاركين في NDIS. الرمز عبارة عن دائرة خضراء صلبة مع صورة بيضاء صلبة في المنتصف. الصورة البيضاء على شكل حرف &quot;i&quot; صغ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رمز إطار عمل NDIS لقدرة القوى العاملة الذي يمثل المشاركين في NDIS. الرمز عبارة عن دائرة خضراء صلبة مع صورة بيضاء صلبة في المنتصف. الصورة البيضاء على شكل حرف &quot;i&quot; صغير."/>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373B6CC" w14:textId="77777777" w:rsidR="005E55E6" w:rsidRPr="003A66CF" w:rsidRDefault="007D5FB7" w:rsidP="00A93566">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5F2E74" w:themeColor="text2"/>
                <w:szCs w:val="22"/>
                <w:lang w:val="en-US"/>
              </w:rPr>
            </w:pPr>
            <w:r w:rsidRPr="003A66CF">
              <w:rPr>
                <w:rFonts w:ascii="Dubai" w:hAnsi="Dubai" w:cs="Dubai"/>
                <w:color w:val="5F2E74" w:themeColor="text2"/>
                <w:szCs w:val="22"/>
                <w:rtl/>
                <w:lang w:val="ar"/>
              </w:rPr>
              <w:t>المشاركون في NDIS</w:t>
            </w:r>
          </w:p>
        </w:tc>
      </w:tr>
      <w:tr w:rsidR="00BE1249" w:rsidRPr="003A66CF" w14:paraId="488198D5" w14:textId="77777777" w:rsidTr="00A9356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B080A52" w14:textId="77777777" w:rsidR="005E55E6" w:rsidRPr="003A66CF" w:rsidRDefault="007D5FB7" w:rsidP="003A66CF">
            <w:pPr>
              <w:pStyle w:val="NormalTables"/>
              <w:keepNext/>
              <w:keepLines/>
              <w:ind w:left="-111"/>
              <w:jc w:val="center"/>
              <w:rPr>
                <w:rFonts w:ascii="Dubai" w:hAnsi="Dubai" w:cs="Dubai"/>
                <w:color w:val="5F2E74" w:themeColor="text2"/>
                <w:lang w:val="en-US"/>
              </w:rPr>
            </w:pPr>
            <w:r w:rsidRPr="003A66CF">
              <w:rPr>
                <w:rFonts w:ascii="Dubai" w:hAnsi="Dubai" w:cs="Dubai"/>
                <w:noProof/>
                <w:color w:val="5F2E74" w:themeColor="text2"/>
                <w:lang w:eastAsia="en-AU"/>
              </w:rPr>
              <w:drawing>
                <wp:inline distT="0" distB="0" distL="0" distR="0" wp14:anchorId="4BF839D8" wp14:editId="0F6D9691">
                  <wp:extent cx="306070" cy="306070"/>
                  <wp:effectExtent l="0" t="0" r="0" b="0"/>
                  <wp:docPr id="22" name="Picture 22"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E80A689" w14:textId="77777777" w:rsidR="005E55E6" w:rsidRPr="003A66CF" w:rsidRDefault="007D5FB7" w:rsidP="00A93566">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5F2E74" w:themeColor="text2"/>
                <w:szCs w:val="22"/>
                <w:lang w:val="en-US"/>
              </w:rPr>
            </w:pPr>
            <w:r w:rsidRPr="003A66CF">
              <w:rPr>
                <w:rFonts w:ascii="Dubai" w:hAnsi="Dubai" w:cs="Dubai"/>
                <w:color w:val="5F2E74" w:themeColor="text2"/>
                <w:szCs w:val="22"/>
                <w:rtl/>
                <w:lang w:val="ar"/>
              </w:rPr>
              <w:t>العمّال</w:t>
            </w:r>
          </w:p>
        </w:tc>
      </w:tr>
      <w:tr w:rsidR="00BE1249" w:rsidRPr="003A66CF" w14:paraId="34DC4C02" w14:textId="77777777" w:rsidTr="00A9356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ED0ECA9" w14:textId="77777777" w:rsidR="005E55E6" w:rsidRPr="003A66CF" w:rsidRDefault="007D5FB7" w:rsidP="003A66CF">
            <w:pPr>
              <w:pStyle w:val="NormalTables"/>
              <w:keepNext/>
              <w:keepLines/>
              <w:ind w:left="-111"/>
              <w:jc w:val="center"/>
              <w:rPr>
                <w:rFonts w:ascii="Dubai" w:hAnsi="Dubai" w:cs="Dubai"/>
                <w:color w:val="5F2E74" w:themeColor="text2"/>
                <w:lang w:val="en-US"/>
              </w:rPr>
            </w:pPr>
            <w:r w:rsidRPr="003A66CF">
              <w:rPr>
                <w:rFonts w:ascii="Dubai" w:hAnsi="Dubai" w:cs="Dubai"/>
                <w:noProof/>
                <w:color w:val="5F2E74" w:themeColor="text2"/>
                <w:lang w:eastAsia="en-AU"/>
              </w:rPr>
              <w:drawing>
                <wp:inline distT="0" distB="0" distL="0" distR="0" wp14:anchorId="20E974B3" wp14:editId="3F1B8EAC">
                  <wp:extent cx="298450" cy="298450"/>
                  <wp:effectExtent l="0" t="0" r="6350" b="6350"/>
                  <wp:docPr id="3" name="Picture 3" descr="رمز المشرفين&#10;&#10;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رمز المشرفين&#10;&#10;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013DB99" w14:textId="77777777" w:rsidR="005E55E6" w:rsidRPr="003A66CF" w:rsidRDefault="007D5FB7" w:rsidP="00A93566">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5F2E74" w:themeColor="text2"/>
                <w:szCs w:val="22"/>
                <w:lang w:val="en-US"/>
              </w:rPr>
            </w:pPr>
            <w:r w:rsidRPr="003A66CF">
              <w:rPr>
                <w:rFonts w:ascii="Dubai" w:hAnsi="Dubai" w:cs="Dubai"/>
                <w:color w:val="5F2E74" w:themeColor="text2"/>
                <w:szCs w:val="22"/>
                <w:rtl/>
                <w:lang w:val="ar"/>
              </w:rPr>
              <w:t>المشرفون ومديرو الخطوط الأمامية</w:t>
            </w:r>
          </w:p>
        </w:tc>
      </w:tr>
      <w:tr w:rsidR="00BE1249" w:rsidRPr="003A66CF" w14:paraId="0293BF88" w14:textId="77777777" w:rsidTr="00A9356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25CB0E3" w14:textId="77777777" w:rsidR="005E55E6" w:rsidRPr="003A66CF" w:rsidRDefault="007D5FB7" w:rsidP="00C531EF">
            <w:pPr>
              <w:pStyle w:val="NormalTables"/>
              <w:ind w:left="-111"/>
              <w:jc w:val="center"/>
              <w:rPr>
                <w:rFonts w:ascii="Dubai" w:hAnsi="Dubai" w:cs="Dubai"/>
                <w:color w:val="5F2E74" w:themeColor="text2"/>
                <w:lang w:val="en-US"/>
              </w:rPr>
            </w:pPr>
            <w:r w:rsidRPr="003A66CF">
              <w:rPr>
                <w:rFonts w:ascii="Dubai" w:hAnsi="Dubai" w:cs="Dubai"/>
                <w:noProof/>
                <w:color w:val="5F2E74" w:themeColor="text2"/>
                <w:lang w:eastAsia="en-AU"/>
              </w:rPr>
              <w:drawing>
                <wp:inline distT="0" distB="0" distL="0" distR="0" wp14:anchorId="16F64A04" wp14:editId="28B58813">
                  <wp:extent cx="298450" cy="298450"/>
                  <wp:effectExtent l="0" t="0" r="6350" b="6350"/>
                  <wp:docPr id="5" name="Picture 5" descr="كبار المديرين والقادة &#10;&#10;رمز إطار عمل NDIS لقدرة القوى العاملة الذي يمثل كبار المديرين والقادة. الرمز عبارة عن دائرة خضراء صلبة مع صورة بيضاء في المنتصف. الصورة عبارة عن مخطط تفصيلي على شكل ثلاثة أحرف &quot;i&quot; صغيرة متصلة تحمل مستندً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كبار المديرين والقادة &#10;&#10;رمز إطار عمل NDIS لقدرة القوى العاملة الذي يمثل كبار المديرين والقادة. الرمز عبارة عن دائرة خضراء صلبة مع صورة بيضاء في المنتصف. الصورة عبارة عن مخطط تفصيلي على شكل ثلاثة أحرف &quot;i&quot; صغيرة متصلة تحمل مستندًا.&#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8FAA4DF" w14:textId="77777777" w:rsidR="005E55E6" w:rsidRPr="003A66CF" w:rsidRDefault="007D5FB7" w:rsidP="00A93566">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5F2E74" w:themeColor="text2"/>
                <w:szCs w:val="22"/>
                <w:lang w:val="en-US"/>
              </w:rPr>
            </w:pPr>
            <w:r w:rsidRPr="003A66CF">
              <w:rPr>
                <w:rFonts w:ascii="Dubai" w:hAnsi="Dubai" w:cs="Dubai"/>
                <w:color w:val="5F2E74" w:themeColor="text2"/>
                <w:szCs w:val="22"/>
                <w:rtl/>
                <w:lang w:val="ar"/>
              </w:rPr>
              <w:t xml:space="preserve">كبار المديرين والقادة </w:t>
            </w:r>
          </w:p>
        </w:tc>
      </w:tr>
      <w:tr w:rsidR="00BE1249" w:rsidRPr="003A66CF" w14:paraId="3BD7F6D6" w14:textId="77777777" w:rsidTr="00A9356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9277794" w14:textId="77777777" w:rsidR="005E55E6" w:rsidRPr="003A66CF" w:rsidRDefault="007D5FB7" w:rsidP="00C531EF">
            <w:pPr>
              <w:pStyle w:val="NormalTables"/>
              <w:ind w:left="-111"/>
              <w:jc w:val="center"/>
              <w:rPr>
                <w:rFonts w:ascii="Dubai" w:hAnsi="Dubai" w:cs="Dubai"/>
                <w:noProof/>
                <w:color w:val="5F2E74" w:themeColor="text2"/>
                <w:lang w:eastAsia="en-AU"/>
              </w:rPr>
            </w:pPr>
            <w:r w:rsidRPr="003A66CF">
              <w:rPr>
                <w:rFonts w:ascii="Dubai" w:hAnsi="Dubai" w:cs="Dubai"/>
                <w:noProof/>
                <w:color w:val="5F2E74" w:themeColor="text2"/>
                <w:lang w:eastAsia="en-AU"/>
              </w:rPr>
              <w:drawing>
                <wp:inline distT="0" distB="0" distL="0" distR="0" wp14:anchorId="7DF847F8" wp14:editId="12D09988">
                  <wp:extent cx="298450" cy="298450"/>
                  <wp:effectExtent l="0" t="0" r="6350" b="6350"/>
                  <wp:docPr id="21" name="Picture 21" descr="مقدمو الخدمات&#10;&#10;رمز إطار عمل NDIS لقدرة القوى العاملة الذي يمثل مقدمي خدمات NDIS. الرمز عبارة عن دائرة خضراء صلبة مع صورة بيضاء في المنتصف. الصورة عبارة عن مخطط تفصيلي على شكل حرف &quot;i&quot; صغير يحمل درعًا مع حرفي &quot;i&quot; صغيرين آخرين يقفان خلف الحرف الأو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مقدمو الخدمات&#10;&#10;رمز إطار عمل NDIS لقدرة القوى العاملة الذي يمثل مقدمي خدمات NDIS. الرمز عبارة عن دائرة خضراء صلبة مع صورة بيضاء في المنتصف. الصورة عبارة عن مخطط تفصيلي على شكل حرف &quot;i&quot; صغير يحمل درعًا مع حرفي &quot;i&quot; صغيرين آخرين يقفان خلف الحرف الأول.&#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7A236B4A" w14:textId="77777777" w:rsidR="005E55E6" w:rsidRPr="003A66CF" w:rsidRDefault="007D5FB7" w:rsidP="00A93566">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5F2E74" w:themeColor="text2"/>
                <w:szCs w:val="22"/>
                <w:lang w:val="en-US"/>
              </w:rPr>
            </w:pPr>
            <w:r w:rsidRPr="003A66CF">
              <w:rPr>
                <w:rFonts w:ascii="Dubai" w:hAnsi="Dubai" w:cs="Dubai"/>
                <w:color w:val="5F2E74" w:themeColor="text2"/>
                <w:szCs w:val="22"/>
                <w:rtl/>
                <w:lang w:val="ar"/>
              </w:rPr>
              <w:t>مقدمو خدمات NDIS</w:t>
            </w:r>
          </w:p>
        </w:tc>
      </w:tr>
    </w:tbl>
    <w:p w14:paraId="1A4004ED" w14:textId="77777777" w:rsidR="002058D6" w:rsidRPr="00E57DAE" w:rsidRDefault="007D5FB7" w:rsidP="002058D6">
      <w:pPr>
        <w:pStyle w:val="Heading1"/>
        <w:bidi/>
        <w:rPr>
          <w:rFonts w:ascii="Dubai" w:hAnsi="Dubai" w:cs="Dubai"/>
          <w:bCs/>
        </w:rPr>
      </w:pPr>
      <w:bookmarkStart w:id="8" w:name="_Toc169093100"/>
      <w:r w:rsidRPr="00E57DAE">
        <w:rPr>
          <w:rFonts w:ascii="Dubai" w:hAnsi="Dubai" w:cs="Dubai"/>
          <w:bCs/>
          <w:rtl/>
          <w:lang w:val="ar"/>
        </w:rPr>
        <w:t>المقدّمة</w:t>
      </w:r>
      <w:bookmarkEnd w:id="2"/>
      <w:bookmarkEnd w:id="3"/>
      <w:bookmarkEnd w:id="8"/>
    </w:p>
    <w:p w14:paraId="2509C5F3" w14:textId="77777777" w:rsidR="002058D6" w:rsidRPr="003A66CF" w:rsidRDefault="007D5FB7" w:rsidP="002058D6">
      <w:pPr>
        <w:bidi/>
        <w:rPr>
          <w:rFonts w:ascii="Dubai" w:hAnsi="Dubai" w:cs="Dubai"/>
          <w:szCs w:val="22"/>
        </w:rPr>
      </w:pPr>
      <w:bookmarkStart w:id="9" w:name="_Toc119420748"/>
      <w:r w:rsidRPr="003A66CF">
        <w:rPr>
          <w:rFonts w:ascii="Dubai" w:hAnsi="Dubai" w:cs="Dubai"/>
          <w:szCs w:val="22"/>
          <w:rtl/>
          <w:lang w:val="ar"/>
        </w:rPr>
        <w:t xml:space="preserve">الإشراف هو الطريقة التي تدير بها المؤسّسات وتدعم القوى العاملة لديها بحيث يتم تقديم الخدمات والدعم بما يتماشى مع الأولويات والمعايير المطلوبة والإجراءات التنظيمية. عندما يكون الإشراف فعّالًا، يكون عملية تعاونية مستمرة تتضمن تفاعلاً منتظمًا بين العمّال والمشرفين، بالإضافة إلى العناصر المخطّط لها مثل إعداد </w:t>
      </w:r>
      <w:hyperlink r:id="rId16" w:history="1">
        <w:r w:rsidRPr="003A66CF">
          <w:rPr>
            <w:rStyle w:val="Hyperlink"/>
            <w:rFonts w:ascii="Dubai" w:hAnsi="Dubai" w:cs="Dubai"/>
            <w:szCs w:val="22"/>
            <w:rtl/>
            <w:lang w:val="ar"/>
          </w:rPr>
          <w:t>اتفاقية الأداء</w:t>
        </w:r>
      </w:hyperlink>
      <w:r w:rsidRPr="003A66CF">
        <w:rPr>
          <w:rFonts w:ascii="Dubai" w:hAnsi="Dubai" w:cs="Dubai"/>
          <w:szCs w:val="22"/>
          <w:rtl/>
          <w:lang w:val="ar"/>
        </w:rPr>
        <w:t xml:space="preserve"> وإجراء المراجعات السنوية. يشمل الإشراف في NDIS أيضًا المشاركين الذين يقدمون مُدخلات لتحديد توقّعات الخدمة وتقديم ملاحظات حول مدى جودة سير الأمور. يتم تحديد تعريف الإشراف المعتمد في هذه الموارد والجوانب التي تم التركيز عليها في </w:t>
      </w:r>
      <w:hyperlink r:id="rId17" w:history="1">
        <w:r w:rsidRPr="00E57DAE">
          <w:rPr>
            <w:rStyle w:val="Hyperlink"/>
            <w:rFonts w:ascii="Dubai" w:hAnsi="Dubai" w:cs="Dubai"/>
            <w:szCs w:val="22"/>
            <w:rtl/>
            <w:lang w:val="ar"/>
          </w:rPr>
          <w:t>نظرة عامة على الموارد</w:t>
        </w:r>
      </w:hyperlink>
      <w:r w:rsidRPr="003A66CF">
        <w:rPr>
          <w:rFonts w:ascii="Dubai" w:hAnsi="Dubai" w:cs="Dubai"/>
          <w:szCs w:val="22"/>
          <w:rtl/>
          <w:lang w:val="ar"/>
        </w:rPr>
        <w:t>.</w:t>
      </w:r>
    </w:p>
    <w:p w14:paraId="02FBCA8E" w14:textId="77777777" w:rsidR="002058D6" w:rsidRPr="003A66CF" w:rsidRDefault="007D5FB7" w:rsidP="002058D6">
      <w:pPr>
        <w:bidi/>
        <w:rPr>
          <w:rFonts w:ascii="Dubai" w:hAnsi="Dubai" w:cs="Dubai"/>
          <w:szCs w:val="22"/>
        </w:rPr>
      </w:pPr>
      <w:r w:rsidRPr="003A66CF">
        <w:rPr>
          <w:rFonts w:ascii="Dubai" w:hAnsi="Dubai" w:cs="Dubai"/>
          <w:szCs w:val="22"/>
          <w:rtl/>
          <w:lang w:val="ar"/>
        </w:rPr>
        <w:t>من المهم ملاحظة أن هذه الموارد لا تتعامل مع الجوانب الإدارية للإشراف مثل إعداد قوائم المناوبات وإدارة الحضور والإجازات، أو العمليات الرسمية التي تستخدمها المنظمات للاستجابة لأمور مثل سوء السلوك أو خرق لوائح NDIS أو ضعف الملاءمة الوظيفية.</w:t>
      </w:r>
    </w:p>
    <w:p w14:paraId="109663CF" w14:textId="77777777" w:rsidR="002058D6" w:rsidRPr="003A66CF" w:rsidRDefault="007D5FB7" w:rsidP="002058D6">
      <w:pPr>
        <w:pStyle w:val="Heading2"/>
        <w:bidi/>
        <w:rPr>
          <w:rFonts w:ascii="Dubai" w:hAnsi="Dubai" w:cs="Dubai"/>
          <w:bCs/>
        </w:rPr>
      </w:pPr>
      <w:bookmarkStart w:id="10" w:name="_Toc121325236"/>
      <w:bookmarkStart w:id="11" w:name="_Toc169093101"/>
      <w:r w:rsidRPr="003A66CF">
        <w:rPr>
          <w:rFonts w:ascii="Dubai" w:hAnsi="Dubai" w:cs="Dubai"/>
          <w:bCs/>
          <w:rtl/>
          <w:lang w:val="ar"/>
        </w:rPr>
        <w:t>موارد الإشراف ذات الصلة</w:t>
      </w:r>
      <w:bookmarkEnd w:id="10"/>
      <w:bookmarkEnd w:id="11"/>
    </w:p>
    <w:p w14:paraId="747FB4D8" w14:textId="547A0101" w:rsidR="002058D6" w:rsidRPr="003A66CF" w:rsidRDefault="007D5FB7" w:rsidP="002058D6">
      <w:pPr>
        <w:bidi/>
        <w:rPr>
          <w:rFonts w:ascii="Dubai" w:hAnsi="Dubai" w:cs="Dubai"/>
          <w:szCs w:val="22"/>
        </w:rPr>
      </w:pPr>
      <w:r w:rsidRPr="003A66CF">
        <w:rPr>
          <w:rFonts w:ascii="Dubai" w:hAnsi="Dubai" w:cs="Dubai"/>
          <w:szCs w:val="22"/>
          <w:rtl/>
          <w:lang w:val="ar"/>
        </w:rPr>
        <w:t xml:space="preserve">هذا الدليل جزء من مجموعة موارد "الإشراف لتحسين القدرات" التي طوّرتها لجنة الجودة والضمانات في NDIS </w:t>
      </w:r>
      <w:r w:rsidR="005F1470">
        <w:rPr>
          <w:rFonts w:ascii="Dubai" w:hAnsi="Dubai" w:cs="Dubai"/>
          <w:szCs w:val="22"/>
          <w:lang w:val="ar"/>
        </w:rPr>
        <w:br/>
      </w:r>
      <w:r w:rsidRPr="003A66CF">
        <w:rPr>
          <w:rFonts w:ascii="Dubai" w:hAnsi="Dubai" w:cs="Dubai"/>
          <w:szCs w:val="22"/>
          <w:rtl/>
          <w:lang w:val="ar"/>
        </w:rPr>
        <w:t xml:space="preserve">(لجنة NDIS). يمكنك الاطلاع على </w:t>
      </w:r>
      <w:hyperlink r:id="rId18" w:history="1">
        <w:r w:rsidRPr="00E57DAE">
          <w:rPr>
            <w:rStyle w:val="Hyperlink"/>
            <w:rFonts w:ascii="Dubai" w:hAnsi="Dubai" w:cs="Dubai"/>
            <w:szCs w:val="22"/>
            <w:rtl/>
            <w:lang w:val="ar"/>
          </w:rPr>
          <w:t>مجموعة الموارد الكاملة</w:t>
        </w:r>
      </w:hyperlink>
      <w:r w:rsidRPr="003A66CF">
        <w:rPr>
          <w:rFonts w:ascii="Dubai" w:hAnsi="Dubai" w:cs="Dubai"/>
          <w:szCs w:val="22"/>
          <w:rtl/>
          <w:lang w:val="ar"/>
        </w:rPr>
        <w:t xml:space="preserve"> على موقعنا الإلكتروني أو الوصول إلى الموارد ذات الصلة عن طريق تحديد الروابط أدناه. يتم سرد المزيد من الموارد المفيدة التي طوّرتها لجنة NDIS في نهاية هذا الدليل.</w:t>
      </w:r>
    </w:p>
    <w:p w14:paraId="6249BF99" w14:textId="77777777" w:rsidR="002058D6" w:rsidRPr="00E57DAE" w:rsidRDefault="007D5FB7" w:rsidP="002058D6">
      <w:pPr>
        <w:pStyle w:val="Heading3"/>
        <w:bidi/>
        <w:rPr>
          <w:rFonts w:ascii="Dubai" w:hAnsi="Dubai" w:cs="Dubai"/>
          <w:bCs/>
          <w:color w:val="612C69"/>
          <w:szCs w:val="26"/>
        </w:rPr>
      </w:pPr>
      <w:r w:rsidRPr="00E57DAE">
        <w:rPr>
          <w:rFonts w:ascii="Dubai" w:hAnsi="Dubai" w:cs="Dubai"/>
          <w:bCs/>
          <w:color w:val="612C69"/>
          <w:szCs w:val="26"/>
          <w:rtl/>
          <w:lang w:val="ar"/>
        </w:rPr>
        <w:lastRenderedPageBreak/>
        <w:t>موارد الإشراف ذات الصلة</w:t>
      </w:r>
      <w:bookmarkEnd w:id="9"/>
    </w:p>
    <w:bookmarkStart w:id="12" w:name="_Toc119420749"/>
    <w:p w14:paraId="4248379C" w14:textId="77777777" w:rsidR="002058D6" w:rsidRPr="00E57DAE" w:rsidRDefault="007D5FB7" w:rsidP="005E55E6">
      <w:pPr>
        <w:pStyle w:val="Bullet1"/>
        <w:bidi/>
        <w:rPr>
          <w:rStyle w:val="Hyperlink"/>
          <w:rFonts w:ascii="Dubai" w:hAnsi="Dubai" w:cs="Dubai"/>
          <w:szCs w:val="22"/>
        </w:rPr>
      </w:pPr>
      <w:r w:rsidRPr="00E57DAE">
        <w:rPr>
          <w:rStyle w:val="Hyperlink"/>
          <w:rFonts w:ascii="Dubai" w:hAnsi="Dubai" w:cs="Dubai"/>
          <w:szCs w:val="22"/>
        </w:rPr>
        <w:fldChar w:fldCharType="begin"/>
      </w:r>
      <w:r w:rsidRPr="00E57DAE">
        <w:rPr>
          <w:rStyle w:val="Hyperlink"/>
          <w:rFonts w:ascii="Dubai" w:hAnsi="Dubai" w:cs="Dubai"/>
          <w:szCs w:val="22"/>
          <w:rtl/>
          <w:lang w:val="ar"/>
        </w:rPr>
        <w:instrText xml:space="preserve"> HYPERLINK "https://workforcecapability.ndiscommission.gov.au/sites/default/files/2023-01/Overview%20of%20Resources%20for%20Supervisors.DOCX" </w:instrText>
      </w:r>
      <w:r w:rsidRPr="00E57DAE">
        <w:rPr>
          <w:rStyle w:val="Hyperlink"/>
          <w:rFonts w:ascii="Dubai" w:hAnsi="Dubai" w:cs="Dubai"/>
          <w:szCs w:val="22"/>
        </w:rPr>
        <w:fldChar w:fldCharType="separate"/>
      </w:r>
      <w:r w:rsidRPr="00E57DAE">
        <w:rPr>
          <w:rStyle w:val="Hyperlink"/>
          <w:rFonts w:ascii="Dubai" w:hAnsi="Dubai" w:cs="Dubai"/>
          <w:szCs w:val="22"/>
          <w:rtl/>
          <w:lang w:val="ar"/>
        </w:rPr>
        <w:t>نظرة عامّة على الموارد</w:t>
      </w:r>
    </w:p>
    <w:p w14:paraId="678A2C25" w14:textId="77777777" w:rsidR="002058D6" w:rsidRPr="00E57DAE" w:rsidRDefault="007D5FB7" w:rsidP="005E55E6">
      <w:pPr>
        <w:pStyle w:val="Bullet1"/>
        <w:bidi/>
        <w:rPr>
          <w:rStyle w:val="Hyperlink"/>
          <w:rFonts w:ascii="Dubai" w:hAnsi="Dubai" w:cs="Dubai"/>
          <w:szCs w:val="22"/>
        </w:rPr>
      </w:pPr>
      <w:r w:rsidRPr="00E57DAE">
        <w:rPr>
          <w:rStyle w:val="Hyperlink"/>
          <w:rFonts w:ascii="Dubai" w:hAnsi="Dubai" w:cs="Dubai"/>
          <w:szCs w:val="22"/>
        </w:rPr>
        <w:fldChar w:fldCharType="end"/>
      </w:r>
      <w:r w:rsidRPr="00E57DAE">
        <w:rPr>
          <w:rFonts w:ascii="Dubai" w:hAnsi="Dubai" w:cs="Dubai"/>
          <w:color w:val="943C84"/>
          <w:szCs w:val="22"/>
        </w:rPr>
        <w:fldChar w:fldCharType="begin"/>
      </w:r>
      <w:r w:rsidRPr="00E57DAE">
        <w:rPr>
          <w:rFonts w:ascii="Dubai" w:hAnsi="Dubai" w:cs="Dubai"/>
          <w:color w:val="943C84"/>
          <w:szCs w:val="22"/>
          <w:rtl/>
          <w:lang w:val="ar"/>
        </w:rPr>
        <w:instrText xml:space="preserve"> HYPERLINK "https://workforcecapability.ndiscommission.gov.au/sites/default/files/2023-01/Performance%20Agreement%20template.DOCX" </w:instrText>
      </w:r>
      <w:r w:rsidRPr="00E57DAE">
        <w:rPr>
          <w:rFonts w:ascii="Dubai" w:hAnsi="Dubai" w:cs="Dubai"/>
          <w:color w:val="943C84"/>
          <w:szCs w:val="22"/>
        </w:rPr>
        <w:fldChar w:fldCharType="separate"/>
      </w:r>
      <w:r w:rsidRPr="00E57DAE">
        <w:rPr>
          <w:rStyle w:val="Hyperlink"/>
          <w:rFonts w:ascii="Dubai" w:hAnsi="Dubai" w:cs="Dubai"/>
          <w:szCs w:val="22"/>
          <w:rtl/>
          <w:lang w:val="ar"/>
        </w:rPr>
        <w:t>نموذج اتفاقية الأداء</w:t>
      </w:r>
    </w:p>
    <w:p w14:paraId="3ACC646E" w14:textId="77777777" w:rsidR="002058D6" w:rsidRPr="00E57DAE" w:rsidRDefault="007D5FB7" w:rsidP="005E55E6">
      <w:pPr>
        <w:pStyle w:val="Bullet1"/>
        <w:bidi/>
        <w:rPr>
          <w:rStyle w:val="Hyperlink"/>
          <w:rFonts w:ascii="Dubai" w:hAnsi="Dubai" w:cs="Dubai"/>
          <w:szCs w:val="22"/>
        </w:rPr>
      </w:pPr>
      <w:r w:rsidRPr="00E57DAE">
        <w:rPr>
          <w:rFonts w:ascii="Dubai" w:hAnsi="Dubai" w:cs="Dubai"/>
          <w:color w:val="943C84"/>
          <w:szCs w:val="22"/>
        </w:rPr>
        <w:fldChar w:fldCharType="end"/>
      </w:r>
      <w:r w:rsidRPr="00E57DAE">
        <w:rPr>
          <w:rFonts w:ascii="Dubai" w:hAnsi="Dubai" w:cs="Dubai"/>
          <w:color w:val="943C84"/>
          <w:szCs w:val="22"/>
        </w:rPr>
        <w:fldChar w:fldCharType="begin"/>
      </w:r>
      <w:r w:rsidRPr="00E57DAE">
        <w:rPr>
          <w:rFonts w:ascii="Dubai" w:hAnsi="Dubai" w:cs="Dubai"/>
          <w:color w:val="943C84"/>
          <w:szCs w:val="22"/>
          <w:rtl/>
          <w:lang w:val="ar"/>
        </w:rPr>
        <w:instrText xml:space="preserve"> HYPERLINK "https://workforcecapability.ndiscommission.gov.au/sites/default/files/2023-01/Working%20Together%20-%20A%20Guide%20for%20Workers.DOCX" </w:instrText>
      </w:r>
      <w:r w:rsidRPr="00E57DAE">
        <w:rPr>
          <w:rFonts w:ascii="Dubai" w:hAnsi="Dubai" w:cs="Dubai"/>
          <w:color w:val="943C84"/>
          <w:szCs w:val="22"/>
        </w:rPr>
        <w:fldChar w:fldCharType="separate"/>
      </w:r>
      <w:r w:rsidRPr="00E57DAE">
        <w:rPr>
          <w:rStyle w:val="Hyperlink"/>
          <w:rFonts w:ascii="Dubai" w:hAnsi="Dubai" w:cs="Dubai"/>
          <w:szCs w:val="22"/>
          <w:rtl/>
          <w:lang w:val="ar"/>
        </w:rPr>
        <w:t xml:space="preserve">العمل معًا: دليل للعمّال </w:t>
      </w:r>
    </w:p>
    <w:p w14:paraId="4E359365" w14:textId="77777777" w:rsidR="002058D6" w:rsidRPr="00E57DAE" w:rsidRDefault="007D5FB7" w:rsidP="005E55E6">
      <w:pPr>
        <w:pStyle w:val="Bullet1"/>
        <w:bidi/>
        <w:rPr>
          <w:rFonts w:ascii="Dubai" w:hAnsi="Dubai" w:cs="Dubai"/>
          <w:color w:val="943C84"/>
          <w:szCs w:val="22"/>
        </w:rPr>
      </w:pPr>
      <w:r w:rsidRPr="00E57DAE">
        <w:rPr>
          <w:rFonts w:ascii="Dubai" w:hAnsi="Dubai" w:cs="Dubai"/>
          <w:color w:val="943C84"/>
          <w:szCs w:val="22"/>
        </w:rPr>
        <w:fldChar w:fldCharType="end"/>
      </w:r>
      <w:hyperlink r:id="rId19" w:history="1">
        <w:r w:rsidRPr="00E57DAE">
          <w:rPr>
            <w:rStyle w:val="Hyperlink"/>
            <w:rFonts w:ascii="Dubai" w:hAnsi="Dubai" w:cs="Dubai"/>
            <w:szCs w:val="22"/>
            <w:rtl/>
            <w:lang w:val="ar"/>
          </w:rPr>
          <w:t>العمل معًا: دليل للمشرفين</w:t>
        </w:r>
      </w:hyperlink>
    </w:p>
    <w:p w14:paraId="786475CF" w14:textId="77777777" w:rsidR="002058D6" w:rsidRPr="00E57DAE" w:rsidRDefault="007D5FB7" w:rsidP="005E55E6">
      <w:pPr>
        <w:pStyle w:val="Bullet1"/>
        <w:bidi/>
        <w:rPr>
          <w:rStyle w:val="Hyperlink"/>
          <w:rFonts w:ascii="Dubai" w:hAnsi="Dubai" w:cs="Dubai"/>
          <w:szCs w:val="22"/>
        </w:rPr>
      </w:pPr>
      <w:r w:rsidRPr="00E57DAE">
        <w:rPr>
          <w:rFonts w:ascii="Dubai" w:hAnsi="Dubai" w:cs="Dubai"/>
          <w:color w:val="943C84"/>
          <w:szCs w:val="22"/>
        </w:rPr>
        <w:fldChar w:fldCharType="begin"/>
      </w:r>
      <w:r w:rsidRPr="00E57DAE">
        <w:rPr>
          <w:rFonts w:ascii="Dubai" w:hAnsi="Dubai" w:cs="Dubai"/>
          <w:color w:val="943C84"/>
          <w:szCs w:val="22"/>
          <w:rtl/>
          <w:lang w:val="ar"/>
        </w:rPr>
        <w:instrText xml:space="preserve"> HYPERLINK "https://workforcecapability.ndiscommission.gov.au/sites/default/files/2023-01/Learning%20and%20Capability%20Development%20-%20A%20Guide%20for%20Supervisors.DOCX" </w:instrText>
      </w:r>
      <w:r w:rsidRPr="00E57DAE">
        <w:rPr>
          <w:rFonts w:ascii="Dubai" w:hAnsi="Dubai" w:cs="Dubai"/>
          <w:color w:val="943C84"/>
          <w:szCs w:val="22"/>
        </w:rPr>
        <w:fldChar w:fldCharType="separate"/>
      </w:r>
      <w:r w:rsidRPr="00E57DAE">
        <w:rPr>
          <w:rStyle w:val="Hyperlink"/>
          <w:rFonts w:ascii="Dubai" w:hAnsi="Dubai" w:cs="Dubai"/>
          <w:szCs w:val="22"/>
          <w:rtl/>
          <w:lang w:val="ar"/>
        </w:rPr>
        <w:t>التعلّم وتنمية القدرات: دليل للمشرفين</w:t>
      </w:r>
    </w:p>
    <w:p w14:paraId="41088A86" w14:textId="014CF177" w:rsidR="002058D6" w:rsidRPr="00E57DAE" w:rsidRDefault="007D5FB7" w:rsidP="005E55E6">
      <w:pPr>
        <w:pStyle w:val="Bullet1"/>
        <w:bidi/>
        <w:rPr>
          <w:rStyle w:val="Hyperlink"/>
          <w:rFonts w:ascii="Dubai" w:hAnsi="Dubai" w:cs="Dubai"/>
          <w:szCs w:val="22"/>
        </w:rPr>
      </w:pPr>
      <w:r w:rsidRPr="00E57DAE">
        <w:rPr>
          <w:rFonts w:ascii="Dubai" w:hAnsi="Dubai" w:cs="Dubai"/>
          <w:color w:val="943C84"/>
          <w:szCs w:val="22"/>
        </w:rPr>
        <w:fldChar w:fldCharType="end"/>
      </w:r>
      <w:r w:rsidRPr="00E57DAE">
        <w:rPr>
          <w:rFonts w:ascii="Dubai" w:hAnsi="Dubai" w:cs="Dubai"/>
          <w:color w:val="943C84"/>
          <w:szCs w:val="22"/>
        </w:rPr>
        <w:fldChar w:fldCharType="begin"/>
      </w:r>
      <w:r w:rsidRPr="00E57DAE">
        <w:rPr>
          <w:rFonts w:ascii="Dubai" w:hAnsi="Dubai" w:cs="Dubai"/>
          <w:color w:val="943C84"/>
          <w:szCs w:val="22"/>
          <w:rtl/>
          <w:lang w:val="ar"/>
        </w:rPr>
        <w:instrText xml:space="preserve"> HYPERLINK "https://workforcecapability.ndiscommission.gov.au/sites/default/files/2023-01/Reflective%20Practice%20Tip%20Sheet%20for%20Supervisors%20and%20Workers.DOCX" </w:instrText>
      </w:r>
      <w:r w:rsidRPr="00E57DAE">
        <w:rPr>
          <w:rFonts w:ascii="Dubai" w:hAnsi="Dubai" w:cs="Dubai"/>
          <w:color w:val="943C84"/>
          <w:szCs w:val="22"/>
        </w:rPr>
        <w:fldChar w:fldCharType="separate"/>
      </w:r>
      <w:r w:rsidRPr="00E57DAE">
        <w:rPr>
          <w:rStyle w:val="Hyperlink"/>
          <w:rFonts w:ascii="Dubai" w:hAnsi="Dubai" w:cs="Dubai"/>
          <w:szCs w:val="22"/>
          <w:rtl/>
          <w:lang w:val="ar"/>
        </w:rPr>
        <w:t xml:space="preserve">ورقة النصائح الخاصة بالممارسة </w:t>
      </w:r>
      <w:r w:rsidR="005F1470" w:rsidRPr="005F1470">
        <w:rPr>
          <w:rStyle w:val="Hyperlink"/>
          <w:rFonts w:ascii="Dubai" w:hAnsi="Dubai" w:cs="Dubai" w:hint="cs"/>
          <w:rtl/>
          <w:lang w:val="ar"/>
        </w:rPr>
        <w:t>التفكيرية</w:t>
      </w:r>
      <w:r w:rsidRPr="00E57DAE">
        <w:rPr>
          <w:rStyle w:val="Hyperlink"/>
          <w:rFonts w:ascii="Dubai" w:hAnsi="Dubai" w:cs="Dubai"/>
          <w:szCs w:val="22"/>
          <w:rtl/>
          <w:lang w:val="ar"/>
        </w:rPr>
        <w:t xml:space="preserve"> للمشرفين والعمّال</w:t>
      </w:r>
    </w:p>
    <w:p w14:paraId="7FB70820" w14:textId="77777777" w:rsidR="002058D6" w:rsidRPr="00E57DAE" w:rsidRDefault="007D5FB7" w:rsidP="005E55E6">
      <w:pPr>
        <w:pStyle w:val="Bullet1"/>
        <w:bidi/>
        <w:rPr>
          <w:rStyle w:val="Hyperlink"/>
          <w:rFonts w:ascii="Dubai" w:hAnsi="Dubai" w:cs="Dubai"/>
          <w:szCs w:val="22"/>
        </w:rPr>
      </w:pPr>
      <w:r w:rsidRPr="00E57DAE">
        <w:rPr>
          <w:rFonts w:ascii="Dubai" w:hAnsi="Dubai" w:cs="Dubai"/>
          <w:color w:val="943C84"/>
          <w:szCs w:val="22"/>
        </w:rPr>
        <w:fldChar w:fldCharType="end"/>
      </w:r>
      <w:r w:rsidRPr="00E57DAE">
        <w:rPr>
          <w:rFonts w:ascii="Dubai" w:hAnsi="Dubai" w:cs="Dubai"/>
          <w:color w:val="943C84"/>
          <w:szCs w:val="22"/>
        </w:rPr>
        <w:fldChar w:fldCharType="begin"/>
      </w:r>
      <w:r w:rsidRPr="00E57DAE">
        <w:rPr>
          <w:rFonts w:ascii="Dubai" w:hAnsi="Dubai" w:cs="Dubai"/>
          <w:color w:val="943C84"/>
          <w:szCs w:val="22"/>
          <w:rtl/>
          <w:lang w:val="ar"/>
        </w:rPr>
        <w:instrText xml:space="preserve"> HYPERLINK "https://workforcecapability.ndiscommission.gov.au/sites/default/files/2023-01/Feedback%20Tip%20Sheet%20for%20Supervisors.DOCX" </w:instrText>
      </w:r>
      <w:r w:rsidRPr="00E57DAE">
        <w:rPr>
          <w:rFonts w:ascii="Dubai" w:hAnsi="Dubai" w:cs="Dubai"/>
          <w:color w:val="943C84"/>
          <w:szCs w:val="22"/>
        </w:rPr>
        <w:fldChar w:fldCharType="separate"/>
      </w:r>
      <w:r w:rsidRPr="00E57DAE">
        <w:rPr>
          <w:rStyle w:val="Hyperlink"/>
          <w:rFonts w:ascii="Dubai" w:hAnsi="Dubai" w:cs="Dubai"/>
          <w:szCs w:val="22"/>
          <w:rtl/>
          <w:lang w:val="ar"/>
        </w:rPr>
        <w:t>ورقة النصائح الخاصة بالتعليقات للمشرفين</w:t>
      </w:r>
    </w:p>
    <w:p w14:paraId="2BBF9E79" w14:textId="77777777" w:rsidR="002058D6" w:rsidRPr="00E57DAE" w:rsidRDefault="007D5FB7" w:rsidP="005E55E6">
      <w:pPr>
        <w:pStyle w:val="Bullet1"/>
        <w:bidi/>
        <w:rPr>
          <w:rStyle w:val="Hyperlink"/>
          <w:rFonts w:ascii="Dubai" w:hAnsi="Dubai" w:cs="Dubai"/>
          <w:szCs w:val="22"/>
        </w:rPr>
      </w:pPr>
      <w:r w:rsidRPr="00E57DAE">
        <w:rPr>
          <w:rFonts w:ascii="Dubai" w:hAnsi="Dubai" w:cs="Dubai"/>
          <w:color w:val="943C84"/>
          <w:szCs w:val="22"/>
        </w:rPr>
        <w:fldChar w:fldCharType="end"/>
      </w:r>
      <w:hyperlink r:id="rId20" w:history="1">
        <w:r w:rsidRPr="00E57DAE">
          <w:rPr>
            <w:rStyle w:val="Hyperlink"/>
            <w:rFonts w:ascii="Dubai" w:hAnsi="Dubai" w:cs="Dubai"/>
            <w:szCs w:val="22"/>
            <w:rtl/>
            <w:lang w:val="ar"/>
          </w:rPr>
          <w:t>دليل لتقييم القدرات - ورقة نصائح للمشرفين</w:t>
        </w:r>
      </w:hyperlink>
    </w:p>
    <w:p w14:paraId="712F62B1" w14:textId="77777777" w:rsidR="002058D6" w:rsidRPr="003A66CF" w:rsidRDefault="007D5FB7" w:rsidP="003A464A">
      <w:pPr>
        <w:pStyle w:val="Heading2"/>
        <w:bidi/>
        <w:rPr>
          <w:rFonts w:ascii="Dubai" w:hAnsi="Dubai" w:cs="Dubai"/>
          <w:bCs/>
        </w:rPr>
      </w:pPr>
      <w:bookmarkStart w:id="13" w:name="_Toc119401374"/>
      <w:bookmarkStart w:id="14" w:name="_Toc119408294"/>
      <w:bookmarkStart w:id="15" w:name="_Toc121325237"/>
      <w:bookmarkStart w:id="16" w:name="_Toc169093102"/>
      <w:bookmarkEnd w:id="12"/>
      <w:r w:rsidRPr="003A66CF">
        <w:rPr>
          <w:rFonts w:ascii="Dubai" w:hAnsi="Dubai" w:cs="Dubai"/>
          <w:bCs/>
          <w:rtl/>
          <w:lang w:val="ar"/>
        </w:rPr>
        <w:t>ماذا يوجد في هذا الدليل</w:t>
      </w:r>
      <w:bookmarkEnd w:id="13"/>
      <w:bookmarkEnd w:id="14"/>
      <w:bookmarkEnd w:id="15"/>
      <w:bookmarkEnd w:id="16"/>
    </w:p>
    <w:p w14:paraId="41EA1F3B" w14:textId="77777777" w:rsidR="002058D6" w:rsidRPr="003A66CF" w:rsidRDefault="007D5FB7" w:rsidP="003A464A">
      <w:pPr>
        <w:keepNext/>
        <w:keepLines/>
        <w:bidi/>
        <w:rPr>
          <w:rFonts w:ascii="Dubai" w:hAnsi="Dubai" w:cs="Dubai"/>
          <w:szCs w:val="22"/>
        </w:rPr>
      </w:pPr>
      <w:r w:rsidRPr="003A66CF">
        <w:rPr>
          <w:rFonts w:ascii="Dubai" w:hAnsi="Dubai" w:cs="Dubai"/>
          <w:szCs w:val="22"/>
          <w:rtl/>
          <w:lang w:val="ar"/>
        </w:rPr>
        <w:t>يحتوي هذا الدليل على نصائح حول جوانب الإشراف التالية في NDIS:</w:t>
      </w:r>
    </w:p>
    <w:p w14:paraId="4DBCE8E2" w14:textId="77777777" w:rsidR="002058D6" w:rsidRPr="003A66CF" w:rsidRDefault="007D5FB7" w:rsidP="003A464A">
      <w:pPr>
        <w:pStyle w:val="Bullet1"/>
        <w:keepNext/>
        <w:keepLines/>
        <w:bidi/>
        <w:rPr>
          <w:rFonts w:ascii="Dubai" w:hAnsi="Dubai" w:cs="Dubai"/>
          <w:szCs w:val="22"/>
        </w:rPr>
      </w:pPr>
      <w:r w:rsidRPr="003A66CF">
        <w:rPr>
          <w:rFonts w:ascii="Dubai" w:hAnsi="Dubai" w:cs="Dubai"/>
          <w:szCs w:val="22"/>
          <w:rtl/>
          <w:lang w:val="ar"/>
        </w:rPr>
        <w:t>أدوار ومسؤوليات المشرفين والعاملين</w:t>
      </w:r>
    </w:p>
    <w:p w14:paraId="633F06C2"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طرق الإشراف</w:t>
      </w:r>
    </w:p>
    <w:p w14:paraId="03F32675"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إعداد العلاقة الإشرافية والترتيبات</w:t>
      </w:r>
    </w:p>
    <w:p w14:paraId="22171226"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تطوير اتفاقية الأداء</w:t>
      </w:r>
    </w:p>
    <w:p w14:paraId="6A2005C2"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تطوير خطة تطوير القدرات</w:t>
      </w:r>
    </w:p>
    <w:p w14:paraId="6989C807"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مراجعة الاتفاقية والتخطيط للاتفاقية التالية.</w:t>
      </w:r>
    </w:p>
    <w:p w14:paraId="65CBAB9A" w14:textId="77777777" w:rsidR="002058D6" w:rsidRPr="003A66CF" w:rsidRDefault="007D5FB7" w:rsidP="002058D6">
      <w:pPr>
        <w:pStyle w:val="Heading2"/>
        <w:bidi/>
        <w:rPr>
          <w:rFonts w:ascii="Dubai" w:hAnsi="Dubai" w:cs="Dubai"/>
          <w:bCs/>
        </w:rPr>
      </w:pPr>
      <w:bookmarkStart w:id="17" w:name="_Toc119401375"/>
      <w:bookmarkStart w:id="18" w:name="_Toc119408295"/>
      <w:bookmarkStart w:id="19" w:name="_Toc121325238"/>
      <w:bookmarkStart w:id="20" w:name="_Toc169093103"/>
      <w:r w:rsidRPr="003A66CF">
        <w:rPr>
          <w:rFonts w:ascii="Dubai" w:hAnsi="Dubai" w:cs="Dubai"/>
          <w:bCs/>
          <w:rtl/>
          <w:lang w:val="ar"/>
        </w:rPr>
        <w:t>استخدام هذا الدليل</w:t>
      </w:r>
      <w:bookmarkEnd w:id="17"/>
      <w:bookmarkEnd w:id="18"/>
      <w:bookmarkEnd w:id="19"/>
      <w:bookmarkEnd w:id="20"/>
    </w:p>
    <w:p w14:paraId="518324D6" w14:textId="77777777" w:rsidR="002058D6" w:rsidRPr="003A66CF" w:rsidRDefault="007D5FB7" w:rsidP="002058D6">
      <w:pPr>
        <w:bidi/>
        <w:rPr>
          <w:rFonts w:ascii="Dubai" w:hAnsi="Dubai" w:cs="Dubai"/>
          <w:szCs w:val="22"/>
        </w:rPr>
      </w:pPr>
      <w:r w:rsidRPr="003A66CF">
        <w:rPr>
          <w:rFonts w:ascii="Dubai" w:hAnsi="Dubai" w:cs="Dubai"/>
          <w:szCs w:val="22"/>
          <w:rtl/>
          <w:lang w:val="ar"/>
        </w:rPr>
        <w:t>يمكن للمشرفين والعاملين استخدام هذا الدليل عند إنشاء علاقتهم الإشرافية لأول مرة أو كمرجع عند مراجعة الترتيبات الجارية.</w:t>
      </w:r>
    </w:p>
    <w:p w14:paraId="2F29032E" w14:textId="77777777" w:rsidR="002058D6" w:rsidRPr="003A66CF" w:rsidRDefault="007D5FB7" w:rsidP="002058D6">
      <w:pPr>
        <w:pStyle w:val="Heading1"/>
        <w:bidi/>
        <w:rPr>
          <w:rFonts w:ascii="Dubai" w:hAnsi="Dubai" w:cs="Dubai"/>
          <w:bCs/>
        </w:rPr>
      </w:pPr>
      <w:bookmarkStart w:id="21" w:name="_Toc119401376"/>
      <w:bookmarkStart w:id="22" w:name="_Toc119408296"/>
      <w:bookmarkStart w:id="23" w:name="_Toc121325239"/>
      <w:bookmarkStart w:id="24" w:name="_Toc169093104"/>
      <w:r w:rsidRPr="003A66CF">
        <w:rPr>
          <w:rFonts w:ascii="Dubai" w:hAnsi="Dubai" w:cs="Dubai"/>
          <w:bCs/>
          <w:rtl/>
          <w:lang w:val="ar"/>
        </w:rPr>
        <w:lastRenderedPageBreak/>
        <w:t>أدوار ومسؤوليات المشرفين والعاملين</w:t>
      </w:r>
      <w:bookmarkEnd w:id="21"/>
      <w:bookmarkEnd w:id="22"/>
      <w:bookmarkEnd w:id="23"/>
      <w:bookmarkEnd w:id="24"/>
    </w:p>
    <w:p w14:paraId="536BC298" w14:textId="77777777" w:rsidR="002058D6" w:rsidRPr="003A66CF" w:rsidRDefault="007D5FB7" w:rsidP="002058D6">
      <w:pPr>
        <w:pStyle w:val="Heading2"/>
        <w:bidi/>
        <w:rPr>
          <w:rFonts w:ascii="Dubai" w:hAnsi="Dubai" w:cs="Dubai"/>
          <w:bCs/>
        </w:rPr>
      </w:pPr>
      <w:bookmarkStart w:id="25" w:name="_Toc119401377"/>
      <w:bookmarkStart w:id="26" w:name="_Toc119408297"/>
      <w:bookmarkStart w:id="27" w:name="_Toc121325240"/>
      <w:bookmarkStart w:id="28" w:name="_Toc169093105"/>
      <w:r w:rsidRPr="003A66CF">
        <w:rPr>
          <w:rFonts w:ascii="Dubai" w:hAnsi="Dubai" w:cs="Dubai"/>
          <w:bCs/>
          <w:rtl/>
          <w:lang w:val="ar"/>
        </w:rPr>
        <w:t>المشرف</w:t>
      </w:r>
      <w:bookmarkEnd w:id="25"/>
      <w:bookmarkEnd w:id="26"/>
      <w:bookmarkEnd w:id="27"/>
      <w:bookmarkEnd w:id="28"/>
    </w:p>
    <w:p w14:paraId="6815149D"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إنشاء بيئة موثوقة وآمنة حيث يتم تشجيع التفكير والتعلّم.</w:t>
      </w:r>
    </w:p>
    <w:p w14:paraId="0BC4AB3F"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تطوير اتفاقية أداء مع العامل تصف واجباته الجارية والقدرات التي يجب أن يثبتها عند أداء تلك الواجبات وخطة تطوير قدراته.</w:t>
      </w:r>
    </w:p>
    <w:p w14:paraId="12EA4C0F"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تأكيد التوقعات بالشراكة مع العامل وكل مشارك يدعمه بشأن الدعم الذي سيتم تقديمه وتحديد احتياجات وتفضيلات المشاركين المحددة.</w:t>
      </w:r>
    </w:p>
    <w:p w14:paraId="41748975"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التأكد من أن العمال لديهم القدرات المطلوبة لأداء العمل المكلفين به.</w:t>
      </w:r>
    </w:p>
    <w:p w14:paraId="2ECA1536"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إعداد ترتيبات الاتصال لضمان الاتصال المنتظم والاستجابات في الوقت المناسب لطلبات العمّال للحصول على المشورة أو المساعدة.</w:t>
      </w:r>
    </w:p>
    <w:p w14:paraId="199C8BF1"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تقديم ملاحظات واضحة وبنّاءة تحدد الممارسات الجيدة وتقرّها وتعزّزها في حينه وفي جلسات مخطّط لها.</w:t>
      </w:r>
    </w:p>
    <w:p w14:paraId="25B14F6E"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تشجيع العامل على طرح القضايا وتقديم الملاحظات.</w:t>
      </w:r>
    </w:p>
    <w:p w14:paraId="1E40EF40"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التخطيط والاستعداد للجلسات المجدولة مع العامل وتحديد مجالات القوة ومجالات التطوير.</w:t>
      </w:r>
    </w:p>
    <w:p w14:paraId="3C273E3F"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تشجيع التفكير والتفكير النقدي واستكشاف الخيارات لمواجهة التحديات.</w:t>
      </w:r>
    </w:p>
    <w:p w14:paraId="488BC21D"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دعم التعلّم وتطوير القدرات.</w:t>
      </w:r>
    </w:p>
    <w:p w14:paraId="34A2BA76"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دعم رفاه العمّال.</w:t>
      </w:r>
    </w:p>
    <w:p w14:paraId="61D8183B"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التشجيع والأخذ بتعليقات العمّال لتحسين نهج الإشراف وتقديم المُدخلات إلى المنظمة.</w:t>
      </w:r>
    </w:p>
    <w:p w14:paraId="3A2687B2"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متابعة عملية التعلّم والتطوير الخاصة بك في ممارسة الجودة والقدرات المتعلقة بالإشراف.</w:t>
      </w:r>
      <w:r w:rsidRPr="003A66CF">
        <w:rPr>
          <w:rFonts w:ascii="Dubai" w:hAnsi="Dubai" w:cs="Dubai"/>
          <w:szCs w:val="22"/>
          <w:rtl/>
          <w:lang w:val="ar"/>
        </w:rPr>
        <w:br w:type="page"/>
      </w:r>
    </w:p>
    <w:p w14:paraId="73307F98" w14:textId="77777777" w:rsidR="002058D6" w:rsidRPr="003A66CF" w:rsidRDefault="007D5FB7" w:rsidP="002058D6">
      <w:pPr>
        <w:pStyle w:val="Heading2"/>
        <w:bidi/>
        <w:rPr>
          <w:rFonts w:ascii="Dubai" w:hAnsi="Dubai" w:cs="Dubai"/>
          <w:bCs/>
        </w:rPr>
      </w:pPr>
      <w:bookmarkStart w:id="29" w:name="_Toc119401378"/>
      <w:bookmarkStart w:id="30" w:name="_Toc119408298"/>
      <w:bookmarkStart w:id="31" w:name="_Toc121325241"/>
      <w:bookmarkStart w:id="32" w:name="_Toc169093106"/>
      <w:r w:rsidRPr="003A66CF">
        <w:rPr>
          <w:rFonts w:ascii="Dubai" w:hAnsi="Dubai" w:cs="Dubai"/>
          <w:bCs/>
          <w:rtl/>
          <w:lang w:val="ar"/>
        </w:rPr>
        <w:lastRenderedPageBreak/>
        <w:t>العامل</w:t>
      </w:r>
      <w:bookmarkEnd w:id="29"/>
      <w:bookmarkEnd w:id="30"/>
      <w:bookmarkEnd w:id="31"/>
      <w:bookmarkEnd w:id="32"/>
    </w:p>
    <w:p w14:paraId="269BD272" w14:textId="1551277F" w:rsidR="002058D6" w:rsidRPr="003A66CF" w:rsidRDefault="00712123" w:rsidP="005E55E6">
      <w:pPr>
        <w:pStyle w:val="Bullet1"/>
        <w:bidi/>
        <w:rPr>
          <w:rFonts w:ascii="Dubai" w:hAnsi="Dubai" w:cs="Dubai"/>
          <w:szCs w:val="22"/>
        </w:rPr>
      </w:pPr>
      <w:r>
        <w:rPr>
          <w:rFonts w:ascii="Dubai" w:hAnsi="Dubai" w:cs="Dubai" w:hint="cs"/>
          <w:szCs w:val="22"/>
          <w:rtl/>
          <w:lang w:val="ar"/>
        </w:rPr>
        <w:t>العلم</w:t>
      </w:r>
      <w:r w:rsidR="007D5FB7" w:rsidRPr="003A66CF">
        <w:rPr>
          <w:rFonts w:ascii="Dubai" w:hAnsi="Dubai" w:cs="Dubai"/>
          <w:szCs w:val="22"/>
          <w:rtl/>
          <w:lang w:val="ar"/>
        </w:rPr>
        <w:t xml:space="preserve"> بتوصيف الدور وإطار عمل NDIS لقدرة القوى العاملة (الإطار) والقيم والأهداف التنظيمية وأي معلومات أخرى ضرورية لفهم متطلبات الوظيفة.</w:t>
      </w:r>
    </w:p>
    <w:p w14:paraId="42E52C5E"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العمل مع المشرف لتطوير اتفاقية حول الأداء باستخدام توصيف الدور والإطار كمراجع رئيسية.</w:t>
      </w:r>
    </w:p>
    <w:p w14:paraId="6CE3DA87"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تأكيد التوقعات بالشراكة مع المشرف وكل مشارك ستقوم بدعمه بشأن الخدمات التي سيتم تقديمها وتحديد احتياجات وتفضيلات المشاركين المحددة.</w:t>
      </w:r>
    </w:p>
    <w:p w14:paraId="7C4358B6"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المشاركة بشكل إيجابي مع الإشراف من خلال المشاركة في التفاعلات المستمرة والجلسات المخطط لها.</w:t>
      </w:r>
    </w:p>
    <w:p w14:paraId="3EAF3F12"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التفكير في الممارسة واستكشاف الخيارات لمواجهة التحديات مع المشرف.</w:t>
      </w:r>
    </w:p>
    <w:p w14:paraId="6413603E"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طلب التعليقات من المشاركين والمشرفين وغيرهم لتحديد نقاط القوة وطلب المساعدة عند الحاجة.</w:t>
      </w:r>
    </w:p>
    <w:p w14:paraId="56600808"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الاستعداد للجلسات الإشرافية المخطط لها مع التفكير في ما سار بشكل جيد وما كان صعبًا.</w:t>
      </w:r>
    </w:p>
    <w:p w14:paraId="3D210F1F"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تقديم الملاحظات إلى المشرف حول الترتيبات الإشرافية أو الإعدادات التنظيمية ذات الصلة.</w:t>
      </w:r>
    </w:p>
    <w:p w14:paraId="384DE789" w14:textId="13ACAD50" w:rsidR="002058D6" w:rsidRPr="003A66CF" w:rsidRDefault="007D5FB7" w:rsidP="005E55E6">
      <w:pPr>
        <w:pStyle w:val="Bullet1"/>
        <w:bidi/>
        <w:rPr>
          <w:rFonts w:ascii="Dubai" w:hAnsi="Dubai" w:cs="Dubai"/>
          <w:szCs w:val="22"/>
        </w:rPr>
      </w:pPr>
      <w:r w:rsidRPr="003A66CF">
        <w:rPr>
          <w:rFonts w:ascii="Dubai" w:hAnsi="Dubai" w:cs="Dubai"/>
          <w:szCs w:val="22"/>
          <w:rtl/>
          <w:lang w:val="ar"/>
        </w:rPr>
        <w:t>التقييم الذاتي للقدرات وتحديد المجالات لمزيد من التطوير الذي ينطبق على الدور الحالي أو فرصة مستقبلية.</w:t>
      </w:r>
    </w:p>
    <w:p w14:paraId="1FB8535B"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استخدام علاقة الإشراف لدعم الرفاه.</w:t>
      </w:r>
    </w:p>
    <w:p w14:paraId="7D6282B3" w14:textId="77777777" w:rsidR="002058D6" w:rsidRPr="003A66CF" w:rsidRDefault="007D5FB7" w:rsidP="005E55E6">
      <w:pPr>
        <w:pStyle w:val="Bullet1"/>
        <w:bidi/>
        <w:rPr>
          <w:rFonts w:ascii="Dubai" w:hAnsi="Dubai" w:cs="Dubai"/>
          <w:szCs w:val="22"/>
        </w:rPr>
      </w:pPr>
      <w:r w:rsidRPr="003A66CF">
        <w:rPr>
          <w:rFonts w:ascii="Dubai" w:hAnsi="Dubai" w:cs="Dubai"/>
          <w:szCs w:val="22"/>
          <w:rtl/>
          <w:lang w:val="ar"/>
        </w:rPr>
        <w:t>تقديم الملاحظات حول فعالية التعلم والتطوير وتقديم الاقتراحات حول الأشياء الأخرى التي يمكن أن تساعد.</w:t>
      </w:r>
      <w:r w:rsidRPr="003A66CF">
        <w:rPr>
          <w:rFonts w:ascii="Dubai" w:hAnsi="Dubai" w:cs="Dubai"/>
          <w:szCs w:val="22"/>
          <w:rtl/>
          <w:lang w:val="ar"/>
        </w:rPr>
        <w:br w:type="page"/>
      </w:r>
    </w:p>
    <w:p w14:paraId="473D1985" w14:textId="77777777" w:rsidR="002058D6" w:rsidRPr="003A66CF" w:rsidRDefault="007D5FB7" w:rsidP="002058D6">
      <w:pPr>
        <w:pStyle w:val="Heading1"/>
        <w:bidi/>
        <w:rPr>
          <w:rFonts w:ascii="Dubai" w:hAnsi="Dubai" w:cs="Dubai"/>
          <w:bCs/>
        </w:rPr>
      </w:pPr>
      <w:bookmarkStart w:id="33" w:name="_Toc119401379"/>
      <w:bookmarkStart w:id="34" w:name="_Toc119408299"/>
      <w:bookmarkStart w:id="35" w:name="_Toc121325242"/>
      <w:bookmarkStart w:id="36" w:name="_Toc169093107"/>
      <w:r w:rsidRPr="003A66CF">
        <w:rPr>
          <w:rFonts w:ascii="Dubai" w:hAnsi="Dubai" w:cs="Dubai"/>
          <w:bCs/>
          <w:rtl/>
          <w:lang w:val="ar"/>
        </w:rPr>
        <w:lastRenderedPageBreak/>
        <w:t>طرق الإشراف</w:t>
      </w:r>
      <w:bookmarkEnd w:id="33"/>
      <w:bookmarkEnd w:id="34"/>
      <w:bookmarkEnd w:id="35"/>
      <w:bookmarkEnd w:id="36"/>
    </w:p>
    <w:p w14:paraId="0E08CCF9" w14:textId="77777777" w:rsidR="002058D6" w:rsidRPr="003A66CF" w:rsidRDefault="007D5FB7" w:rsidP="002058D6">
      <w:pPr>
        <w:bidi/>
        <w:rPr>
          <w:rFonts w:ascii="Dubai" w:hAnsi="Dubai" w:cs="Dubai"/>
          <w:szCs w:val="22"/>
        </w:rPr>
      </w:pPr>
      <w:r w:rsidRPr="003A66CF">
        <w:rPr>
          <w:rFonts w:ascii="Dubai" w:hAnsi="Dubai" w:cs="Dubai"/>
          <w:szCs w:val="22"/>
          <w:rtl/>
          <w:lang w:val="ar"/>
        </w:rPr>
        <w:t>يمكن استخدام مجموعة من أساليب الإشراف بما في ذلك مراقبة العمل والاجتماعات وجهًا لوجه والاتصالات عبر الفيديو والهاتف والرسائل النصية. قد تكون الاجتماعات التي تُعقد وجهًا لوجه حضورية أو عن طريق مكالمة الفيديو. يمكن أن تشمل أشكال الاتصال المباشر الأخرى التطبيقات والمكالمات الصوتية والفيديو و/أو الرسائل النصية. يقدم الجدول أدناه مزيدًا من الإرشادات.</w:t>
      </w:r>
    </w:p>
    <w:tbl>
      <w:tblPr>
        <w:tblStyle w:val="TableGrid-Header2"/>
        <w:bidiVisual/>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BE1249" w:rsidRPr="003A66CF" w14:paraId="68B52196" w14:textId="77777777" w:rsidTr="005A0885">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02AC3524" w14:textId="77777777" w:rsidR="002058D6" w:rsidRPr="003A66CF" w:rsidRDefault="007D5FB7" w:rsidP="009C3CA7">
            <w:pPr>
              <w:pStyle w:val="NormalTables"/>
              <w:bidi/>
              <w:rPr>
                <w:rFonts w:ascii="Dubai" w:hAnsi="Dubai" w:cs="Dubai"/>
                <w:bCs/>
                <w:szCs w:val="22"/>
              </w:rPr>
            </w:pPr>
            <w:r w:rsidRPr="003A66CF">
              <w:rPr>
                <w:rFonts w:ascii="Dubai" w:hAnsi="Dubai" w:cs="Dubai"/>
                <w:bCs/>
                <w:szCs w:val="22"/>
                <w:rtl/>
                <w:lang w:val="ar"/>
              </w:rPr>
              <w:t>طرق الإشراف</w:t>
            </w:r>
          </w:p>
        </w:tc>
        <w:tc>
          <w:tcPr>
            <w:tcW w:w="3118" w:type="dxa"/>
          </w:tcPr>
          <w:p w14:paraId="237F60E6" w14:textId="77777777" w:rsidR="002058D6" w:rsidRPr="003A66CF" w:rsidRDefault="007D5FB7" w:rsidP="009C3CA7">
            <w:pPr>
              <w:pStyle w:val="NormalTables"/>
              <w:bidi/>
              <w:rPr>
                <w:rFonts w:ascii="Dubai" w:hAnsi="Dubai" w:cs="Dubai"/>
                <w:bCs/>
                <w:szCs w:val="22"/>
              </w:rPr>
            </w:pPr>
            <w:r w:rsidRPr="003A66CF">
              <w:rPr>
                <w:rFonts w:ascii="Dubai" w:hAnsi="Dubai" w:cs="Dubai"/>
                <w:bCs/>
                <w:szCs w:val="22"/>
                <w:rtl/>
                <w:lang w:val="ar"/>
              </w:rPr>
              <w:t>أساليب الإشراف</w:t>
            </w:r>
          </w:p>
        </w:tc>
      </w:tr>
      <w:tr w:rsidR="00BE1249" w:rsidRPr="003A66CF" w14:paraId="23A7C6CC" w14:textId="77777777" w:rsidTr="005A0885">
        <w:trPr>
          <w:cantSplit/>
        </w:trPr>
        <w:tc>
          <w:tcPr>
            <w:tcW w:w="5954" w:type="dxa"/>
            <w:shd w:val="clear" w:color="auto" w:fill="auto"/>
          </w:tcPr>
          <w:p w14:paraId="07D653A8" w14:textId="77777777" w:rsidR="002058D6" w:rsidRPr="003A66CF" w:rsidRDefault="007D5FB7" w:rsidP="009C3CA7">
            <w:pPr>
              <w:pStyle w:val="NormalTables"/>
              <w:bidi/>
              <w:rPr>
                <w:rFonts w:ascii="Dubai" w:hAnsi="Dubai" w:cs="Dubai"/>
                <w:b/>
                <w:bCs/>
                <w:szCs w:val="22"/>
              </w:rPr>
            </w:pPr>
            <w:r w:rsidRPr="003A66CF">
              <w:rPr>
                <w:rFonts w:ascii="Dubai" w:hAnsi="Dubai" w:cs="Dubai"/>
                <w:b/>
                <w:bCs/>
                <w:szCs w:val="22"/>
                <w:rtl/>
                <w:lang w:val="ar"/>
              </w:rPr>
              <w:t>الاتصال المستمر غير الرسمي:</w:t>
            </w:r>
            <w:r w:rsidRPr="003A66CF">
              <w:rPr>
                <w:rFonts w:ascii="Dubai" w:hAnsi="Dubai" w:cs="Dubai"/>
                <w:szCs w:val="22"/>
                <w:rtl/>
                <w:lang w:val="ar"/>
              </w:rPr>
              <w:t xml:space="preserve"> دمج عمليات "تسجيل الوصول" والدعوات لطرح الأسئلة أو القضايا كجزء من التفاعلات المنتظمة لمناقشة المهام المسنَدة للمشاركين أو المسائل الإدارية، مثل الإجازات. تقديم ملاحظات إيجابية فورية عن تفاعل أو مهمة تم إنجازها بشكل جيّد أو تقديم المشورة السريعة للمشكلات التي يمكن حلها بسهولة. </w:t>
            </w:r>
          </w:p>
        </w:tc>
        <w:tc>
          <w:tcPr>
            <w:tcW w:w="3118" w:type="dxa"/>
          </w:tcPr>
          <w:p w14:paraId="4454178B"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مكالمة صوتية</w:t>
            </w:r>
          </w:p>
          <w:p w14:paraId="6917FC38"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مقابلة وجهًا لوجه:</w:t>
            </w:r>
          </w:p>
          <w:p w14:paraId="5833F08B"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مكالمة فيديو - هاتف أو تطبيق</w:t>
            </w:r>
          </w:p>
          <w:p w14:paraId="5B9FFC88"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حضورية.</w:t>
            </w:r>
          </w:p>
        </w:tc>
      </w:tr>
      <w:tr w:rsidR="00BE1249" w:rsidRPr="003A66CF" w14:paraId="01B21146" w14:textId="77777777" w:rsidTr="005A0885">
        <w:trPr>
          <w:cantSplit/>
        </w:trPr>
        <w:tc>
          <w:tcPr>
            <w:tcW w:w="5954" w:type="dxa"/>
          </w:tcPr>
          <w:p w14:paraId="76824E55" w14:textId="77777777" w:rsidR="002058D6" w:rsidRPr="003A66CF" w:rsidRDefault="007D5FB7" w:rsidP="009C3CA7">
            <w:pPr>
              <w:pStyle w:val="NormalTables"/>
              <w:bidi/>
              <w:rPr>
                <w:rFonts w:ascii="Dubai" w:hAnsi="Dubai" w:cs="Dubai"/>
                <w:szCs w:val="22"/>
              </w:rPr>
            </w:pPr>
            <w:r w:rsidRPr="003A66CF">
              <w:rPr>
                <w:rFonts w:ascii="Dubai" w:hAnsi="Dubai" w:cs="Dubai"/>
                <w:b/>
                <w:bCs/>
                <w:szCs w:val="22"/>
                <w:rtl/>
                <w:lang w:val="ar"/>
              </w:rPr>
              <w:t>استخلاص المعلومات:</w:t>
            </w:r>
            <w:r w:rsidRPr="003A66CF">
              <w:rPr>
                <w:rFonts w:ascii="Dubai" w:hAnsi="Dubai" w:cs="Dubai"/>
                <w:szCs w:val="22"/>
                <w:rtl/>
                <w:lang w:val="ar"/>
              </w:rPr>
              <w:t xml:space="preserve"> مناقشة ما حدث والإجراءات الفورية التي قد تكون مطلوبة وما يمكن تعلمه. هذه طريقة جيدة لدعم رفاه العمّال، وإذا لزم الأمر، التخطيط لإجراءات للحدّ من المخاطر.</w:t>
            </w:r>
          </w:p>
        </w:tc>
        <w:tc>
          <w:tcPr>
            <w:tcW w:w="3118" w:type="dxa"/>
          </w:tcPr>
          <w:p w14:paraId="00040500"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رسالة نصية - عبر الهاتف أو التطبيق</w:t>
            </w:r>
          </w:p>
          <w:p w14:paraId="354076B1"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مكالمة صوتية</w:t>
            </w:r>
          </w:p>
          <w:p w14:paraId="051625CB"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مقابلة وجهًا لوجه:</w:t>
            </w:r>
          </w:p>
          <w:p w14:paraId="3DB4949B"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مكالمة فيديو - هاتف أو تطبيق</w:t>
            </w:r>
          </w:p>
          <w:p w14:paraId="53B5D4D0"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حضورية.</w:t>
            </w:r>
          </w:p>
        </w:tc>
      </w:tr>
      <w:tr w:rsidR="00BE1249" w:rsidRPr="003A66CF" w14:paraId="297ABAF9" w14:textId="77777777" w:rsidTr="005A0885">
        <w:trPr>
          <w:cantSplit/>
        </w:trPr>
        <w:tc>
          <w:tcPr>
            <w:tcW w:w="5954" w:type="dxa"/>
          </w:tcPr>
          <w:p w14:paraId="274D5883" w14:textId="77777777" w:rsidR="002058D6" w:rsidRPr="003A66CF" w:rsidRDefault="007D5FB7" w:rsidP="009C3CA7">
            <w:pPr>
              <w:pStyle w:val="NormalTables"/>
              <w:bidi/>
              <w:rPr>
                <w:rFonts w:ascii="Dubai" w:hAnsi="Dubai" w:cs="Dubai"/>
                <w:szCs w:val="22"/>
              </w:rPr>
            </w:pPr>
            <w:r w:rsidRPr="003A66CF">
              <w:rPr>
                <w:rFonts w:ascii="Dubai" w:hAnsi="Dubai" w:cs="Dubai"/>
                <w:b/>
                <w:bCs/>
                <w:szCs w:val="22"/>
                <w:rtl/>
                <w:lang w:val="ar"/>
              </w:rPr>
              <w:t>مشاركة المعلومات:</w:t>
            </w:r>
            <w:r w:rsidRPr="003A66CF">
              <w:rPr>
                <w:rFonts w:ascii="Dubai" w:hAnsi="Dubai" w:cs="Dubai"/>
                <w:szCs w:val="22"/>
                <w:rtl/>
                <w:lang w:val="ar"/>
              </w:rPr>
              <w:t xml:space="preserve"> تزويد العامل بالمعلومات العامّة المتعلقة بالمنظمة وإبقائه على اطلاع بأخبار المنظمة الأوسع.</w:t>
            </w:r>
          </w:p>
        </w:tc>
        <w:tc>
          <w:tcPr>
            <w:tcW w:w="3118" w:type="dxa"/>
          </w:tcPr>
          <w:p w14:paraId="5D496844"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نشرة معلومات منتظمة.</w:t>
            </w:r>
          </w:p>
          <w:p w14:paraId="6431DEE7"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البريد الإلكتروني، الرسائل النصية، تطبيقات وسائل التواصل الاجتماعي، وجلسات المعلومات الداخلية/ في وقت الغداء.</w:t>
            </w:r>
          </w:p>
          <w:p w14:paraId="68413AD4"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اجتماعات الفريق أو الموظفين.</w:t>
            </w:r>
          </w:p>
        </w:tc>
      </w:tr>
      <w:tr w:rsidR="00BE1249" w:rsidRPr="003A66CF" w14:paraId="5B99CC1E" w14:textId="77777777" w:rsidTr="005A0885">
        <w:trPr>
          <w:cantSplit/>
        </w:trPr>
        <w:tc>
          <w:tcPr>
            <w:tcW w:w="5954" w:type="dxa"/>
          </w:tcPr>
          <w:p w14:paraId="6463A1C5" w14:textId="77777777" w:rsidR="002058D6" w:rsidRPr="003A66CF" w:rsidRDefault="007D5FB7" w:rsidP="009C3CA7">
            <w:pPr>
              <w:pStyle w:val="NormalTables"/>
              <w:bidi/>
              <w:rPr>
                <w:rFonts w:ascii="Dubai" w:hAnsi="Dubai" w:cs="Dubai"/>
                <w:szCs w:val="22"/>
              </w:rPr>
            </w:pPr>
            <w:r w:rsidRPr="003A66CF">
              <w:rPr>
                <w:rFonts w:ascii="Dubai" w:hAnsi="Dubai" w:cs="Dubai"/>
                <w:b/>
                <w:bCs/>
                <w:szCs w:val="22"/>
                <w:rtl/>
                <w:lang w:val="ar"/>
              </w:rPr>
              <w:lastRenderedPageBreak/>
              <w:t>الإشراف المجدوَل:</w:t>
            </w:r>
            <w:r w:rsidRPr="003A66CF">
              <w:rPr>
                <w:rFonts w:ascii="Dubai" w:hAnsi="Dubai" w:cs="Dubai"/>
                <w:szCs w:val="22"/>
                <w:rtl/>
                <w:lang w:val="ar"/>
              </w:rPr>
              <w:t xml:space="preserve"> قد يتخذ أشكالًا مختلفة اعتمادًا على محور الجلسة، مثل المراجعة العامّة للعمل حتى تاريخه وأي قضايا يجب إدارتها في الفترة القادمة والمناقشة المركزة على القضايا التي وُصِفت بأنها تحتاج إلى دعم أو توجيه في العمل حتى تاريخه وما إلى ذلك. ومن الأفضل مناقشة القضايا الجارية أو الأكثر تعقيدًا التي تم تحديدها من خلال الاتصال المستمر غير الرسمي في هذا النوع من الجلسات. </w:t>
            </w:r>
          </w:p>
        </w:tc>
        <w:tc>
          <w:tcPr>
            <w:tcW w:w="3118" w:type="dxa"/>
          </w:tcPr>
          <w:p w14:paraId="5D41EF10"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مقابلة وجهًا لوجه:</w:t>
            </w:r>
          </w:p>
          <w:p w14:paraId="457D1340"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مكالمة فيديو - هاتف أو تطبيق</w:t>
            </w:r>
          </w:p>
          <w:p w14:paraId="6A58614E"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حضورية.</w:t>
            </w:r>
          </w:p>
        </w:tc>
      </w:tr>
      <w:tr w:rsidR="00BE1249" w:rsidRPr="003A66CF" w14:paraId="10F1A57E" w14:textId="77777777" w:rsidTr="005A0885">
        <w:trPr>
          <w:cantSplit/>
        </w:trPr>
        <w:tc>
          <w:tcPr>
            <w:tcW w:w="5954" w:type="dxa"/>
          </w:tcPr>
          <w:p w14:paraId="3638927C" w14:textId="77777777" w:rsidR="002058D6" w:rsidRPr="003A66CF" w:rsidRDefault="007D5FB7" w:rsidP="009C3CA7">
            <w:pPr>
              <w:pStyle w:val="NormalTables"/>
              <w:bidi/>
              <w:rPr>
                <w:rFonts w:ascii="Dubai" w:hAnsi="Dubai" w:cs="Dubai"/>
                <w:szCs w:val="22"/>
              </w:rPr>
            </w:pPr>
            <w:r w:rsidRPr="003A66CF">
              <w:rPr>
                <w:rFonts w:ascii="Dubai" w:hAnsi="Dubai" w:cs="Dubai"/>
                <w:b/>
                <w:bCs/>
                <w:szCs w:val="22"/>
                <w:rtl/>
                <w:lang w:val="ar"/>
              </w:rPr>
              <w:t>التدريب:</w:t>
            </w:r>
            <w:r w:rsidRPr="003A66CF">
              <w:rPr>
                <w:rFonts w:ascii="Dubai" w:hAnsi="Dubai" w:cs="Dubai"/>
                <w:szCs w:val="22"/>
                <w:rtl/>
                <w:lang w:val="ar"/>
              </w:rPr>
              <w:t xml:space="preserve"> يمكن أن يشمل إظهار الممارسة والتعلّم بالمراقبة عن كثب وتقديم ملاحظات في حينه. يمكن أن يشمل أيضًا بناء قدرة العامل على التفكير الذاتي ومناقشة ما سار جيدًا وما يمكن تحسينه واكتساب الثقة في إيجاد الحلول الخاصة به.</w:t>
            </w:r>
          </w:p>
        </w:tc>
        <w:tc>
          <w:tcPr>
            <w:tcW w:w="3118" w:type="dxa"/>
          </w:tcPr>
          <w:p w14:paraId="335874FE"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مقابلة وجهًا لوجه:</w:t>
            </w:r>
          </w:p>
          <w:p w14:paraId="638CF4DC"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مكالمة فيديو - هاتف أو تطبيق</w:t>
            </w:r>
          </w:p>
          <w:p w14:paraId="319A8BCB"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حضورية.</w:t>
            </w:r>
          </w:p>
        </w:tc>
      </w:tr>
      <w:tr w:rsidR="00BE1249" w:rsidRPr="003A66CF" w14:paraId="54BA04AF" w14:textId="77777777" w:rsidTr="005A0885">
        <w:trPr>
          <w:cantSplit/>
        </w:trPr>
        <w:tc>
          <w:tcPr>
            <w:tcW w:w="5954" w:type="dxa"/>
          </w:tcPr>
          <w:p w14:paraId="778EFC05" w14:textId="34491F6A" w:rsidR="002058D6" w:rsidRPr="003A66CF" w:rsidRDefault="007D5FB7" w:rsidP="00E57DAE">
            <w:pPr>
              <w:pStyle w:val="ListBullet"/>
              <w:numPr>
                <w:ilvl w:val="0"/>
                <w:numId w:val="0"/>
              </w:numPr>
              <w:bidi/>
              <w:rPr>
                <w:rFonts w:ascii="Dubai" w:hAnsi="Dubai" w:cs="Dubai"/>
                <w:szCs w:val="22"/>
              </w:rPr>
            </w:pPr>
            <w:r w:rsidRPr="003A66CF">
              <w:rPr>
                <w:rFonts w:ascii="Dubai" w:hAnsi="Dubai" w:cs="Dubai"/>
                <w:b/>
                <w:bCs/>
                <w:szCs w:val="22"/>
                <w:rtl/>
                <w:lang w:val="ar"/>
              </w:rPr>
              <w:t>التفكير والمراجعة:</w:t>
            </w:r>
            <w:r w:rsidRPr="003A66CF">
              <w:rPr>
                <w:rFonts w:ascii="Dubai" w:hAnsi="Dubai" w:cs="Dubai"/>
                <w:szCs w:val="22"/>
                <w:rtl/>
                <w:lang w:val="ar"/>
              </w:rPr>
              <w:t xml:space="preserve"> يُعرض على العامل موقف حقيقي أو افتراضي ويتمّ تشجيعه على مناقشة كيف استجاب/يستجيب واقتراح ما يمكنه القيام به بشكلٍ مختلف لتحسين النتائج. غالبًا ما يتم استخدام هذا الأسلوب لأنواع الدعم الأكثر تعقيدًا. للحصول على نصائح حول تنظيم مناقشات الممارسة </w:t>
            </w:r>
            <w:r w:rsidR="00A5790E" w:rsidRPr="00507CBF">
              <w:rPr>
                <w:rFonts w:ascii="Dubai" w:hAnsi="Dubai" w:cs="Dubai" w:hint="eastAsia"/>
                <w:szCs w:val="22"/>
                <w:rtl/>
                <w:lang w:val="ar"/>
              </w:rPr>
              <w:t>ا</w:t>
            </w:r>
            <w:r w:rsidR="00A5790E" w:rsidRPr="003D3919">
              <w:rPr>
                <w:rFonts w:ascii="Dubai" w:hAnsi="Dubai" w:cs="Dubai" w:hint="eastAsia"/>
                <w:szCs w:val="22"/>
                <w:rtl/>
                <w:lang w:val="ar"/>
              </w:rPr>
              <w:t>لتفكيرية</w:t>
            </w:r>
            <w:r w:rsidRPr="003A66CF">
              <w:rPr>
                <w:rFonts w:ascii="Dubai" w:hAnsi="Dubai" w:cs="Dubai"/>
                <w:szCs w:val="22"/>
                <w:rtl/>
                <w:lang w:val="ar"/>
              </w:rPr>
              <w:t xml:space="preserve">، قم بتنزيل </w:t>
            </w:r>
            <w:hyperlink r:id="rId21" w:history="1">
              <w:r w:rsidRPr="00E57DAE">
                <w:rPr>
                  <w:rStyle w:val="Hyperlink"/>
                  <w:rFonts w:ascii="Dubai" w:hAnsi="Dubai" w:cs="Dubai"/>
                  <w:szCs w:val="22"/>
                  <w:rtl/>
                  <w:lang w:val="ar"/>
                </w:rPr>
                <w:t xml:space="preserve">ورقة نصائح الممارسة </w:t>
              </w:r>
              <w:r w:rsidR="00A5790E" w:rsidRPr="00A5790E">
                <w:rPr>
                  <w:rStyle w:val="Hyperlink"/>
                  <w:rFonts w:ascii="Dubai" w:hAnsi="Dubai" w:cs="Dubai" w:hint="cs"/>
                  <w:szCs w:val="22"/>
                  <w:rtl/>
                  <w:lang w:val="ar"/>
                </w:rPr>
                <w:t>التفكيرية</w:t>
              </w:r>
              <w:r w:rsidRPr="00E57DAE">
                <w:rPr>
                  <w:rStyle w:val="Hyperlink"/>
                  <w:rFonts w:ascii="Dubai" w:hAnsi="Dubai" w:cs="Dubai"/>
                  <w:szCs w:val="22"/>
                  <w:rtl/>
                  <w:lang w:val="ar"/>
                </w:rPr>
                <w:t xml:space="preserve"> للمشرفين والعمّال</w:t>
              </w:r>
            </w:hyperlink>
          </w:p>
        </w:tc>
        <w:tc>
          <w:tcPr>
            <w:tcW w:w="3118" w:type="dxa"/>
          </w:tcPr>
          <w:p w14:paraId="43673E62" w14:textId="77777777" w:rsidR="002058D6" w:rsidRPr="003A66CF" w:rsidRDefault="007D5FB7" w:rsidP="005E55E6">
            <w:pPr>
              <w:pStyle w:val="NormalTables"/>
              <w:bidi/>
              <w:rPr>
                <w:rFonts w:ascii="Dubai" w:hAnsi="Dubai" w:cs="Dubai"/>
                <w:szCs w:val="22"/>
              </w:rPr>
            </w:pPr>
            <w:r w:rsidRPr="003A66CF">
              <w:rPr>
                <w:rFonts w:ascii="Dubai" w:hAnsi="Dubai" w:cs="Dubai"/>
                <w:szCs w:val="22"/>
                <w:rtl/>
                <w:lang w:val="ar"/>
              </w:rPr>
              <w:t>مقابلة وجهًا لوجه:</w:t>
            </w:r>
          </w:p>
          <w:p w14:paraId="6AD10519"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مكالمة فيديو - هاتف أو تطبيق</w:t>
            </w:r>
          </w:p>
          <w:p w14:paraId="6FBD8591" w14:textId="77777777" w:rsidR="002058D6" w:rsidRPr="003A66CF" w:rsidRDefault="007D5FB7" w:rsidP="00E34585">
            <w:pPr>
              <w:pStyle w:val="Bullet1"/>
              <w:bidi/>
              <w:rPr>
                <w:rFonts w:ascii="Dubai" w:hAnsi="Dubai" w:cs="Dubai"/>
                <w:szCs w:val="22"/>
              </w:rPr>
            </w:pPr>
            <w:r w:rsidRPr="003A66CF">
              <w:rPr>
                <w:rFonts w:ascii="Dubai" w:hAnsi="Dubai" w:cs="Dubai"/>
                <w:szCs w:val="22"/>
                <w:rtl/>
                <w:lang w:val="ar"/>
              </w:rPr>
              <w:t>شخصيًا مع المشرف و/أو الأقران والخبراء الفنيين.</w:t>
            </w:r>
          </w:p>
        </w:tc>
      </w:tr>
      <w:tr w:rsidR="00BE1249" w:rsidRPr="003A66CF" w14:paraId="5F329591" w14:textId="77777777" w:rsidTr="005A0885">
        <w:trPr>
          <w:cantSplit/>
        </w:trPr>
        <w:tc>
          <w:tcPr>
            <w:tcW w:w="5954" w:type="dxa"/>
          </w:tcPr>
          <w:p w14:paraId="7F5294E6" w14:textId="3059E2AA" w:rsidR="002058D6" w:rsidRPr="003A66CF" w:rsidRDefault="00A5790E" w:rsidP="009C3CA7">
            <w:pPr>
              <w:pStyle w:val="NormalTables"/>
              <w:bidi/>
              <w:rPr>
                <w:rFonts w:ascii="Dubai" w:hAnsi="Dubai" w:cs="Dubai"/>
                <w:szCs w:val="22"/>
              </w:rPr>
            </w:pPr>
            <w:r>
              <w:rPr>
                <w:rFonts w:ascii="Dubai" w:hAnsi="Dubai" w:cs="Dubai" w:hint="cs"/>
                <w:b/>
                <w:bCs/>
                <w:szCs w:val="22"/>
                <w:rtl/>
                <w:lang w:val="ar"/>
              </w:rPr>
              <w:t>الت</w:t>
            </w:r>
            <w:r w:rsidR="007D5FB7" w:rsidRPr="003A66CF">
              <w:rPr>
                <w:rFonts w:ascii="Dubai" w:hAnsi="Dubai" w:cs="Dubai"/>
                <w:b/>
                <w:bCs/>
                <w:szCs w:val="22"/>
                <w:rtl/>
                <w:lang w:val="ar"/>
              </w:rPr>
              <w:t>عليمي:</w:t>
            </w:r>
            <w:r w:rsidR="007D5FB7" w:rsidRPr="003A66CF">
              <w:rPr>
                <w:rFonts w:ascii="Dubai" w:hAnsi="Dubai" w:cs="Dubai"/>
                <w:szCs w:val="22"/>
                <w:rtl/>
                <w:lang w:val="ar"/>
              </w:rPr>
              <w:t xml:space="preserve"> يُستخدم لتطوير مجال الممارسة أو تطوير المهارة. قد يكون جزءًا من التدريب الفردي أو التدريب على مستوى مكان العمل.</w:t>
            </w:r>
          </w:p>
        </w:tc>
        <w:tc>
          <w:tcPr>
            <w:tcW w:w="3118" w:type="dxa"/>
          </w:tcPr>
          <w:p w14:paraId="1E2727E7"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تدريب فردي أو جماعي لتطوير المهارات.</w:t>
            </w:r>
          </w:p>
        </w:tc>
      </w:tr>
    </w:tbl>
    <w:p w14:paraId="32A0D4E9" w14:textId="77777777" w:rsidR="002058D6" w:rsidRPr="003A66CF" w:rsidRDefault="007D5FB7" w:rsidP="005A0885">
      <w:pPr>
        <w:pStyle w:val="Heading1"/>
        <w:bidi/>
        <w:rPr>
          <w:rFonts w:ascii="Dubai" w:hAnsi="Dubai" w:cs="Dubai"/>
          <w:bCs/>
        </w:rPr>
      </w:pPr>
      <w:bookmarkStart w:id="37" w:name="_Toc119401380"/>
      <w:bookmarkStart w:id="38" w:name="_Toc119408300"/>
      <w:bookmarkStart w:id="39" w:name="_Toc121325243"/>
      <w:bookmarkStart w:id="40" w:name="_Toc169093108"/>
      <w:r w:rsidRPr="003A66CF">
        <w:rPr>
          <w:rFonts w:ascii="Dubai" w:hAnsi="Dubai" w:cs="Dubai"/>
          <w:bCs/>
          <w:rtl/>
          <w:lang w:val="ar"/>
        </w:rPr>
        <w:lastRenderedPageBreak/>
        <w:t>إعداد العلاقة الإشرافية والترتيبات</w:t>
      </w:r>
      <w:bookmarkEnd w:id="37"/>
      <w:bookmarkEnd w:id="38"/>
      <w:bookmarkEnd w:id="39"/>
      <w:bookmarkEnd w:id="40"/>
    </w:p>
    <w:p w14:paraId="5F14C470" w14:textId="77777777" w:rsidR="002058D6" w:rsidRPr="003A66CF" w:rsidRDefault="007D5FB7" w:rsidP="005A0885">
      <w:pPr>
        <w:pStyle w:val="ListBullet"/>
        <w:keepNext/>
        <w:keepLines/>
        <w:numPr>
          <w:ilvl w:val="0"/>
          <w:numId w:val="0"/>
        </w:numPr>
        <w:bidi/>
        <w:spacing w:after="0"/>
        <w:rPr>
          <w:rFonts w:ascii="Dubai" w:hAnsi="Dubai" w:cs="Dubai"/>
          <w:szCs w:val="22"/>
        </w:rPr>
      </w:pPr>
      <w:r w:rsidRPr="003A66CF">
        <w:rPr>
          <w:rFonts w:ascii="Dubai" w:hAnsi="Dubai" w:cs="Dubai"/>
          <w:szCs w:val="22"/>
          <w:rtl/>
          <w:lang w:val="ar"/>
        </w:rPr>
        <w:t xml:space="preserve">راجع المبادئ التوجيهية في القسم 1 </w:t>
      </w:r>
      <w:hyperlink r:id="rId22" w:history="1">
        <w:r w:rsidRPr="00E57DAE">
          <w:rPr>
            <w:rStyle w:val="Hyperlink"/>
            <w:rFonts w:ascii="Dubai" w:hAnsi="Dubai" w:cs="Dubai"/>
            <w:szCs w:val="22"/>
            <w:rtl/>
            <w:lang w:val="ar"/>
          </w:rPr>
          <w:t>من نظرة عامة على الموارد</w:t>
        </w:r>
      </w:hyperlink>
      <w:r w:rsidRPr="003A66CF">
        <w:rPr>
          <w:rFonts w:ascii="Dubai" w:hAnsi="Dubai" w:cs="Dubai"/>
          <w:szCs w:val="22"/>
          <w:rtl/>
          <w:lang w:val="ar"/>
        </w:rPr>
        <w:t xml:space="preserve"> كنقطة انطلاق لإقامة علاقة إشراف إيجابية وبنّاءة بين المشرف والعامل.  </w:t>
      </w:r>
    </w:p>
    <w:p w14:paraId="3AC0D5B4" w14:textId="77777777" w:rsidR="002058D6" w:rsidRPr="003A66CF" w:rsidRDefault="007D5FB7" w:rsidP="005A0885">
      <w:pPr>
        <w:keepNext/>
        <w:keepLines/>
        <w:bidi/>
        <w:rPr>
          <w:rFonts w:ascii="Dubai" w:hAnsi="Dubai" w:cs="Dubai"/>
          <w:szCs w:val="22"/>
        </w:rPr>
      </w:pPr>
      <w:r w:rsidRPr="003A66CF">
        <w:rPr>
          <w:rFonts w:ascii="Dubai" w:hAnsi="Dubai" w:cs="Dubai"/>
          <w:szCs w:val="22"/>
          <w:rtl/>
          <w:lang w:val="ar"/>
        </w:rPr>
        <w:t>يجب التخطيط للإشراف وتضمينه في بداية أي علاقة بين العامل والمشرف. يتضمن ذلك الاتفاق على أشكال الإشراف التي تناسب التفضيلات والظروف المختلفة عبر مجموعة من البيئات/المهام/الأدوار/نقاط اتصال الإشراف. يعتمد اختيار أفضل طريقة للاتصال على طبيعة العمل والمرحلة في دورة حياة التوظيف وموقع العامل والمشرف. يحدّد الجدول أدناه العوامل التي يجب مراعاتها عند تحديد كيفية سير العلاقة الإشرافية. يمكن للمشرفين والعاملين استخدام الجدول كقائمة مرجعية عند مناقشة كيفية عملهم معًا. وينبغي إدراج العناصر الرئيسية للترتيبات المتّفق عليها في اتفاق الأداء. من المهم مناقشة كيفية إجراء الإشراف اليومي المستمر والاتفاق عليها، بالإضافة إلى الجلسات المخطط لها اللازمة لوضع اتفاقية الأداء أو إجراء مراجعة للأداء.</w:t>
      </w:r>
    </w:p>
    <w:tbl>
      <w:tblPr>
        <w:tblStyle w:val="TableGrid-Header2"/>
        <w:bidiVisual/>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BE1249" w:rsidRPr="003A66CF" w14:paraId="24887202" w14:textId="77777777" w:rsidTr="005A0885">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12D32C24" w14:textId="4FCB1175" w:rsidR="002058D6" w:rsidRPr="003A66CF" w:rsidRDefault="00207676" w:rsidP="009C3CA7">
            <w:pPr>
              <w:pStyle w:val="NormalTables"/>
              <w:bidi/>
              <w:rPr>
                <w:rFonts w:ascii="Dubai" w:hAnsi="Dubai" w:cs="Dubai"/>
                <w:bCs/>
                <w:szCs w:val="22"/>
              </w:rPr>
            </w:pPr>
            <w:r>
              <w:rPr>
                <w:rFonts w:ascii="Dubai" w:hAnsi="Dubai" w:cs="Dubai" w:hint="cs"/>
                <w:bCs/>
                <w:szCs w:val="22"/>
                <w:rtl/>
                <w:lang w:val="ar"/>
              </w:rPr>
              <w:t>ال</w:t>
            </w:r>
            <w:r w:rsidR="007D5FB7" w:rsidRPr="003A66CF">
              <w:rPr>
                <w:rFonts w:ascii="Dubai" w:hAnsi="Dubai" w:cs="Dubai"/>
                <w:bCs/>
                <w:szCs w:val="22"/>
                <w:rtl/>
                <w:lang w:val="ar"/>
              </w:rPr>
              <w:t>عامل</w:t>
            </w:r>
          </w:p>
        </w:tc>
        <w:tc>
          <w:tcPr>
            <w:tcW w:w="7349" w:type="dxa"/>
          </w:tcPr>
          <w:p w14:paraId="4A511B13" w14:textId="77777777" w:rsidR="002058D6" w:rsidRPr="003A66CF" w:rsidRDefault="007D5FB7" w:rsidP="009C3CA7">
            <w:pPr>
              <w:pStyle w:val="NormalTables"/>
              <w:bidi/>
              <w:rPr>
                <w:rFonts w:ascii="Dubai" w:hAnsi="Dubai" w:cs="Dubai"/>
                <w:bCs/>
                <w:szCs w:val="22"/>
              </w:rPr>
            </w:pPr>
            <w:r w:rsidRPr="003A66CF">
              <w:rPr>
                <w:rFonts w:ascii="Dubai" w:hAnsi="Dubai" w:cs="Dubai"/>
                <w:bCs/>
                <w:szCs w:val="22"/>
                <w:rtl/>
                <w:lang w:val="ar"/>
              </w:rPr>
              <w:t>الاعتبارات</w:t>
            </w:r>
          </w:p>
        </w:tc>
      </w:tr>
      <w:tr w:rsidR="00BE1249" w:rsidRPr="003A66CF" w14:paraId="553469BB" w14:textId="77777777" w:rsidTr="005A0885">
        <w:trPr>
          <w:cantSplit/>
        </w:trPr>
        <w:tc>
          <w:tcPr>
            <w:tcW w:w="1723" w:type="dxa"/>
          </w:tcPr>
          <w:p w14:paraId="218A82DB"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نوع العمل</w:t>
            </w:r>
          </w:p>
        </w:tc>
        <w:tc>
          <w:tcPr>
            <w:tcW w:w="7349" w:type="dxa"/>
          </w:tcPr>
          <w:p w14:paraId="59CAD403" w14:textId="77777777" w:rsidR="002058D6" w:rsidRPr="003A66CF" w:rsidRDefault="007D5FB7" w:rsidP="000E032E">
            <w:pPr>
              <w:pStyle w:val="NormalTablesListBullet"/>
              <w:numPr>
                <w:ilvl w:val="0"/>
                <w:numId w:val="25"/>
              </w:numPr>
              <w:bidi/>
              <w:rPr>
                <w:rFonts w:ascii="Dubai" w:hAnsi="Dubai" w:cs="Dubai"/>
                <w:szCs w:val="22"/>
              </w:rPr>
            </w:pPr>
            <w:r w:rsidRPr="003A66CF">
              <w:rPr>
                <w:rFonts w:ascii="Dubai" w:hAnsi="Dubai" w:cs="Dubai"/>
                <w:szCs w:val="22"/>
                <w:rtl/>
                <w:lang w:val="ar"/>
              </w:rPr>
              <w:t>بعض أنواع الخدمات والدعم أكثر تعقيدًا من غيرها، حيث تحتاج إلى مستوياتٍ أعلى أو أنواعٍ مختلفة من دعم المشرف واستخلاص المعلومات. على سبيل المثال، قد يحتاج العمّال الذين يقدّمون الدعم الصحي أو السلوكي المكثف إلى الدعم من قبل ممارس مناسب في مجال دعم الصحة أو السلوك الإيجابي.</w:t>
            </w:r>
          </w:p>
        </w:tc>
      </w:tr>
      <w:tr w:rsidR="00BE1249" w:rsidRPr="003A66CF" w14:paraId="33509A37" w14:textId="77777777" w:rsidTr="005A0885">
        <w:trPr>
          <w:cantSplit/>
        </w:trPr>
        <w:tc>
          <w:tcPr>
            <w:tcW w:w="1723" w:type="dxa"/>
          </w:tcPr>
          <w:p w14:paraId="56C90153"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الترتيبات الإشرافية</w:t>
            </w:r>
          </w:p>
        </w:tc>
        <w:tc>
          <w:tcPr>
            <w:tcW w:w="7349" w:type="dxa"/>
          </w:tcPr>
          <w:p w14:paraId="7844B78C" w14:textId="77777777" w:rsidR="002058D6" w:rsidRPr="003A66CF" w:rsidRDefault="007D5FB7" w:rsidP="000E032E">
            <w:pPr>
              <w:pStyle w:val="NormalTablesListBullet"/>
              <w:numPr>
                <w:ilvl w:val="0"/>
                <w:numId w:val="26"/>
              </w:numPr>
              <w:bidi/>
              <w:rPr>
                <w:rFonts w:ascii="Dubai" w:hAnsi="Dubai" w:cs="Dubai"/>
                <w:szCs w:val="22"/>
              </w:rPr>
            </w:pPr>
            <w:r w:rsidRPr="003A66CF">
              <w:rPr>
                <w:rFonts w:ascii="Dubai" w:hAnsi="Dubai" w:cs="Dubai"/>
                <w:szCs w:val="22"/>
                <w:rtl/>
                <w:lang w:val="ar"/>
              </w:rPr>
              <w:t>هل يتم تنفيذ جميع وظائف الإشراف من قبل مشرف واحد أم أنها موزّعة على أدوارٍ مختلفة؟ على سبيل المثال، يمكن أن يتم تنفيذ القوائم أو إدارة الحضور من خلال دور آخر؛ قد يتم الإشراف على أنواع معينة من الدعم المتخصص من قبل ممارس صحي؛ قد يتم توفير الإشراف اليومي من قبل المشرف.</w:t>
            </w:r>
          </w:p>
          <w:p w14:paraId="7F42735C" w14:textId="77777777" w:rsidR="002058D6" w:rsidRPr="003A66CF" w:rsidRDefault="007D5FB7" w:rsidP="000E032E">
            <w:pPr>
              <w:pStyle w:val="NormalTablesListBullet"/>
              <w:numPr>
                <w:ilvl w:val="0"/>
                <w:numId w:val="26"/>
              </w:numPr>
              <w:bidi/>
              <w:rPr>
                <w:rFonts w:ascii="Dubai" w:hAnsi="Dubai" w:cs="Dubai"/>
                <w:szCs w:val="22"/>
              </w:rPr>
            </w:pPr>
            <w:r w:rsidRPr="003A66CF">
              <w:rPr>
                <w:rFonts w:ascii="Dubai" w:hAnsi="Dubai" w:cs="Dubai"/>
                <w:szCs w:val="22"/>
                <w:rtl/>
                <w:lang w:val="ar"/>
              </w:rPr>
              <w:t>في حالة تقسيم المسؤوليات الإشرافية، تحتاج المنظمة إلى التأكد من أن هذه الأدوار المختلفة تكمّل بعضها البعض. على سبيل المثال، قد يحتاج المشرف الرئيسي إلى التنسيق مع الآخرين بخصوص جميع المُدخلات ذات الصلة باتفاقية الأداء وجميع الملاحظات ذات الصلة المطلوبة لمراجعة الأداء.</w:t>
            </w:r>
          </w:p>
        </w:tc>
      </w:tr>
      <w:tr w:rsidR="00BE1249" w:rsidRPr="003A66CF" w14:paraId="2702C0C2" w14:textId="77777777" w:rsidTr="005A0885">
        <w:trPr>
          <w:cantSplit/>
        </w:trPr>
        <w:tc>
          <w:tcPr>
            <w:tcW w:w="1723" w:type="dxa"/>
          </w:tcPr>
          <w:p w14:paraId="36390B52"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lastRenderedPageBreak/>
              <w:t>الاتصالات ونقاط تسجيل الوصول</w:t>
            </w:r>
          </w:p>
        </w:tc>
        <w:tc>
          <w:tcPr>
            <w:tcW w:w="7349" w:type="dxa"/>
          </w:tcPr>
          <w:p w14:paraId="45740C60" w14:textId="5BD1187B" w:rsidR="002058D6" w:rsidRPr="003A66CF" w:rsidRDefault="007D5FB7" w:rsidP="000E032E">
            <w:pPr>
              <w:pStyle w:val="NormalTablesListBullet"/>
              <w:numPr>
                <w:ilvl w:val="0"/>
                <w:numId w:val="27"/>
              </w:numPr>
              <w:bidi/>
              <w:rPr>
                <w:rFonts w:ascii="Dubai" w:hAnsi="Dubai" w:cs="Dubai"/>
                <w:szCs w:val="22"/>
              </w:rPr>
            </w:pPr>
            <w:r w:rsidRPr="003A66CF">
              <w:rPr>
                <w:rFonts w:ascii="Dubai" w:hAnsi="Dubai" w:cs="Dubai"/>
                <w:szCs w:val="22"/>
                <w:rtl/>
                <w:lang w:val="ar"/>
              </w:rPr>
              <w:t xml:space="preserve">يتم تقديم العديد من خدمات NDIS والدعم في منازل المشاركين أو في الأماكن المجتمعية. يتمتع العمّال الذين يقدمون هذا الدعم بفرص محدودة للقاء المشرفين أو العمّال الآخرين شخصيًا. يتمتع العمّال الذين يقدمون الدعم للمشاركين في المنازل الجماعيّة بمزيد من التواصل المنتظم مع الزملاء والمشرفين. يجب أن تأخذ ترتيبات تسجيل الوصول في الاعتبار الظروف والفرص ذات الصلة </w:t>
            </w:r>
            <w:r w:rsidR="00207676">
              <w:rPr>
                <w:rFonts w:ascii="Dubai" w:hAnsi="Dubai" w:cs="Dubai" w:hint="cs"/>
                <w:szCs w:val="22"/>
                <w:rtl/>
                <w:lang w:val="ar"/>
              </w:rPr>
              <w:t>للتواصل</w:t>
            </w:r>
            <w:r w:rsidRPr="003A66CF">
              <w:rPr>
                <w:rFonts w:ascii="Dubai" w:hAnsi="Dubai" w:cs="Dubai"/>
                <w:szCs w:val="22"/>
                <w:rtl/>
                <w:lang w:val="ar"/>
              </w:rPr>
              <w:t xml:space="preserve"> الإشرافي العَرَضي.</w:t>
            </w:r>
          </w:p>
          <w:p w14:paraId="100B9293" w14:textId="77777777" w:rsidR="002058D6" w:rsidRPr="003A66CF" w:rsidRDefault="007D5FB7" w:rsidP="000E032E">
            <w:pPr>
              <w:pStyle w:val="NormalTablesListBullet"/>
              <w:numPr>
                <w:ilvl w:val="0"/>
                <w:numId w:val="27"/>
              </w:numPr>
              <w:bidi/>
              <w:rPr>
                <w:rFonts w:ascii="Dubai" w:hAnsi="Dubai" w:cs="Dubai"/>
                <w:szCs w:val="22"/>
              </w:rPr>
            </w:pPr>
            <w:r w:rsidRPr="003A66CF">
              <w:rPr>
                <w:rFonts w:ascii="Dubai" w:hAnsi="Dubai" w:cs="Dubai"/>
                <w:szCs w:val="22"/>
                <w:rtl/>
                <w:lang w:val="ar"/>
              </w:rPr>
              <w:t>تشمل الأمثلة على ترتيبات الاتصال وتسجيل الوصول ما يلي: تسجيل الوصول النصي في نهاية كل نوبة عمل؛ إجراء مكالمة أو إرسال رسالة نصية للحصول على اهتمام فوري مثل الغياب غير المتوقع (على سبيل المثال بسبب المرض) أو لطلب اجتماع لاستخلاص المعلومات؛ مكالمات هاتفية أو فيديو أسبوعية أو نصف شهرية لعمليات تسجيل الوصول الروتينية؛ اجتماعات مراجعة الأداء الشخصية كل ستة أشهر لمناقشة كيفيّة سير الأمور ومعالجة قضايا العمل والتقدم أو الاحتياجات في تطوير القدرات؛ حضور اجتماعات الموظفين العادية؛ المشاركة في اجتماعات ممارسة الأقران عبر الإنترنت.</w:t>
            </w:r>
          </w:p>
        </w:tc>
      </w:tr>
      <w:tr w:rsidR="00BE1249" w:rsidRPr="003A66CF" w14:paraId="4EDF4C18" w14:textId="77777777" w:rsidTr="005A0885">
        <w:trPr>
          <w:cantSplit/>
        </w:trPr>
        <w:tc>
          <w:tcPr>
            <w:tcW w:w="1723" w:type="dxa"/>
          </w:tcPr>
          <w:p w14:paraId="2FA9A486"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مستوى خبرة العامل ومدة عمله في المنظمة</w:t>
            </w:r>
          </w:p>
        </w:tc>
        <w:tc>
          <w:tcPr>
            <w:tcW w:w="7349" w:type="dxa"/>
          </w:tcPr>
          <w:p w14:paraId="1A197E8D" w14:textId="27EA8DE2" w:rsidR="002058D6" w:rsidRPr="003A66CF" w:rsidRDefault="007D5FB7" w:rsidP="000E032E">
            <w:pPr>
              <w:pStyle w:val="NormalTablesListBullet"/>
              <w:numPr>
                <w:ilvl w:val="0"/>
                <w:numId w:val="28"/>
              </w:numPr>
              <w:bidi/>
              <w:rPr>
                <w:rFonts w:ascii="Dubai" w:hAnsi="Dubai" w:cs="Dubai"/>
                <w:szCs w:val="22"/>
              </w:rPr>
            </w:pPr>
            <w:r w:rsidRPr="003A66CF">
              <w:rPr>
                <w:rFonts w:ascii="Dubai" w:hAnsi="Dubai" w:cs="Dubai"/>
                <w:szCs w:val="22"/>
                <w:rtl/>
                <w:lang w:val="ar"/>
              </w:rPr>
              <w:t>إذا كان العامل جديدًا في عمل NDIS أو يتعلّم تقديم نوع جديد من الدعم، فسوف يحتاج إلى مزيد من الدعم المكثف بينما يصبح على دراية بالعمل ويطور الثقة. يحتاج المشرف أيضًا إلى توفير المزيد من الفرص المنتظمة لتسجيل الوصول والتّأكد من أن لديهم القدرات التي يحتاجون إليها والتأكد من أن العامل على دراية بالمتطلبات المنصوص عليها في مدوّنة قواعد السلوك والنهج المتوقع لتقديم الخدمة الموضح في الإطار.</w:t>
            </w:r>
          </w:p>
          <w:p w14:paraId="5F18A0D7" w14:textId="77777777" w:rsidR="002058D6" w:rsidRPr="003A66CF" w:rsidRDefault="007D5FB7" w:rsidP="00C83AE3">
            <w:pPr>
              <w:pStyle w:val="NormalTablesListBullet"/>
              <w:numPr>
                <w:ilvl w:val="0"/>
                <w:numId w:val="28"/>
              </w:numPr>
              <w:bidi/>
              <w:rPr>
                <w:rFonts w:ascii="Dubai" w:hAnsi="Dubai" w:cs="Dubai"/>
                <w:szCs w:val="22"/>
              </w:rPr>
            </w:pPr>
            <w:r w:rsidRPr="003A66CF">
              <w:rPr>
                <w:rFonts w:ascii="Dubai" w:hAnsi="Dubai" w:cs="Dubai"/>
                <w:szCs w:val="22"/>
                <w:rtl/>
                <w:lang w:val="ar"/>
              </w:rPr>
              <w:t>إذا كان العامل جديدًا في المنظمة، فسوف يحتاج إلى تعريف/توجيه بشأن الأهداف والأولويات والسياسات والإجراءات والأنظمة المحلية وما إلى ذلك. يجب على المشرف التأكد من توفير ذلك.</w:t>
            </w:r>
          </w:p>
        </w:tc>
      </w:tr>
      <w:tr w:rsidR="00BE1249" w:rsidRPr="003A66CF" w14:paraId="62902064" w14:textId="77777777" w:rsidTr="005A0885">
        <w:trPr>
          <w:cantSplit/>
        </w:trPr>
        <w:tc>
          <w:tcPr>
            <w:tcW w:w="1723" w:type="dxa"/>
          </w:tcPr>
          <w:p w14:paraId="67771573"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lastRenderedPageBreak/>
              <w:t>تقييم الأداء</w:t>
            </w:r>
          </w:p>
        </w:tc>
        <w:tc>
          <w:tcPr>
            <w:tcW w:w="7349" w:type="dxa"/>
          </w:tcPr>
          <w:p w14:paraId="5E7EC9B9" w14:textId="77777777" w:rsidR="002058D6" w:rsidRPr="003A66CF" w:rsidRDefault="007D5FB7" w:rsidP="000E032E">
            <w:pPr>
              <w:pStyle w:val="NormalTablesListBullet"/>
              <w:numPr>
                <w:ilvl w:val="0"/>
                <w:numId w:val="29"/>
              </w:numPr>
              <w:bidi/>
              <w:rPr>
                <w:rFonts w:ascii="Dubai" w:hAnsi="Dubai" w:cs="Dubai"/>
                <w:szCs w:val="22"/>
              </w:rPr>
            </w:pPr>
            <w:r w:rsidRPr="003A66CF">
              <w:rPr>
                <w:rFonts w:ascii="Dubai" w:hAnsi="Dubai" w:cs="Dubai"/>
                <w:szCs w:val="22"/>
                <w:rtl/>
                <w:lang w:val="ar"/>
              </w:rPr>
              <w:t xml:space="preserve">كيف سيقوم المشرف بمراقبة وتقييم أداء العامل من أجل التأكد من أن الخدمات وسبل الدعم تم تقديمها وفقًا للمعايير المطلوبة؟ يجب أن يغطي التقييم كلًا من أداء المهام ("النوعية") والطريقة التي يتمّ بها تنفيذها ("الكيفية": القدرات المثبتة). يجب على المشرف والعامل مناقشة كيفية القيام بذلك وكيفيّة تقديم التعليقات، "في لحظتها" إذا كان ذلك مناسبًا، أو في جلسة مراجعة مخطط لها. راجع </w:t>
            </w:r>
            <w:hyperlink r:id="rId23" w:history="1">
              <w:r w:rsidRPr="00E57DAE">
                <w:rPr>
                  <w:rStyle w:val="Hyperlink"/>
                  <w:rFonts w:ascii="Dubai" w:hAnsi="Dubai" w:cs="Dubai"/>
                  <w:szCs w:val="22"/>
                  <w:rtl/>
                  <w:lang w:val="ar"/>
                </w:rPr>
                <w:t>التعلّم وتنمية القدرات: دليل للمشرفين</w:t>
              </w:r>
            </w:hyperlink>
            <w:r w:rsidRPr="003A66CF">
              <w:rPr>
                <w:rFonts w:ascii="Dubai" w:hAnsi="Dubai" w:cs="Dubai"/>
                <w:szCs w:val="22"/>
                <w:rtl/>
                <w:lang w:val="ar"/>
              </w:rPr>
              <w:t xml:space="preserve"> لمزيد من التفاصيل.</w:t>
            </w:r>
          </w:p>
          <w:p w14:paraId="410D9C18" w14:textId="77777777" w:rsidR="002058D6" w:rsidRPr="003A66CF" w:rsidRDefault="007D5FB7" w:rsidP="000E032E">
            <w:pPr>
              <w:pStyle w:val="NormalTablesListBullet"/>
              <w:numPr>
                <w:ilvl w:val="0"/>
                <w:numId w:val="29"/>
              </w:numPr>
              <w:bidi/>
              <w:rPr>
                <w:rFonts w:ascii="Dubai" w:hAnsi="Dubai" w:cs="Dubai"/>
                <w:szCs w:val="22"/>
              </w:rPr>
            </w:pPr>
            <w:r w:rsidRPr="003A66CF">
              <w:rPr>
                <w:rFonts w:ascii="Dubai" w:hAnsi="Dubai" w:cs="Dubai"/>
                <w:szCs w:val="22"/>
                <w:rtl/>
                <w:lang w:val="ar"/>
              </w:rPr>
              <w:t xml:space="preserve">يجب ترتيب الحضور في منزل المشارك لمراقبة تقديم الخدمة والاتفاق عليه مع المشارك. </w:t>
            </w:r>
          </w:p>
          <w:p w14:paraId="422A0F0C" w14:textId="77777777" w:rsidR="002058D6" w:rsidRPr="003A66CF" w:rsidRDefault="007D5FB7" w:rsidP="000E032E">
            <w:pPr>
              <w:pStyle w:val="NormalTablesListBullet"/>
              <w:numPr>
                <w:ilvl w:val="0"/>
                <w:numId w:val="29"/>
              </w:numPr>
              <w:bidi/>
              <w:rPr>
                <w:rFonts w:ascii="Dubai" w:hAnsi="Dubai" w:cs="Dubai"/>
                <w:szCs w:val="22"/>
              </w:rPr>
            </w:pPr>
            <w:r w:rsidRPr="003A66CF">
              <w:rPr>
                <w:rFonts w:ascii="Dubai" w:hAnsi="Dubai" w:cs="Dubai"/>
                <w:szCs w:val="22"/>
                <w:rtl/>
                <w:lang w:val="ar"/>
              </w:rPr>
              <w:t xml:space="preserve">حدد طريقة التقييم المناسبة لتناسب طبيعة الدعم المقدم. على سبيل المثال، سيتطلب تقديم الدعم عالي المخاطر نهجًا أكثر رسمية للتقييم. يوفّر </w:t>
            </w:r>
            <w:r w:rsidRPr="003A66CF">
              <w:rPr>
                <w:rFonts w:ascii="Dubai" w:hAnsi="Dubai" w:cs="Dubai"/>
                <w:color w:val="000000" w:themeColor="text1"/>
                <w:szCs w:val="22"/>
                <w:rtl/>
                <w:lang w:val="ar"/>
              </w:rPr>
              <w:t>دليل التعلم وتطوير القدرات</w:t>
            </w:r>
            <w:r w:rsidRPr="003A66CF">
              <w:rPr>
                <w:rFonts w:ascii="Dubai" w:hAnsi="Dubai" w:cs="Dubai"/>
                <w:szCs w:val="22"/>
                <w:rtl/>
                <w:lang w:val="ar"/>
              </w:rPr>
              <w:t xml:space="preserve"> مزيدًا من الإرشادات.</w:t>
            </w:r>
          </w:p>
        </w:tc>
      </w:tr>
      <w:tr w:rsidR="00BE1249" w:rsidRPr="003A66CF" w14:paraId="3C54A510" w14:textId="77777777" w:rsidTr="005A0885">
        <w:trPr>
          <w:cantSplit/>
        </w:trPr>
        <w:tc>
          <w:tcPr>
            <w:tcW w:w="1723" w:type="dxa"/>
          </w:tcPr>
          <w:p w14:paraId="4E377EC9" w14:textId="77777777" w:rsidR="002058D6" w:rsidRPr="003A66CF" w:rsidRDefault="007D5FB7" w:rsidP="009C3CA7">
            <w:pPr>
              <w:pStyle w:val="NormalTables"/>
              <w:bidi/>
              <w:rPr>
                <w:rFonts w:ascii="Dubai" w:hAnsi="Dubai" w:cs="Dubai"/>
                <w:szCs w:val="22"/>
              </w:rPr>
            </w:pPr>
            <w:r w:rsidRPr="003A66CF">
              <w:rPr>
                <w:rFonts w:ascii="Dubai" w:hAnsi="Dubai" w:cs="Dubai"/>
                <w:szCs w:val="22"/>
                <w:rtl/>
                <w:lang w:val="ar"/>
              </w:rPr>
              <w:t>إعطاء الملاحظات وتلقّيها</w:t>
            </w:r>
          </w:p>
        </w:tc>
        <w:tc>
          <w:tcPr>
            <w:tcW w:w="7349" w:type="dxa"/>
          </w:tcPr>
          <w:p w14:paraId="4207B26C" w14:textId="77777777" w:rsidR="002058D6" w:rsidRPr="003A66CF" w:rsidRDefault="007D5FB7" w:rsidP="000E032E">
            <w:pPr>
              <w:pStyle w:val="ListBullet"/>
              <w:numPr>
                <w:ilvl w:val="0"/>
                <w:numId w:val="30"/>
              </w:numPr>
              <w:bidi/>
              <w:spacing w:after="0"/>
              <w:rPr>
                <w:rFonts w:ascii="Dubai" w:hAnsi="Dubai" w:cs="Dubai"/>
                <w:color w:val="BA2E96" w:themeColor="accent3"/>
                <w:szCs w:val="22"/>
                <w:u w:val="single"/>
              </w:rPr>
            </w:pPr>
            <w:r w:rsidRPr="003A66CF">
              <w:rPr>
                <w:rFonts w:ascii="Dubai" w:hAnsi="Dubai" w:cs="Dubai"/>
                <w:szCs w:val="22"/>
                <w:rtl/>
                <w:lang w:val="ar"/>
              </w:rPr>
              <w:t xml:space="preserve">تتمثل إحدى الخصائص الرئيسية لعلاقة الإشراف الفعّالة في القيمة المعطاة للتعليقات الواضحة والصّادقة، سواء للاعتراف بالعمل الجيد أو الثناء عليه ولطرح القضايا أو المجالات التي قد تحتاج إلى تحسين. راجع موارد </w:t>
            </w:r>
            <w:hyperlink r:id="rId24" w:history="1">
              <w:r w:rsidRPr="00E57DAE">
                <w:rPr>
                  <w:rStyle w:val="Hyperlink"/>
                  <w:rFonts w:ascii="Dubai" w:hAnsi="Dubai" w:cs="Dubai"/>
                  <w:szCs w:val="22"/>
                  <w:rtl/>
                  <w:lang w:val="ar"/>
                </w:rPr>
                <w:t>العمل معًا</w:t>
              </w:r>
            </w:hyperlink>
            <w:r w:rsidRPr="00E57DAE">
              <w:rPr>
                <w:rFonts w:ascii="Dubai" w:hAnsi="Dubai" w:cs="Dubai"/>
                <w:color w:val="943C84"/>
                <w:szCs w:val="22"/>
                <w:rtl/>
                <w:lang w:val="ar"/>
              </w:rPr>
              <w:t xml:space="preserve"> </w:t>
            </w:r>
            <w:hyperlink r:id="rId25" w:history="1">
              <w:r w:rsidRPr="00E57DAE">
                <w:rPr>
                  <w:rStyle w:val="Hyperlink"/>
                  <w:rFonts w:ascii="Dubai" w:hAnsi="Dubai" w:cs="Dubai"/>
                  <w:szCs w:val="22"/>
                  <w:rtl/>
                  <w:lang w:val="ar"/>
                </w:rPr>
                <w:t>وورقة نصائح التعليقات للمشرفين</w:t>
              </w:r>
            </w:hyperlink>
            <w:r w:rsidRPr="003A66CF">
              <w:rPr>
                <w:rFonts w:ascii="Dubai" w:hAnsi="Dubai" w:cs="Dubai"/>
                <w:szCs w:val="22"/>
                <w:rtl/>
                <w:lang w:val="ar"/>
              </w:rPr>
              <w:t xml:space="preserve"> للحصول على المشورة بشأن هذا الجانب المهم.</w:t>
            </w:r>
          </w:p>
        </w:tc>
      </w:tr>
    </w:tbl>
    <w:p w14:paraId="164D29C3" w14:textId="77777777" w:rsidR="002058D6" w:rsidRPr="003A66CF" w:rsidRDefault="007D5FB7" w:rsidP="005E55E6">
      <w:pPr>
        <w:spacing w:line="276" w:lineRule="auto"/>
        <w:rPr>
          <w:rFonts w:ascii="Dubai" w:hAnsi="Dubai" w:cs="Dubai"/>
        </w:rPr>
      </w:pPr>
      <w:r w:rsidRPr="003A66CF">
        <w:rPr>
          <w:rFonts w:ascii="Dubai" w:hAnsi="Dubai" w:cs="Dubai"/>
        </w:rPr>
        <w:br w:type="page"/>
      </w:r>
    </w:p>
    <w:p w14:paraId="2947D43D" w14:textId="77777777" w:rsidR="002058D6" w:rsidRPr="003A66CF" w:rsidRDefault="007D5FB7" w:rsidP="002058D6">
      <w:pPr>
        <w:pStyle w:val="Heading1"/>
        <w:bidi/>
        <w:rPr>
          <w:rFonts w:ascii="Dubai" w:hAnsi="Dubai" w:cs="Dubai"/>
          <w:bCs/>
        </w:rPr>
      </w:pPr>
      <w:bookmarkStart w:id="41" w:name="_Toc119401381"/>
      <w:bookmarkStart w:id="42" w:name="_Toc119408301"/>
      <w:bookmarkStart w:id="43" w:name="_Toc121325244"/>
      <w:bookmarkStart w:id="44" w:name="_Toc169093109"/>
      <w:r w:rsidRPr="003A66CF">
        <w:rPr>
          <w:rFonts w:ascii="Dubai" w:hAnsi="Dubai" w:cs="Dubai"/>
          <w:bCs/>
          <w:rtl/>
          <w:lang w:val="ar"/>
        </w:rPr>
        <w:lastRenderedPageBreak/>
        <w:t>تطوير اتفاقية الأداء</w:t>
      </w:r>
      <w:bookmarkEnd w:id="41"/>
      <w:bookmarkEnd w:id="42"/>
      <w:bookmarkEnd w:id="43"/>
      <w:bookmarkEnd w:id="44"/>
    </w:p>
    <w:p w14:paraId="43A5FD0E" w14:textId="4EB033A0" w:rsidR="002058D6" w:rsidRPr="003A66CF" w:rsidRDefault="007D5FB7" w:rsidP="002058D6">
      <w:pPr>
        <w:pStyle w:val="ListBullet"/>
        <w:numPr>
          <w:ilvl w:val="0"/>
          <w:numId w:val="0"/>
        </w:numPr>
        <w:bidi/>
        <w:spacing w:after="0"/>
        <w:rPr>
          <w:rFonts w:ascii="Dubai" w:hAnsi="Dubai" w:cs="Dubai"/>
          <w:szCs w:val="22"/>
        </w:rPr>
      </w:pPr>
      <w:r w:rsidRPr="003A66CF">
        <w:rPr>
          <w:rFonts w:ascii="Dubai" w:hAnsi="Dubai" w:cs="Dubai"/>
          <w:szCs w:val="22"/>
          <w:rtl/>
          <w:lang w:val="ar"/>
        </w:rPr>
        <w:t>يجب تطوير اتفاقية الأداء بشكل تعاوني بين المشرف والعامل. إذا لم يكن لدى مؤسستك نموذج</w:t>
      </w:r>
      <w:r w:rsidR="006807E7">
        <w:rPr>
          <w:rFonts w:ascii="Dubai" w:hAnsi="Dubai" w:cs="Dubai" w:hint="cs"/>
          <w:szCs w:val="22"/>
          <w:rtl/>
          <w:lang w:val="ar"/>
        </w:rPr>
        <w:t>ًا</w:t>
      </w:r>
      <w:r w:rsidRPr="003A66CF">
        <w:rPr>
          <w:rFonts w:ascii="Dubai" w:hAnsi="Dubai" w:cs="Dubai"/>
          <w:szCs w:val="22"/>
          <w:rtl/>
          <w:lang w:val="ar"/>
        </w:rPr>
        <w:t xml:space="preserve"> وعملية لاتفاقية الأداء، يمكنك اختيار رابط </w:t>
      </w:r>
      <w:hyperlink r:id="rId26" w:history="1">
        <w:r w:rsidRPr="00E57DAE">
          <w:rPr>
            <w:rStyle w:val="Hyperlink"/>
            <w:rFonts w:ascii="Dubai" w:hAnsi="Dubai" w:cs="Dubai"/>
            <w:szCs w:val="22"/>
            <w:rtl/>
            <w:lang w:val="ar"/>
          </w:rPr>
          <w:t>نموذج اتفاقية الأداء</w:t>
        </w:r>
      </w:hyperlink>
      <w:r w:rsidRPr="003A66CF">
        <w:rPr>
          <w:rFonts w:ascii="Dubai" w:hAnsi="Dubai" w:cs="Dubai"/>
          <w:szCs w:val="22"/>
          <w:rtl/>
          <w:lang w:val="ar"/>
        </w:rPr>
        <w:t xml:space="preserve"> في القسم الخاص بموارد الإشراف ذات الصلة في مقدمة هذا الدليل. يعتمد مستوى التفاصيل المدرجة في الخطة على حالة توظيف العامل: سيحصل الموظف المستمر على اتفاقية أكثر شمولًا من الموظف </w:t>
      </w:r>
      <w:r w:rsidR="006807E7">
        <w:rPr>
          <w:rFonts w:ascii="Dubai" w:hAnsi="Dubai" w:cs="Dubai" w:hint="cs"/>
          <w:szCs w:val="22"/>
          <w:rtl/>
          <w:lang w:val="ar"/>
        </w:rPr>
        <w:t>المياوم</w:t>
      </w:r>
      <w:r w:rsidRPr="003A66CF">
        <w:rPr>
          <w:rFonts w:ascii="Dubai" w:hAnsi="Dubai" w:cs="Dubai"/>
          <w:szCs w:val="22"/>
          <w:rtl/>
          <w:lang w:val="ar"/>
        </w:rPr>
        <w:t xml:space="preserve"> الذي يعمل بضع ساعات فقط في الأسبوع. ومع ذلك، يجب أن يكون لدى جميع العمّال ترتيبات الإشراف بناءً على توقّعات الواجبات والقدرات الموثّقة.</w:t>
      </w:r>
    </w:p>
    <w:p w14:paraId="51E9D435" w14:textId="77777777" w:rsidR="002058D6" w:rsidRPr="003A66CF" w:rsidRDefault="007D5FB7" w:rsidP="002058D6">
      <w:pPr>
        <w:bidi/>
        <w:rPr>
          <w:rFonts w:ascii="Dubai" w:hAnsi="Dubai" w:cs="Dubai"/>
          <w:szCs w:val="22"/>
        </w:rPr>
      </w:pPr>
      <w:r w:rsidRPr="003A66CF">
        <w:rPr>
          <w:rFonts w:ascii="Dubai" w:hAnsi="Dubai" w:cs="Dubai"/>
          <w:szCs w:val="22"/>
          <w:rtl/>
          <w:lang w:val="ar"/>
        </w:rPr>
        <w:t>توفّر النقاط المدرجة أدناه إرشادات حول إكمال نموذج اتفاقية الأداء:</w:t>
      </w:r>
    </w:p>
    <w:p w14:paraId="127ED218"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فترة الاتفاق: عادةً ما تكون 12 شهرًا ولكن يمكن أن تكون لفترة أقصر.</w:t>
      </w:r>
    </w:p>
    <w:p w14:paraId="264E9838"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تواريخ المراجعة المخطط لها: بالنسبة لاتفاقية مدتها 12 شهرًا، يمكن إجراء المراجعات في منتصف المدة وتاريخ الانتهاء عند تجديد الاتفاقية. عند إنشاء اتفاقية لأول مرة، ضع في اعتبارك جدولة مراجعة مبكرة للتحقق من كيفية سير الأمور وتحديد أي حاجة إلى إرشادات إضافية أو تطوير القدرات.</w:t>
      </w:r>
    </w:p>
    <w:p w14:paraId="30326A58"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الواجبات/المسؤوليات والقدرات ومؤشّرات الإنجاز: يجب مناقشتها والاتفاق عليها من قِبل المشرف والعامل في اجتماع مناقشة الأداء قبل وضع اللمسات الأخيرة على الاتفاقية.</w:t>
      </w:r>
    </w:p>
    <w:p w14:paraId="19268F2F" w14:textId="77777777" w:rsidR="002058D6" w:rsidRPr="003A66CF" w:rsidRDefault="007D5FB7" w:rsidP="00C83AE3">
      <w:pPr>
        <w:pStyle w:val="Bullet2"/>
        <w:bidi/>
        <w:rPr>
          <w:rFonts w:ascii="Dubai" w:hAnsi="Dubai" w:cs="Dubai"/>
          <w:szCs w:val="22"/>
        </w:rPr>
      </w:pPr>
      <w:r w:rsidRPr="003A66CF">
        <w:rPr>
          <w:rFonts w:ascii="Dubai" w:hAnsi="Dubai" w:cs="Dubai"/>
          <w:szCs w:val="22"/>
          <w:rtl/>
          <w:lang w:val="ar"/>
        </w:rPr>
        <w:t>الواجبات/المسؤوليات: ضع قائمة بالواجبات الرئيسية فحسب، المستمدّة من توصيف الدّور والإجراءات ذات الصّلة وخطط واتفاقيات المشاركين والتي تم تكييفها لتعكس أي تركيز معين ينطبق في الفترة الحالية. على سبيل المثال: توفير الرعاية الشخصيّة للمشاركين في منازلهم.</w:t>
      </w:r>
    </w:p>
    <w:p w14:paraId="774FB00C" w14:textId="77777777" w:rsidR="002058D6" w:rsidRPr="003A66CF" w:rsidRDefault="007D5FB7" w:rsidP="00C83AE3">
      <w:pPr>
        <w:pStyle w:val="Bullet2"/>
        <w:bidi/>
        <w:rPr>
          <w:rFonts w:ascii="Dubai" w:hAnsi="Dubai" w:cs="Dubai"/>
          <w:szCs w:val="22"/>
        </w:rPr>
      </w:pPr>
      <w:r w:rsidRPr="003A66CF">
        <w:rPr>
          <w:rFonts w:ascii="Dubai" w:hAnsi="Dubai" w:cs="Dubai"/>
          <w:szCs w:val="22"/>
          <w:rtl/>
          <w:lang w:val="ar"/>
        </w:rPr>
        <w:t>القدرات: حدّد واحدة أو اثنتان من القدرات الرئيسية من إطار العمل تتصل بشكل خاص بكل واجبٍ مدرج (قد تعتمد بعض الواجبات على نفس القدرات). راجع الإطار وقم بإدراج العناصر الأساسية ذات الصلة وأي قدرات متخصّصة. على سبيل المثال: بناء علاقات موثوقة؛ التواصل بفعالية؛ دعم المشاركين ذوي الإعاقة النفسية الاجتماعية؛ إلخ. قم أيضًا بتضمين أي مهارات فنية محددة مطلوبة، على سبيل المثال استخدام الرافعة.</w:t>
      </w:r>
    </w:p>
    <w:p w14:paraId="4721C27B" w14:textId="5D74BCD7" w:rsidR="002058D6" w:rsidRPr="003A66CF" w:rsidRDefault="007D5FB7" w:rsidP="00C83AE3">
      <w:pPr>
        <w:pStyle w:val="Bullet2"/>
        <w:bidi/>
        <w:rPr>
          <w:rFonts w:ascii="Dubai" w:hAnsi="Dubai" w:cs="Dubai"/>
          <w:szCs w:val="22"/>
        </w:rPr>
      </w:pPr>
      <w:r w:rsidRPr="003A66CF">
        <w:rPr>
          <w:rFonts w:ascii="Dubai" w:hAnsi="Dubai" w:cs="Dubai"/>
          <w:szCs w:val="22"/>
          <w:rtl/>
          <w:lang w:val="ar"/>
        </w:rPr>
        <w:t xml:space="preserve">مؤشّرات الإنجاز: </w:t>
      </w:r>
      <w:r w:rsidR="007450AA">
        <w:rPr>
          <w:rFonts w:ascii="Dubai" w:hAnsi="Dubai" w:cs="Dubai" w:hint="cs"/>
          <w:szCs w:val="22"/>
          <w:rtl/>
          <w:lang w:val="ar"/>
        </w:rPr>
        <w:t>قم ب</w:t>
      </w:r>
      <w:r w:rsidRPr="003A66CF">
        <w:rPr>
          <w:rFonts w:ascii="Dubai" w:hAnsi="Dubai" w:cs="Dubai"/>
          <w:szCs w:val="22"/>
          <w:rtl/>
          <w:lang w:val="ar"/>
        </w:rPr>
        <w:t>وصف المؤشّرات التي ستظهر أن العامل قد أدّى الواجبات بنجاح، مع إظهار القدرات المطلوبة. اختر مؤشّرات محددة وقابلة للقياس وواقعية. على سبيل المثال: أفاد المشاركون أنهم يشعرون بالأمان والثقة؛ الحضور في الوقت المناسب؛ عرض الإجراءات الصحيحة.</w:t>
      </w:r>
    </w:p>
    <w:p w14:paraId="752EC7EA" w14:textId="77777777" w:rsidR="002058D6" w:rsidRPr="003A66CF" w:rsidRDefault="007D5FB7" w:rsidP="002058D6">
      <w:pPr>
        <w:bidi/>
        <w:rPr>
          <w:rFonts w:ascii="Dubai" w:hAnsi="Dubai" w:cs="Dubai"/>
          <w:szCs w:val="22"/>
        </w:rPr>
      </w:pPr>
      <w:r w:rsidRPr="003A66CF">
        <w:rPr>
          <w:rFonts w:ascii="Dubai" w:hAnsi="Dubai" w:cs="Dubai"/>
          <w:szCs w:val="22"/>
          <w:rtl/>
          <w:lang w:val="ar"/>
        </w:rPr>
        <w:t>يجب إجراء مراجعة للأداء في جلسة مخططة بين المشرف والعامل يتمّ اقتراحها كل ستة أشهر.</w:t>
      </w:r>
    </w:p>
    <w:p w14:paraId="1EB8570B" w14:textId="77777777" w:rsidR="002058D6" w:rsidRPr="003A66CF" w:rsidRDefault="007D5FB7" w:rsidP="00C83AE3">
      <w:pPr>
        <w:bidi/>
        <w:rPr>
          <w:rFonts w:ascii="Dubai" w:hAnsi="Dubai" w:cs="Dubai"/>
          <w:szCs w:val="22"/>
        </w:rPr>
      </w:pPr>
      <w:r w:rsidRPr="003A66CF">
        <w:rPr>
          <w:rFonts w:ascii="Dubai" w:hAnsi="Dubai" w:cs="Dubai"/>
          <w:szCs w:val="22"/>
          <w:rtl/>
          <w:lang w:val="ar"/>
        </w:rPr>
        <w:t>يجب أن يعتمد التخطيط للاتفاقية التالية على الملاحظات وتوجيهات تطوير القدرات من فترة الإشراف السابقة. يجب أيضًا استخدامه كفرصة لمناقشة ترتيبات الإشراف وإجراء أي تعديلات ضرورية لتحسين فعاليتها وفوائدها.</w:t>
      </w:r>
      <w:r w:rsidRPr="003A66CF">
        <w:rPr>
          <w:rFonts w:ascii="Dubai" w:hAnsi="Dubai" w:cs="Dubai"/>
          <w:szCs w:val="22"/>
          <w:rtl/>
          <w:lang w:val="ar"/>
        </w:rPr>
        <w:br w:type="page"/>
      </w:r>
    </w:p>
    <w:p w14:paraId="20EFFE5D" w14:textId="77777777" w:rsidR="002058D6" w:rsidRPr="003A66CF" w:rsidRDefault="007D5FB7" w:rsidP="002058D6">
      <w:pPr>
        <w:pStyle w:val="Heading1"/>
        <w:bidi/>
        <w:rPr>
          <w:rFonts w:ascii="Dubai" w:hAnsi="Dubai" w:cs="Dubai"/>
          <w:bCs/>
        </w:rPr>
      </w:pPr>
      <w:bookmarkStart w:id="45" w:name="_Toc119401382"/>
      <w:bookmarkStart w:id="46" w:name="_Toc119408302"/>
      <w:bookmarkStart w:id="47" w:name="_Toc121325245"/>
      <w:bookmarkStart w:id="48" w:name="_Toc169093110"/>
      <w:r w:rsidRPr="003A66CF">
        <w:rPr>
          <w:rFonts w:ascii="Dubai" w:hAnsi="Dubai" w:cs="Dubai"/>
          <w:bCs/>
          <w:rtl/>
          <w:lang w:val="ar"/>
        </w:rPr>
        <w:lastRenderedPageBreak/>
        <w:t>دعم خطة تطوير القدرات</w:t>
      </w:r>
      <w:bookmarkEnd w:id="45"/>
      <w:bookmarkEnd w:id="46"/>
      <w:bookmarkEnd w:id="47"/>
      <w:bookmarkEnd w:id="48"/>
    </w:p>
    <w:p w14:paraId="31FE068F" w14:textId="77777777" w:rsidR="002058D6" w:rsidRPr="003A66CF" w:rsidRDefault="007D5FB7" w:rsidP="00C83AE3">
      <w:pPr>
        <w:bidi/>
        <w:rPr>
          <w:rFonts w:ascii="Dubai" w:hAnsi="Dubai" w:cs="Dubai"/>
          <w:szCs w:val="22"/>
        </w:rPr>
      </w:pPr>
      <w:r w:rsidRPr="003A66CF">
        <w:rPr>
          <w:rFonts w:ascii="Dubai" w:hAnsi="Dubai" w:cs="Dubai"/>
          <w:szCs w:val="22"/>
          <w:rtl/>
          <w:lang w:val="ar"/>
        </w:rPr>
        <w:t xml:space="preserve">يتضمن </w:t>
      </w:r>
      <w:hyperlink r:id="rId27" w:history="1">
        <w:r w:rsidRPr="00E57DAE">
          <w:rPr>
            <w:rStyle w:val="Hyperlink"/>
            <w:rFonts w:ascii="Dubai" w:hAnsi="Dubai" w:cs="Dubai"/>
            <w:szCs w:val="22"/>
            <w:rtl/>
            <w:lang w:val="ar"/>
          </w:rPr>
          <w:t>نموذج اتفاقية الأداء</w:t>
        </w:r>
      </w:hyperlink>
      <w:r w:rsidRPr="003A66CF">
        <w:rPr>
          <w:rFonts w:ascii="Dubai" w:hAnsi="Dubai" w:cs="Dubai"/>
          <w:szCs w:val="22"/>
          <w:rtl/>
          <w:lang w:val="ar"/>
        </w:rPr>
        <w:t xml:space="preserve"> قسمًا لخطة تطوير قدرات العامل. يجب أن تكون اتفاقية الأداء مدعومة بقسم خطة تطوير القدرات الذي يجسّد القدرات التي تم تحديدها على أنها ناشئة وغيرها من القدرات التي يرغب العامل في تطويرها. ويتيح ذلك مراجعة القدرات وتطويرها في جلسات الإشراف والدعم وتوثيق التقدم والإنجازات.</w:t>
      </w:r>
    </w:p>
    <w:p w14:paraId="794E6E71" w14:textId="77777777" w:rsidR="00C83AE3" w:rsidRPr="003A66CF" w:rsidRDefault="007D5FB7" w:rsidP="00C83AE3">
      <w:pPr>
        <w:bidi/>
        <w:rPr>
          <w:rFonts w:ascii="Dubai" w:hAnsi="Dubai" w:cs="Dubai"/>
          <w:szCs w:val="22"/>
        </w:rPr>
      </w:pPr>
      <w:r w:rsidRPr="003A66CF">
        <w:rPr>
          <w:rFonts w:ascii="Dubai" w:hAnsi="Dubai" w:cs="Dubai"/>
          <w:szCs w:val="22"/>
          <w:rtl/>
          <w:lang w:val="ar"/>
        </w:rPr>
        <w:t xml:space="preserve">يجب أن تستند هذه الخطة إلى مراجعة قدرات العمال الموضحة في </w:t>
      </w:r>
      <w:hyperlink r:id="rId28" w:history="1">
        <w:r w:rsidRPr="00E57DAE">
          <w:rPr>
            <w:rStyle w:val="Hyperlink"/>
            <w:rFonts w:ascii="Dubai" w:hAnsi="Dubai" w:cs="Dubai"/>
            <w:szCs w:val="22"/>
            <w:rtl/>
            <w:lang w:val="ar"/>
          </w:rPr>
          <w:t>التعلّم وتنمية القدرات: دليل للمشرفين</w:t>
        </w:r>
      </w:hyperlink>
      <w:r w:rsidRPr="003A66CF">
        <w:rPr>
          <w:rFonts w:ascii="Dubai" w:hAnsi="Dubai" w:cs="Dubai"/>
          <w:szCs w:val="22"/>
          <w:rtl/>
          <w:lang w:val="ar"/>
        </w:rPr>
        <w:t xml:space="preserve"> ويتمّ إعلامه بالتعليقات الأخرى عند الحصول عليها.</w:t>
      </w:r>
    </w:p>
    <w:p w14:paraId="50EFE4BA" w14:textId="3DA2FD35" w:rsidR="002058D6" w:rsidRPr="003A66CF" w:rsidRDefault="007D5FB7" w:rsidP="00C83AE3">
      <w:pPr>
        <w:bidi/>
        <w:rPr>
          <w:rFonts w:ascii="Dubai" w:hAnsi="Dubai" w:cs="Dubai"/>
          <w:szCs w:val="22"/>
        </w:rPr>
      </w:pPr>
      <w:r w:rsidRPr="003A66CF">
        <w:rPr>
          <w:rFonts w:ascii="Dubai" w:hAnsi="Dubai" w:cs="Dubai"/>
          <w:szCs w:val="22"/>
          <w:rtl/>
          <w:lang w:val="ar"/>
        </w:rPr>
        <w:t xml:space="preserve">ويحدد قسم خطة تنمية القدرات مجالات التطوير وكيفية معالجتها وكيفية تقييم إنجازها. من المهم ألا تقتصر </w:t>
      </w:r>
      <w:r w:rsidR="008A3AA0">
        <w:rPr>
          <w:rFonts w:ascii="Dubai" w:hAnsi="Dubai" w:cs="Dubai"/>
          <w:szCs w:val="22"/>
          <w:lang w:val="ar"/>
        </w:rPr>
        <w:br/>
      </w:r>
      <w:r w:rsidRPr="003A66CF">
        <w:rPr>
          <w:rFonts w:ascii="Dubai" w:hAnsi="Dubai" w:cs="Dubai"/>
          <w:szCs w:val="22"/>
          <w:rtl/>
          <w:lang w:val="ar"/>
        </w:rPr>
        <w:t xml:space="preserve">خطة تطوير القدرات على المهارات التقنية مثل استخدام جهاز التنفس الصناعي بل تركز أيضًا على تطوير المهارات "الناعمة"، مثل التواصل والقدرة على إقامة علاقات إيجابيّة مع الآخرين. قد يكون من الصعب تطوير هذه الجوانب </w:t>
      </w:r>
      <w:r w:rsidR="008774EB">
        <w:rPr>
          <w:rFonts w:ascii="Dubai" w:hAnsi="Dubai" w:cs="Dubai"/>
          <w:szCs w:val="22"/>
          <w:lang w:val="ar"/>
        </w:rPr>
        <w:br/>
      </w:r>
      <w:r w:rsidRPr="003A66CF">
        <w:rPr>
          <w:rFonts w:ascii="Dubai" w:hAnsi="Dubai" w:cs="Dubai"/>
          <w:szCs w:val="22"/>
          <w:rtl/>
          <w:lang w:val="ar"/>
        </w:rPr>
        <w:t xml:space="preserve">إذا لم يكن العامل مناسبًا للعمل في مجال الإعاقة ولكن هناك مجال لتعزيز المهارات الناعمة والتقنية كجزء من </w:t>
      </w:r>
      <w:r w:rsidR="008774EB">
        <w:rPr>
          <w:rFonts w:ascii="Dubai" w:hAnsi="Dubai" w:cs="Dubai"/>
          <w:szCs w:val="22"/>
          <w:lang w:val="ar"/>
        </w:rPr>
        <w:br/>
      </w:r>
      <w:r w:rsidRPr="003A66CF">
        <w:rPr>
          <w:rFonts w:ascii="Dubai" w:hAnsi="Dubai" w:cs="Dubai"/>
          <w:szCs w:val="22"/>
          <w:rtl/>
          <w:lang w:val="ar"/>
        </w:rPr>
        <w:t>تنمية القدرات.</w:t>
      </w:r>
    </w:p>
    <w:p w14:paraId="1E26A131" w14:textId="77777777" w:rsidR="002058D6" w:rsidRPr="003A66CF" w:rsidRDefault="007D5FB7" w:rsidP="00C83AE3">
      <w:pPr>
        <w:bidi/>
        <w:rPr>
          <w:rFonts w:ascii="Dubai" w:hAnsi="Dubai" w:cs="Dubai"/>
          <w:szCs w:val="22"/>
        </w:rPr>
      </w:pPr>
      <w:r w:rsidRPr="003A66CF">
        <w:rPr>
          <w:rFonts w:ascii="Dubai" w:hAnsi="Dubai" w:cs="Dubai"/>
          <w:szCs w:val="22"/>
          <w:rtl/>
          <w:lang w:val="ar"/>
        </w:rPr>
        <w:t>توفر النقاط المدرجة أدناه إرشادات حول إكمال قسم تطوير القدرات في نموذج اتفاقية الأداء:</w:t>
      </w:r>
    </w:p>
    <w:p w14:paraId="4B02A4AD" w14:textId="612D1004" w:rsidR="002058D6" w:rsidRPr="003A66CF" w:rsidRDefault="007D5FB7" w:rsidP="00C83AE3">
      <w:pPr>
        <w:pStyle w:val="Bullet1"/>
        <w:bidi/>
        <w:rPr>
          <w:rFonts w:ascii="Dubai" w:hAnsi="Dubai" w:cs="Dubai"/>
          <w:szCs w:val="22"/>
        </w:rPr>
      </w:pPr>
      <w:r w:rsidRPr="003A66CF">
        <w:rPr>
          <w:rFonts w:ascii="Dubai" w:hAnsi="Dubai" w:cs="Dubai"/>
          <w:szCs w:val="22"/>
          <w:rtl/>
          <w:lang w:val="ar"/>
        </w:rPr>
        <w:t xml:space="preserve">مجال القدرات أو المهارات الفنية للتطوير: أدخل تفاصيل المهارات والسلوكيات التي سيتم تطويرها. قد يكون </w:t>
      </w:r>
      <w:r w:rsidR="0062634A">
        <w:rPr>
          <w:rFonts w:ascii="Dubai" w:hAnsi="Dubai" w:cs="Dubai"/>
          <w:szCs w:val="22"/>
          <w:lang w:val="ar"/>
        </w:rPr>
        <w:br/>
      </w:r>
      <w:r w:rsidRPr="003A66CF">
        <w:rPr>
          <w:rFonts w:ascii="Dubai" w:hAnsi="Dubai" w:cs="Dubai"/>
          <w:szCs w:val="22"/>
          <w:rtl/>
          <w:lang w:val="ar"/>
        </w:rPr>
        <w:t xml:space="preserve">هذا لتحسين الأداء الحالي أو لتطوير مهارات جديدة للأهداف المهنية المستقبلية. على سبيل المثال: تعميق </w:t>
      </w:r>
      <w:r w:rsidR="00D26051">
        <w:rPr>
          <w:rFonts w:ascii="Dubai" w:hAnsi="Dubai" w:cs="Dubai"/>
          <w:szCs w:val="22"/>
          <w:lang w:val="ar"/>
        </w:rPr>
        <w:br/>
      </w:r>
      <w:r w:rsidRPr="003A66CF">
        <w:rPr>
          <w:rFonts w:ascii="Dubai" w:hAnsi="Dubai" w:cs="Dubai"/>
          <w:szCs w:val="22"/>
          <w:rtl/>
          <w:lang w:val="ar"/>
        </w:rPr>
        <w:t>الفهم لدعم الشباب المصابين بالتوحّد.</w:t>
      </w:r>
    </w:p>
    <w:p w14:paraId="3F744C73"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طريقة التعلّم/التطوير: راجع دليل التعلّم وتطوير القدرات للطرق المقترحة. على سبيل المثال: التدريب أثناء العمل؛ حضور دورة تدريبية قصيرة حول العمل مع المشاركين ذوي التنوع العصبي؛ المشاركة في مجتمع الممارسة بين الأقران لدعم التفكير في الممارسة وتطويرها.</w:t>
      </w:r>
    </w:p>
    <w:p w14:paraId="6BA5BC2E"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مؤشّرات الإنجاز: وصف مؤشّرات الإنجاز وكيفية تأكيدها. على سبيل المثال، زيادة الثقة في التعامل مع السلوك الصعب، تؤكدها ملاحظة المشرف في المواقف النموذجية.</w:t>
      </w:r>
    </w:p>
    <w:p w14:paraId="503119D6" w14:textId="77777777" w:rsidR="002058D6" w:rsidRPr="003A66CF" w:rsidRDefault="007D5FB7" w:rsidP="00C83AE3">
      <w:pPr>
        <w:bidi/>
        <w:rPr>
          <w:rFonts w:ascii="Dubai" w:hAnsi="Dubai" w:cs="Dubai"/>
          <w:szCs w:val="22"/>
        </w:rPr>
      </w:pPr>
      <w:r w:rsidRPr="003A66CF">
        <w:rPr>
          <w:rFonts w:ascii="Dubai" w:hAnsi="Dubai" w:cs="Dubai"/>
          <w:szCs w:val="22"/>
          <w:rtl/>
          <w:lang w:val="ar"/>
        </w:rPr>
        <w:t xml:space="preserve">لمزيد من المعلومات، راجع </w:t>
      </w:r>
      <w:hyperlink r:id="rId29" w:history="1">
        <w:r w:rsidRPr="00E57DAE">
          <w:rPr>
            <w:rStyle w:val="Hyperlink"/>
            <w:rFonts w:ascii="Dubai" w:hAnsi="Dubai" w:cs="Dubai"/>
            <w:szCs w:val="22"/>
            <w:rtl/>
            <w:lang w:val="ar"/>
          </w:rPr>
          <w:t>التعلّم وتنمية القدرات: دليل للمشرفين</w:t>
        </w:r>
      </w:hyperlink>
      <w:r w:rsidRPr="003A66CF">
        <w:rPr>
          <w:rFonts w:ascii="Dubai" w:hAnsi="Dubai" w:cs="Dubai"/>
          <w:szCs w:val="22"/>
          <w:rtl/>
          <w:lang w:val="ar"/>
        </w:rPr>
        <w:t>.</w:t>
      </w:r>
      <w:r w:rsidRPr="003A66CF">
        <w:rPr>
          <w:rFonts w:ascii="Dubai" w:hAnsi="Dubai" w:cs="Dubai"/>
          <w:szCs w:val="22"/>
          <w:rtl/>
          <w:lang w:val="ar"/>
        </w:rPr>
        <w:br w:type="page"/>
      </w:r>
    </w:p>
    <w:p w14:paraId="06B8FA97" w14:textId="77777777" w:rsidR="002058D6" w:rsidRPr="003A66CF" w:rsidRDefault="007D5FB7" w:rsidP="002058D6">
      <w:pPr>
        <w:pStyle w:val="Heading1"/>
        <w:bidi/>
        <w:rPr>
          <w:rFonts w:ascii="Dubai" w:hAnsi="Dubai" w:cs="Dubai"/>
          <w:bCs/>
        </w:rPr>
      </w:pPr>
      <w:bookmarkStart w:id="49" w:name="_Toc119401383"/>
      <w:bookmarkStart w:id="50" w:name="_Toc119408303"/>
      <w:bookmarkStart w:id="51" w:name="_Toc121325246"/>
      <w:bookmarkStart w:id="52" w:name="_Toc169093111"/>
      <w:r w:rsidRPr="003A66CF">
        <w:rPr>
          <w:rFonts w:ascii="Dubai" w:hAnsi="Dubai" w:cs="Dubai"/>
          <w:bCs/>
          <w:rtl/>
          <w:lang w:val="ar"/>
        </w:rPr>
        <w:lastRenderedPageBreak/>
        <w:t>دعم الرفاه</w:t>
      </w:r>
      <w:bookmarkEnd w:id="49"/>
      <w:bookmarkEnd w:id="50"/>
      <w:bookmarkEnd w:id="51"/>
      <w:bookmarkEnd w:id="52"/>
    </w:p>
    <w:p w14:paraId="01723027" w14:textId="77777777" w:rsidR="002058D6" w:rsidRPr="003A66CF" w:rsidRDefault="007D5FB7" w:rsidP="002058D6">
      <w:pPr>
        <w:bidi/>
        <w:rPr>
          <w:rFonts w:ascii="Dubai" w:hAnsi="Dubai" w:cs="Dubai"/>
          <w:szCs w:val="22"/>
        </w:rPr>
      </w:pPr>
      <w:r w:rsidRPr="003A66CF">
        <w:rPr>
          <w:rFonts w:ascii="Dubai" w:hAnsi="Dubai" w:cs="Dubai"/>
          <w:szCs w:val="22"/>
          <w:rtl/>
          <w:lang w:val="ar"/>
        </w:rPr>
        <w:t>يتأثر رفاه كل عامل بمجموعة من العوامل الشخصية والعملية والتنظيمية. الإشراف هو عنصر أساسي في بناء استراتيجية قوية لرفاه العمّال. إن الشراكة الفعالة بين العامل والمشرف عليه هي تلك التي يتحمل فيها كلاهما مسؤولية التفكير في الرفاه ومراقبته وتعزيزه بشكلٍ بنّاء.</w:t>
      </w:r>
    </w:p>
    <w:p w14:paraId="14ADEB9D" w14:textId="77777777" w:rsidR="002058D6" w:rsidRPr="003A66CF" w:rsidRDefault="007D5FB7" w:rsidP="002058D6">
      <w:pPr>
        <w:pStyle w:val="Heading2"/>
        <w:bidi/>
        <w:rPr>
          <w:rFonts w:ascii="Dubai" w:hAnsi="Dubai" w:cs="Dubai"/>
          <w:bCs/>
        </w:rPr>
      </w:pPr>
      <w:bookmarkStart w:id="53" w:name="_Toc119401384"/>
      <w:bookmarkStart w:id="54" w:name="_Toc119408304"/>
      <w:bookmarkStart w:id="55" w:name="_Toc121325247"/>
      <w:bookmarkStart w:id="56" w:name="_Toc169093112"/>
      <w:r w:rsidRPr="003A66CF">
        <w:rPr>
          <w:rFonts w:ascii="Dubai" w:hAnsi="Dubai" w:cs="Dubai"/>
          <w:bCs/>
          <w:rtl/>
          <w:lang w:val="ar"/>
        </w:rPr>
        <w:t>مؤشّرات الرفاه في العمل</w:t>
      </w:r>
      <w:bookmarkEnd w:id="53"/>
      <w:bookmarkEnd w:id="54"/>
      <w:bookmarkEnd w:id="55"/>
      <w:bookmarkEnd w:id="56"/>
    </w:p>
    <w:p w14:paraId="6F34964A"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الوضوح بشأن الدور الوظيفي والقدرات المطلوبة لتلبية التوقعات.</w:t>
      </w:r>
    </w:p>
    <w:p w14:paraId="4F767953"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المشاركة في عمل هادف يساهم في تحقيق نتائج إيجابية للمشاركين.</w:t>
      </w:r>
    </w:p>
    <w:p w14:paraId="0F193EB2"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الشعور بالاحترام والتقدير.</w:t>
      </w:r>
    </w:p>
    <w:p w14:paraId="5686E876"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الاعتراف بالعمل الجيد وتلقي ملاحظات بنّاءة</w:t>
      </w:r>
    </w:p>
    <w:p w14:paraId="1090E0BE"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بيئة عمل آمنة وموثوقة.</w:t>
      </w:r>
    </w:p>
    <w:p w14:paraId="210AA5C1"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الشعور بالانتماء إلى فريق العمل والتعاون والعمل لتحقيق الأهداف المشتركة.</w:t>
      </w:r>
    </w:p>
    <w:p w14:paraId="30859097"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يتم دعم قدرات العمّال واحتياجات التطوير.</w:t>
      </w:r>
    </w:p>
    <w:p w14:paraId="0F08C288"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تتوافق ثقافة مكان العمل مع القيم التنظيمية.</w:t>
      </w:r>
    </w:p>
    <w:p w14:paraId="5E1B8E6E" w14:textId="77777777" w:rsidR="002058D6" w:rsidRPr="003A66CF" w:rsidRDefault="007D5FB7" w:rsidP="002058D6">
      <w:pPr>
        <w:pStyle w:val="Heading2"/>
        <w:bidi/>
        <w:rPr>
          <w:rFonts w:ascii="Dubai" w:hAnsi="Dubai" w:cs="Dubai"/>
          <w:bCs/>
        </w:rPr>
      </w:pPr>
      <w:bookmarkStart w:id="57" w:name="_Toc119401385"/>
      <w:bookmarkStart w:id="58" w:name="_Toc119408305"/>
      <w:bookmarkStart w:id="59" w:name="_Toc121325248"/>
      <w:bookmarkStart w:id="60" w:name="_Toc169093113"/>
      <w:r w:rsidRPr="003A66CF">
        <w:rPr>
          <w:rFonts w:ascii="Dubai" w:hAnsi="Dubai" w:cs="Dubai"/>
          <w:bCs/>
          <w:rtl/>
          <w:lang w:val="ar"/>
        </w:rPr>
        <w:t>استراتيجيات لتعزيز الرفاه</w:t>
      </w:r>
      <w:bookmarkEnd w:id="57"/>
      <w:bookmarkEnd w:id="58"/>
      <w:bookmarkEnd w:id="59"/>
      <w:bookmarkEnd w:id="60"/>
    </w:p>
    <w:p w14:paraId="6234068C"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خلق روح الفريق ونقاط الاتصال غير الرسمية المنتظمة بين العمّال والمشرفين.</w:t>
      </w:r>
    </w:p>
    <w:p w14:paraId="00EC1AFB"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 xml:space="preserve">سهولة الوصول إلى الإشراف لاستخلاص المعلومات: يجب أن يكون هذا متاحًا في وقت قريب من وقت وقوع أي حوادث ويكون إضافيًا لجلسات الإشراف المنتظمة المجدولة. </w:t>
      </w:r>
    </w:p>
    <w:p w14:paraId="7CD3B4CB" w14:textId="312E325A" w:rsidR="002058D6" w:rsidRPr="003A66CF" w:rsidRDefault="007D5FB7" w:rsidP="00C83AE3">
      <w:pPr>
        <w:pStyle w:val="Bullet1"/>
        <w:bidi/>
        <w:rPr>
          <w:rFonts w:ascii="Dubai" w:hAnsi="Dubai" w:cs="Dubai"/>
          <w:szCs w:val="22"/>
        </w:rPr>
      </w:pPr>
      <w:r w:rsidRPr="003A66CF">
        <w:rPr>
          <w:rFonts w:ascii="Dubai" w:hAnsi="Dubai" w:cs="Dubai"/>
          <w:szCs w:val="22"/>
          <w:rtl/>
          <w:lang w:val="ar"/>
        </w:rPr>
        <w:t>برامج مساعدة الموظفين: يجب الترويج له لتمكين العمّال من الحصول على المشورة أو الدعم على المدى القصير عندما يحتاجون إلى مصدر دعم مستقل.</w:t>
      </w:r>
    </w:p>
    <w:p w14:paraId="60CBD6FE"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الإشراف المنتظم المجدول: الالتزام بالإشراف الذي يدعم ويستعرض ويعزّز تطوير المهارات على النحو المبين في اتفاقية الإشراف.</w:t>
      </w:r>
    </w:p>
    <w:p w14:paraId="0703AE69" w14:textId="77777777" w:rsidR="00C83AE3" w:rsidRPr="003A66CF" w:rsidRDefault="007D5FB7" w:rsidP="00C83AE3">
      <w:pPr>
        <w:pStyle w:val="Bullet1"/>
        <w:bidi/>
        <w:rPr>
          <w:rFonts w:ascii="Dubai" w:hAnsi="Dubai" w:cs="Dubai"/>
          <w:szCs w:val="22"/>
        </w:rPr>
      </w:pPr>
      <w:r w:rsidRPr="003A66CF">
        <w:rPr>
          <w:rFonts w:ascii="Dubai" w:hAnsi="Dubai" w:cs="Dubai"/>
          <w:szCs w:val="22"/>
          <w:rtl/>
          <w:lang w:val="ar"/>
        </w:rPr>
        <w:t>برنامج التعرف على الموظفين: أشكال بسيطة للاعتراف بقيمة وجود قوة عاملة ملتزمة وقادرة.</w:t>
      </w:r>
    </w:p>
    <w:p w14:paraId="3346A758" w14:textId="77777777" w:rsidR="002058D6" w:rsidRPr="003A66CF" w:rsidRDefault="007D5FB7" w:rsidP="00C83AE3">
      <w:pPr>
        <w:pStyle w:val="Bullet1"/>
        <w:bidi/>
        <w:rPr>
          <w:rFonts w:ascii="Dubai" w:hAnsi="Dubai" w:cs="Dubai"/>
          <w:szCs w:val="22"/>
        </w:rPr>
      </w:pPr>
      <w:r w:rsidRPr="003A66CF">
        <w:rPr>
          <w:rFonts w:ascii="Dubai" w:hAnsi="Dubai" w:cs="Dubai"/>
          <w:szCs w:val="22"/>
          <w:rtl/>
          <w:lang w:val="ar"/>
        </w:rPr>
        <w:t xml:space="preserve">فرص التطوير الشخصي والمهني: يوضح هذا التزام المنظمة بالأهداف المهنية طويلة الأجل للعامل والنمو الشخصي (انظر أيضًا </w:t>
      </w:r>
      <w:hyperlink r:id="rId30" w:history="1">
        <w:r w:rsidRPr="00E57DAE">
          <w:rPr>
            <w:rStyle w:val="Hyperlink"/>
            <w:rFonts w:ascii="Dubai" w:hAnsi="Dubai" w:cs="Dubai"/>
            <w:szCs w:val="22"/>
            <w:rtl/>
            <w:lang w:val="ar"/>
          </w:rPr>
          <w:t>دليل الخيارات المهنيّة</w:t>
        </w:r>
      </w:hyperlink>
      <w:r w:rsidRPr="003A66CF">
        <w:rPr>
          <w:rFonts w:ascii="Dubai" w:hAnsi="Dubai" w:cs="Dubai"/>
          <w:szCs w:val="22"/>
          <w:rtl/>
          <w:lang w:val="ar"/>
        </w:rPr>
        <w:t xml:space="preserve"> للجنة NDIS).</w:t>
      </w:r>
      <w:bookmarkStart w:id="61" w:name="_Toc121325249"/>
      <w:r w:rsidRPr="003A66CF">
        <w:rPr>
          <w:rFonts w:ascii="Dubai" w:hAnsi="Dubai" w:cs="Dubai"/>
          <w:szCs w:val="22"/>
          <w:rtl/>
          <w:lang w:val="ar"/>
        </w:rPr>
        <w:br w:type="page"/>
      </w:r>
    </w:p>
    <w:p w14:paraId="388EB376" w14:textId="77777777" w:rsidR="002058D6" w:rsidRPr="00E57DAE" w:rsidRDefault="007D5FB7" w:rsidP="002058D6">
      <w:pPr>
        <w:pStyle w:val="Heading1"/>
        <w:bidi/>
        <w:rPr>
          <w:rFonts w:ascii="Dubai" w:hAnsi="Dubai" w:cs="Dubai"/>
          <w:bCs/>
        </w:rPr>
      </w:pPr>
      <w:bookmarkStart w:id="62" w:name="_Toc169093114"/>
      <w:r w:rsidRPr="00E57DAE">
        <w:rPr>
          <w:rFonts w:ascii="Dubai" w:hAnsi="Dubai" w:cs="Dubai"/>
          <w:bCs/>
          <w:rtl/>
          <w:lang w:val="ar"/>
        </w:rPr>
        <w:lastRenderedPageBreak/>
        <w:t>موارد مفيدة أخرى</w:t>
      </w:r>
      <w:bookmarkEnd w:id="61"/>
      <w:bookmarkEnd w:id="62"/>
    </w:p>
    <w:p w14:paraId="55877D33" w14:textId="31AD656D" w:rsidR="002058D6" w:rsidRPr="003A66CF" w:rsidRDefault="009E5DE1" w:rsidP="00C83AE3">
      <w:pPr>
        <w:pStyle w:val="Bullet1"/>
        <w:bidi/>
        <w:rPr>
          <w:rFonts w:ascii="Dubai" w:hAnsi="Dubai" w:cs="Dubai"/>
          <w:szCs w:val="22"/>
        </w:rPr>
      </w:pPr>
      <w:hyperlink r:id="rId31" w:history="1">
        <w:r w:rsidR="007D5FB7" w:rsidRPr="00E57DAE">
          <w:rPr>
            <w:rStyle w:val="Hyperlink"/>
            <w:rFonts w:ascii="Dubai" w:hAnsi="Dubai" w:cs="Dubai"/>
            <w:szCs w:val="22"/>
            <w:rtl/>
            <w:lang w:val="ar"/>
          </w:rPr>
          <w:t>إطار</w:t>
        </w:r>
        <w:r w:rsidR="00D60695" w:rsidRPr="00D60695">
          <w:rPr>
            <w:rStyle w:val="Hyperlink"/>
            <w:rFonts w:ascii="Dubai" w:hAnsi="Dubai" w:cs="Dubai" w:hint="cs"/>
            <w:szCs w:val="22"/>
            <w:rtl/>
            <w:lang w:val="ar"/>
          </w:rPr>
          <w:t xml:space="preserve"> عمل</w:t>
        </w:r>
        <w:r w:rsidR="007D5FB7" w:rsidRPr="00E57DAE">
          <w:rPr>
            <w:rStyle w:val="Hyperlink"/>
            <w:rFonts w:ascii="Dubai" w:hAnsi="Dubai" w:cs="Dubai"/>
            <w:szCs w:val="22"/>
            <w:rtl/>
            <w:lang w:val="ar"/>
          </w:rPr>
          <w:t xml:space="preserve"> NDIS لقدرة القوى العاملة:</w:t>
        </w:r>
      </w:hyperlink>
      <w:r w:rsidR="007D5FB7" w:rsidRPr="003A66CF">
        <w:rPr>
          <w:rFonts w:ascii="Dubai" w:hAnsi="Dubai" w:cs="Dubai"/>
          <w:szCs w:val="22"/>
          <w:rtl/>
          <w:lang w:val="ar"/>
        </w:rPr>
        <w:t xml:space="preserve"> يصف المواقف والمهارات والمعرفة المطلوبة من قِبل جميع العمّال - بما في ذلك المشرفين - والسلوكيات التي يمكن أن تتوقع رؤيتها.</w:t>
      </w:r>
    </w:p>
    <w:p w14:paraId="49DAE45E" w14:textId="77777777" w:rsidR="002058D6" w:rsidRPr="003A66CF" w:rsidRDefault="009E5DE1" w:rsidP="00C83AE3">
      <w:pPr>
        <w:pStyle w:val="Bullet1"/>
        <w:bidi/>
        <w:rPr>
          <w:rFonts w:ascii="Dubai" w:hAnsi="Dubai" w:cs="Dubai"/>
          <w:szCs w:val="22"/>
        </w:rPr>
      </w:pPr>
      <w:hyperlink r:id="rId32" w:history="1">
        <w:r w:rsidR="007D5FB7" w:rsidRPr="00E57DAE">
          <w:rPr>
            <w:rStyle w:val="Hyperlink"/>
            <w:rFonts w:ascii="Dubai" w:hAnsi="Dubai" w:cs="Dubai"/>
            <w:szCs w:val="22"/>
            <w:rtl/>
            <w:lang w:val="ar"/>
          </w:rPr>
          <w:t>أداة إدارة القوى العاملة والتخطيط</w:t>
        </w:r>
      </w:hyperlink>
      <w:r w:rsidR="007D5FB7" w:rsidRPr="00E57DAE">
        <w:rPr>
          <w:rStyle w:val="Hyperlink"/>
          <w:rFonts w:ascii="Dubai" w:hAnsi="Dubai" w:cs="Dubai"/>
          <w:szCs w:val="22"/>
          <w:rtl/>
          <w:lang w:val="ar"/>
        </w:rPr>
        <w:t>:</w:t>
      </w:r>
      <w:r w:rsidR="007D5FB7" w:rsidRPr="003A66CF">
        <w:rPr>
          <w:rFonts w:ascii="Dubai" w:hAnsi="Dubai" w:cs="Dubai"/>
          <w:szCs w:val="22"/>
          <w:rtl/>
          <w:lang w:val="ar"/>
        </w:rPr>
        <w:t xml:space="preserve"> أداة مصممة لدعم المنظمات لتقييم وتخطيط احتياجات القوى العاملة الحالية والمستقبلية وتحديد أولويات الاستراتيجيات، بما في ذلك خطط التعلّم وتنمية القدرات.</w:t>
      </w:r>
    </w:p>
    <w:p w14:paraId="6D77D7FE" w14:textId="77777777" w:rsidR="002058D6" w:rsidRPr="003A66CF" w:rsidRDefault="009E5DE1" w:rsidP="00C83AE3">
      <w:pPr>
        <w:pStyle w:val="Bullet1"/>
        <w:bidi/>
        <w:rPr>
          <w:rFonts w:ascii="Dubai" w:hAnsi="Dubai" w:cs="Dubai"/>
          <w:szCs w:val="22"/>
        </w:rPr>
      </w:pPr>
      <w:hyperlink r:id="rId33" w:history="1">
        <w:r w:rsidR="007D5FB7" w:rsidRPr="00E57DAE">
          <w:rPr>
            <w:rStyle w:val="Hyperlink"/>
            <w:rFonts w:ascii="Dubai" w:hAnsi="Dubai" w:cs="Dubai"/>
            <w:szCs w:val="22"/>
            <w:rtl/>
            <w:lang w:val="ar"/>
          </w:rPr>
          <w:t>مدوّنة قواعد سلوك NDIS:</w:t>
        </w:r>
      </w:hyperlink>
      <w:r w:rsidR="007D5FB7" w:rsidRPr="003A66CF">
        <w:rPr>
          <w:rFonts w:ascii="Dubai" w:hAnsi="Dubai" w:cs="Dubai"/>
          <w:szCs w:val="22"/>
          <w:rtl/>
          <w:lang w:val="ar"/>
        </w:rPr>
        <w:t xml:space="preserve"> تعزّز تقديم الخدمات الآمنة والأخلاقية من خلال تحديد التوقعات لسلوك كل من مقدمي خدمات NDIS والعاملين.</w:t>
      </w:r>
    </w:p>
    <w:p w14:paraId="29A6100E" w14:textId="77777777" w:rsidR="002058D6" w:rsidRPr="00E57DAE" w:rsidRDefault="009E5DE1" w:rsidP="00C83AE3">
      <w:pPr>
        <w:pStyle w:val="Bullet1"/>
        <w:bidi/>
        <w:rPr>
          <w:rFonts w:ascii="Dubai" w:hAnsi="Dubai" w:cs="Dubai"/>
          <w:color w:val="943C84"/>
          <w:szCs w:val="22"/>
        </w:rPr>
      </w:pPr>
      <w:hyperlink r:id="rId34" w:history="1">
        <w:r w:rsidR="007D5FB7" w:rsidRPr="00E57DAE">
          <w:rPr>
            <w:rStyle w:val="Hyperlink"/>
            <w:rFonts w:ascii="Dubai" w:hAnsi="Dubai" w:cs="Dubai"/>
            <w:szCs w:val="22"/>
            <w:rtl/>
            <w:lang w:val="ar"/>
          </w:rPr>
          <w:t>مدوّنة قواعد سلوك NDIS - إرشادات لمقدمي الخدمة</w:t>
        </w:r>
      </w:hyperlink>
      <w:r w:rsidR="00C83AE3" w:rsidRPr="00E57DAE">
        <w:rPr>
          <w:rFonts w:ascii="Dubai" w:hAnsi="Dubai" w:cs="Dubai"/>
          <w:color w:val="auto"/>
          <w:szCs w:val="22"/>
          <w:rtl/>
          <w:lang w:val="ar"/>
        </w:rPr>
        <w:t>.</w:t>
      </w:r>
    </w:p>
    <w:p w14:paraId="62C2A866" w14:textId="77777777" w:rsidR="000A60A1" w:rsidRPr="003A66CF" w:rsidRDefault="009E5DE1" w:rsidP="00C83AE3">
      <w:pPr>
        <w:pStyle w:val="Bullet1"/>
        <w:bidi/>
        <w:rPr>
          <w:rFonts w:ascii="Dubai" w:hAnsi="Dubai" w:cs="Dubai"/>
          <w:szCs w:val="22"/>
        </w:rPr>
      </w:pPr>
      <w:hyperlink r:id="rId35" w:history="1">
        <w:r w:rsidR="002058D6" w:rsidRPr="00E57DAE">
          <w:rPr>
            <w:rStyle w:val="Hyperlink"/>
            <w:rFonts w:ascii="Dubai" w:hAnsi="Dubai" w:cs="Dubai"/>
            <w:szCs w:val="22"/>
            <w:rtl/>
            <w:lang w:val="ar"/>
          </w:rPr>
          <w:t>معايير ممارسة NDIS ومؤشّرات الجودة:</w:t>
        </w:r>
      </w:hyperlink>
      <w:r w:rsidR="002058D6" w:rsidRPr="003A66CF">
        <w:rPr>
          <w:rFonts w:ascii="Dubai" w:hAnsi="Dubai" w:cs="Dubai"/>
          <w:szCs w:val="22"/>
          <w:rtl/>
          <w:lang w:val="ar"/>
        </w:rPr>
        <w:t xml:space="preserve"> تحدد معايير الجودة التي يجب الوفاء بها من قبل مقدمي خدمات NDIS المسجلين لتقديم الدعم والخدمات للمشاركين في NDIS.</w:t>
      </w:r>
    </w:p>
    <w:sectPr w:rsidR="000A60A1" w:rsidRPr="003A66CF"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2E0A" w14:textId="77777777" w:rsidR="009E5DE1" w:rsidRDefault="009E5DE1">
      <w:pPr>
        <w:spacing w:before="0" w:after="0" w:line="240" w:lineRule="auto"/>
      </w:pPr>
      <w:r>
        <w:separator/>
      </w:r>
    </w:p>
  </w:endnote>
  <w:endnote w:type="continuationSeparator" w:id="0">
    <w:p w14:paraId="02EFA6C7" w14:textId="77777777" w:rsidR="009E5DE1" w:rsidRDefault="009E5D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9E0C04F6-2586-48F0-8F9F-579F69EABE9F}"/>
    <w:embedBold r:id="rId2" w:fontKey="{F9464BC5-A014-4E2F-BB9F-1E1B8261F1F3}"/>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2B2D" w14:textId="77777777" w:rsidR="00D23398" w:rsidRPr="005A0885" w:rsidRDefault="007D5FB7" w:rsidP="00D23398">
    <w:pPr>
      <w:pStyle w:val="Footer"/>
      <w:rPr>
        <w:rFonts w:ascii="Dubai" w:hAnsi="Dubai" w:cs="Dubai"/>
        <w:sz w:val="18"/>
        <w:szCs w:val="18"/>
      </w:rPr>
    </w:pPr>
    <w:r w:rsidRPr="005A0885">
      <w:rPr>
        <w:rFonts w:ascii="Dubai" w:hAnsi="Dubai" w:cs="Dubai"/>
        <w:b/>
        <w:bCs/>
        <w:noProof/>
        <w:lang w:eastAsia="en-AU"/>
      </w:rPr>
      <mc:AlternateContent>
        <mc:Choice Requires="wps">
          <w:drawing>
            <wp:inline distT="0" distB="0" distL="0" distR="0" wp14:anchorId="589C0028" wp14:editId="669D3832">
              <wp:extent cx="5734050" cy="76200"/>
              <wp:effectExtent l="0" t="0" r="0" b="0"/>
              <wp:docPr id="20" name="Rectangle 20" descr="خلفية&#10;&#10;خلفية&#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64EF3B10" id="Rectangle 20" o:spid="_x0000_s1026" alt="خلفية&#10;&#10;خلفية&#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2432522" w14:textId="4F0043FC" w:rsidR="00FD66D7" w:rsidRPr="005A0885" w:rsidRDefault="007D5FB7" w:rsidP="00072CC1">
    <w:pPr>
      <w:pStyle w:val="Footer"/>
      <w:tabs>
        <w:tab w:val="clear" w:pos="4513"/>
      </w:tabs>
      <w:bidi/>
      <w:rPr>
        <w:rFonts w:ascii="Dubai" w:hAnsi="Dubai" w:cs="Dubai"/>
        <w:sz w:val="18"/>
        <w:szCs w:val="18"/>
      </w:rPr>
    </w:pPr>
    <w:r w:rsidRPr="005A0885">
      <w:rPr>
        <w:rFonts w:ascii="Dubai" w:hAnsi="Dubai" w:cs="Dubai"/>
        <w:sz w:val="18"/>
        <w:szCs w:val="18"/>
        <w:rtl/>
        <w:lang w:val="ar"/>
      </w:rPr>
      <w:t xml:space="preserve">إطار عمل NDIS لقدرة القوى العاملة NDIS Workforce Capability Framework | الإشراف على القدرات - </w:t>
    </w:r>
    <w:r w:rsidR="005A0885">
      <w:rPr>
        <w:rFonts w:ascii="Dubai" w:hAnsi="Dubai" w:cs="Dubai"/>
        <w:sz w:val="18"/>
        <w:szCs w:val="18"/>
        <w:lang w:val="ar"/>
      </w:rPr>
      <w:br/>
    </w:r>
    <w:r w:rsidRPr="005A0885">
      <w:rPr>
        <w:rFonts w:ascii="Dubai" w:hAnsi="Dubai" w:cs="Dubai"/>
        <w:sz w:val="18"/>
        <w:szCs w:val="18"/>
        <w:rtl/>
        <w:lang w:val="ar"/>
      </w:rPr>
      <w:t>علاقة الإشراف والدّعم - دليل للمشرفين والعمّال</w:t>
    </w:r>
    <w:r w:rsidRPr="005A0885">
      <w:rPr>
        <w:rFonts w:ascii="Dubai" w:hAnsi="Dubai" w:cs="Dubai"/>
        <w:sz w:val="18"/>
        <w:szCs w:val="18"/>
        <w:rtl/>
        <w:lang w:val="ar"/>
      </w:rPr>
      <w:tab/>
    </w:r>
    <w:r w:rsidRPr="005A0885">
      <w:rPr>
        <w:rFonts w:ascii="Dubai" w:hAnsi="Dubai" w:cs="Dubai"/>
        <w:sz w:val="18"/>
        <w:szCs w:val="18"/>
      </w:rPr>
      <w:fldChar w:fldCharType="begin"/>
    </w:r>
    <w:r w:rsidRPr="005A0885">
      <w:rPr>
        <w:rFonts w:ascii="Dubai" w:hAnsi="Dubai" w:cs="Dubai"/>
        <w:sz w:val="18"/>
        <w:szCs w:val="18"/>
        <w:rtl/>
        <w:lang w:val="ar"/>
      </w:rPr>
      <w:instrText xml:space="preserve"> PAGE   \* MERGEFORMAT </w:instrText>
    </w:r>
    <w:r w:rsidRPr="005A0885">
      <w:rPr>
        <w:rFonts w:ascii="Dubai" w:hAnsi="Dubai" w:cs="Dubai"/>
        <w:sz w:val="18"/>
        <w:szCs w:val="18"/>
      </w:rPr>
      <w:fldChar w:fldCharType="separate"/>
    </w:r>
    <w:r w:rsidR="00E34585" w:rsidRPr="005A0885">
      <w:rPr>
        <w:rFonts w:ascii="Dubai" w:hAnsi="Dubai" w:cs="Dubai"/>
        <w:noProof/>
        <w:sz w:val="18"/>
        <w:szCs w:val="18"/>
        <w:rtl/>
        <w:lang w:val="ar"/>
      </w:rPr>
      <w:t>11</w:t>
    </w:r>
    <w:r w:rsidRPr="005A0885">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C2D6" w14:textId="77777777" w:rsidR="009E5DE1" w:rsidRDefault="009E5DE1">
      <w:pPr>
        <w:spacing w:before="0" w:after="0" w:line="240" w:lineRule="auto"/>
      </w:pPr>
      <w:r>
        <w:separator/>
      </w:r>
    </w:p>
  </w:footnote>
  <w:footnote w:type="continuationSeparator" w:id="0">
    <w:p w14:paraId="07F6765C" w14:textId="77777777" w:rsidR="009E5DE1" w:rsidRDefault="009E5D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95D8" w14:textId="77777777" w:rsidR="008B7938" w:rsidRDefault="008B7938">
    <w:pPr>
      <w:pStyle w:val="Header"/>
    </w:pPr>
  </w:p>
  <w:p w14:paraId="521348AC" w14:textId="77777777" w:rsidR="00680A20" w:rsidRDefault="007D5FB7">
    <w:pPr>
      <w:pStyle w:val="Header"/>
    </w:pPr>
    <w:r>
      <w:rPr>
        <w:b w:val="0"/>
        <w:bCs/>
        <w:noProof/>
        <w:lang w:eastAsia="en-AU"/>
      </w:rPr>
      <mc:AlternateContent>
        <mc:Choice Requires="wps">
          <w:drawing>
            <wp:inline distT="0" distB="0" distL="0" distR="0" wp14:anchorId="1AE94C6D" wp14:editId="669F761D">
              <wp:extent cx="5734800" cy="75600"/>
              <wp:effectExtent l="0" t="0" r="0" b="635"/>
              <wp:docPr id="2" name="Rectangle 2" descr="خلفية&#10;&#10;خلفية&#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21D63BFA" id="Rectangle 2" o:spid="_x0000_s1026" alt="خلفية&#10;&#10;خلفية&#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A1EB" w14:textId="77777777" w:rsidR="00182709" w:rsidRDefault="007D5FB7" w:rsidP="00F3511A">
    <w:pPr>
      <w:pStyle w:val="Header"/>
      <w:ind w:left="-1418"/>
    </w:pPr>
    <w:r>
      <w:rPr>
        <w:noProof/>
        <w:sz w:val="84"/>
        <w:szCs w:val="84"/>
        <w:lang w:eastAsia="en-AU"/>
      </w:rPr>
      <w:drawing>
        <wp:inline distT="0" distB="0" distL="0" distR="0" wp14:anchorId="7CBBCEF5" wp14:editId="2CA1D06B">
          <wp:extent cx="7557135" cy="1391920"/>
          <wp:effectExtent l="0" t="0" r="5715" b="0"/>
          <wp:docPr id="4" name="Picture 4" descr="لجنة NDIS للجودة والضمانات التابعة للحكومة الأسترالية وإطار عمل قدرات القوى العاملة في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لجنة NDIS للجودة والضمانات التابعة للحكومة الأسترالية وإطار عمل قدرات القوى العاملة في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2F24DB76">
      <w:start w:val="1"/>
      <w:numFmt w:val="bullet"/>
      <w:pStyle w:val="List2"/>
      <w:lvlText w:val="–"/>
      <w:lvlJc w:val="left"/>
      <w:pPr>
        <w:tabs>
          <w:tab w:val="num" w:pos="640"/>
        </w:tabs>
        <w:ind w:left="640" w:hanging="357"/>
      </w:pPr>
      <w:rPr>
        <w:rFonts w:ascii="Calibri" w:hAnsi="Calibri" w:hint="default"/>
      </w:rPr>
    </w:lvl>
    <w:lvl w:ilvl="1" w:tplc="F5602696" w:tentative="1">
      <w:start w:val="1"/>
      <w:numFmt w:val="bullet"/>
      <w:lvlText w:val="o"/>
      <w:lvlJc w:val="left"/>
      <w:pPr>
        <w:ind w:left="1723" w:hanging="360"/>
      </w:pPr>
      <w:rPr>
        <w:rFonts w:ascii="Courier New" w:hAnsi="Courier New" w:cs="Courier New" w:hint="default"/>
      </w:rPr>
    </w:lvl>
    <w:lvl w:ilvl="2" w:tplc="B37075D6" w:tentative="1">
      <w:start w:val="1"/>
      <w:numFmt w:val="bullet"/>
      <w:lvlText w:val=""/>
      <w:lvlJc w:val="left"/>
      <w:pPr>
        <w:ind w:left="2443" w:hanging="360"/>
      </w:pPr>
      <w:rPr>
        <w:rFonts w:ascii="Wingdings" w:hAnsi="Wingdings" w:hint="default"/>
      </w:rPr>
    </w:lvl>
    <w:lvl w:ilvl="3" w:tplc="38D8126E" w:tentative="1">
      <w:start w:val="1"/>
      <w:numFmt w:val="bullet"/>
      <w:lvlText w:val=""/>
      <w:lvlJc w:val="left"/>
      <w:pPr>
        <w:ind w:left="3163" w:hanging="360"/>
      </w:pPr>
      <w:rPr>
        <w:rFonts w:ascii="Symbol" w:hAnsi="Symbol" w:hint="default"/>
      </w:rPr>
    </w:lvl>
    <w:lvl w:ilvl="4" w:tplc="6D56E882" w:tentative="1">
      <w:start w:val="1"/>
      <w:numFmt w:val="bullet"/>
      <w:lvlText w:val="o"/>
      <w:lvlJc w:val="left"/>
      <w:pPr>
        <w:ind w:left="3883" w:hanging="360"/>
      </w:pPr>
      <w:rPr>
        <w:rFonts w:ascii="Courier New" w:hAnsi="Courier New" w:cs="Courier New" w:hint="default"/>
      </w:rPr>
    </w:lvl>
    <w:lvl w:ilvl="5" w:tplc="4942CE32" w:tentative="1">
      <w:start w:val="1"/>
      <w:numFmt w:val="bullet"/>
      <w:lvlText w:val=""/>
      <w:lvlJc w:val="left"/>
      <w:pPr>
        <w:ind w:left="4603" w:hanging="360"/>
      </w:pPr>
      <w:rPr>
        <w:rFonts w:ascii="Wingdings" w:hAnsi="Wingdings" w:hint="default"/>
      </w:rPr>
    </w:lvl>
    <w:lvl w:ilvl="6" w:tplc="E21CC800" w:tentative="1">
      <w:start w:val="1"/>
      <w:numFmt w:val="bullet"/>
      <w:lvlText w:val=""/>
      <w:lvlJc w:val="left"/>
      <w:pPr>
        <w:ind w:left="5323" w:hanging="360"/>
      </w:pPr>
      <w:rPr>
        <w:rFonts w:ascii="Symbol" w:hAnsi="Symbol" w:hint="default"/>
      </w:rPr>
    </w:lvl>
    <w:lvl w:ilvl="7" w:tplc="43FA1BF2" w:tentative="1">
      <w:start w:val="1"/>
      <w:numFmt w:val="bullet"/>
      <w:lvlText w:val="o"/>
      <w:lvlJc w:val="left"/>
      <w:pPr>
        <w:ind w:left="6043" w:hanging="360"/>
      </w:pPr>
      <w:rPr>
        <w:rFonts w:ascii="Courier New" w:hAnsi="Courier New" w:cs="Courier New" w:hint="default"/>
      </w:rPr>
    </w:lvl>
    <w:lvl w:ilvl="8" w:tplc="9CE69FDE"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A26CB94A">
      <w:start w:val="1"/>
      <w:numFmt w:val="bullet"/>
      <w:lvlText w:val=""/>
      <w:lvlJc w:val="left"/>
      <w:pPr>
        <w:tabs>
          <w:tab w:val="num" w:pos="284"/>
        </w:tabs>
        <w:ind w:left="284" w:hanging="284"/>
      </w:pPr>
      <w:rPr>
        <w:rFonts w:ascii="Symbol" w:hAnsi="Symbol" w:hint="default"/>
        <w:color w:val="8B2270" w:themeColor="accent3" w:themeShade="BF"/>
        <w:u w:color="8B2270"/>
      </w:rPr>
    </w:lvl>
    <w:lvl w:ilvl="1" w:tplc="FD381768" w:tentative="1">
      <w:start w:val="1"/>
      <w:numFmt w:val="bullet"/>
      <w:lvlText w:val="o"/>
      <w:lvlJc w:val="left"/>
      <w:pPr>
        <w:ind w:left="1440" w:hanging="360"/>
      </w:pPr>
      <w:rPr>
        <w:rFonts w:ascii="Courier New" w:hAnsi="Courier New" w:cs="Courier New" w:hint="default"/>
      </w:rPr>
    </w:lvl>
    <w:lvl w:ilvl="2" w:tplc="48321E86" w:tentative="1">
      <w:start w:val="1"/>
      <w:numFmt w:val="bullet"/>
      <w:lvlText w:val=""/>
      <w:lvlJc w:val="left"/>
      <w:pPr>
        <w:ind w:left="2160" w:hanging="360"/>
      </w:pPr>
      <w:rPr>
        <w:rFonts w:ascii="Wingdings" w:hAnsi="Wingdings" w:hint="default"/>
      </w:rPr>
    </w:lvl>
    <w:lvl w:ilvl="3" w:tplc="7BD4EDE0" w:tentative="1">
      <w:start w:val="1"/>
      <w:numFmt w:val="bullet"/>
      <w:lvlText w:val=""/>
      <w:lvlJc w:val="left"/>
      <w:pPr>
        <w:ind w:left="2880" w:hanging="360"/>
      </w:pPr>
      <w:rPr>
        <w:rFonts w:ascii="Symbol" w:hAnsi="Symbol" w:hint="default"/>
      </w:rPr>
    </w:lvl>
    <w:lvl w:ilvl="4" w:tplc="4DFE6330" w:tentative="1">
      <w:start w:val="1"/>
      <w:numFmt w:val="bullet"/>
      <w:lvlText w:val="o"/>
      <w:lvlJc w:val="left"/>
      <w:pPr>
        <w:ind w:left="3600" w:hanging="360"/>
      </w:pPr>
      <w:rPr>
        <w:rFonts w:ascii="Courier New" w:hAnsi="Courier New" w:cs="Courier New" w:hint="default"/>
      </w:rPr>
    </w:lvl>
    <w:lvl w:ilvl="5" w:tplc="9C4ECCCC" w:tentative="1">
      <w:start w:val="1"/>
      <w:numFmt w:val="bullet"/>
      <w:lvlText w:val=""/>
      <w:lvlJc w:val="left"/>
      <w:pPr>
        <w:ind w:left="4320" w:hanging="360"/>
      </w:pPr>
      <w:rPr>
        <w:rFonts w:ascii="Wingdings" w:hAnsi="Wingdings" w:hint="default"/>
      </w:rPr>
    </w:lvl>
    <w:lvl w:ilvl="6" w:tplc="67162562" w:tentative="1">
      <w:start w:val="1"/>
      <w:numFmt w:val="bullet"/>
      <w:lvlText w:val=""/>
      <w:lvlJc w:val="left"/>
      <w:pPr>
        <w:ind w:left="5040" w:hanging="360"/>
      </w:pPr>
      <w:rPr>
        <w:rFonts w:ascii="Symbol" w:hAnsi="Symbol" w:hint="default"/>
      </w:rPr>
    </w:lvl>
    <w:lvl w:ilvl="7" w:tplc="7166E970" w:tentative="1">
      <w:start w:val="1"/>
      <w:numFmt w:val="bullet"/>
      <w:lvlText w:val="o"/>
      <w:lvlJc w:val="left"/>
      <w:pPr>
        <w:ind w:left="5760" w:hanging="360"/>
      </w:pPr>
      <w:rPr>
        <w:rFonts w:ascii="Courier New" w:hAnsi="Courier New" w:cs="Courier New" w:hint="default"/>
      </w:rPr>
    </w:lvl>
    <w:lvl w:ilvl="8" w:tplc="103893D6"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8556AC26">
      <w:start w:val="1"/>
      <w:numFmt w:val="decimal"/>
      <w:pStyle w:val="Heading2-numbered"/>
      <w:lvlText w:val="%1."/>
      <w:lvlJc w:val="left"/>
      <w:pPr>
        <w:ind w:left="720" w:hanging="360"/>
      </w:pPr>
    </w:lvl>
    <w:lvl w:ilvl="1" w:tplc="990E20C8" w:tentative="1">
      <w:start w:val="1"/>
      <w:numFmt w:val="lowerLetter"/>
      <w:lvlText w:val="%2."/>
      <w:lvlJc w:val="left"/>
      <w:pPr>
        <w:ind w:left="1440" w:hanging="360"/>
      </w:pPr>
    </w:lvl>
    <w:lvl w:ilvl="2" w:tplc="0C6850A4" w:tentative="1">
      <w:start w:val="1"/>
      <w:numFmt w:val="lowerRoman"/>
      <w:lvlText w:val="%3."/>
      <w:lvlJc w:val="right"/>
      <w:pPr>
        <w:ind w:left="2160" w:hanging="180"/>
      </w:pPr>
    </w:lvl>
    <w:lvl w:ilvl="3" w:tplc="2F5C6286" w:tentative="1">
      <w:start w:val="1"/>
      <w:numFmt w:val="decimal"/>
      <w:lvlText w:val="%4."/>
      <w:lvlJc w:val="left"/>
      <w:pPr>
        <w:ind w:left="2880" w:hanging="360"/>
      </w:pPr>
    </w:lvl>
    <w:lvl w:ilvl="4" w:tplc="23E2FB3E" w:tentative="1">
      <w:start w:val="1"/>
      <w:numFmt w:val="lowerLetter"/>
      <w:lvlText w:val="%5."/>
      <w:lvlJc w:val="left"/>
      <w:pPr>
        <w:ind w:left="3600" w:hanging="360"/>
      </w:pPr>
    </w:lvl>
    <w:lvl w:ilvl="5" w:tplc="1C68163A" w:tentative="1">
      <w:start w:val="1"/>
      <w:numFmt w:val="lowerRoman"/>
      <w:lvlText w:val="%6."/>
      <w:lvlJc w:val="right"/>
      <w:pPr>
        <w:ind w:left="4320" w:hanging="180"/>
      </w:pPr>
    </w:lvl>
    <w:lvl w:ilvl="6" w:tplc="18B41C42" w:tentative="1">
      <w:start w:val="1"/>
      <w:numFmt w:val="decimal"/>
      <w:lvlText w:val="%7."/>
      <w:lvlJc w:val="left"/>
      <w:pPr>
        <w:ind w:left="5040" w:hanging="360"/>
      </w:pPr>
    </w:lvl>
    <w:lvl w:ilvl="7" w:tplc="63AA0C80" w:tentative="1">
      <w:start w:val="1"/>
      <w:numFmt w:val="lowerLetter"/>
      <w:lvlText w:val="%8."/>
      <w:lvlJc w:val="left"/>
      <w:pPr>
        <w:ind w:left="5760" w:hanging="360"/>
      </w:pPr>
    </w:lvl>
    <w:lvl w:ilvl="8" w:tplc="DBFE38EA"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71CC0BEC">
      <w:start w:val="1"/>
      <w:numFmt w:val="bullet"/>
      <w:lvlText w:val=""/>
      <w:lvlJc w:val="left"/>
      <w:pPr>
        <w:tabs>
          <w:tab w:val="num" w:pos="284"/>
        </w:tabs>
        <w:ind w:left="284" w:hanging="284"/>
      </w:pPr>
      <w:rPr>
        <w:rFonts w:ascii="Symbol" w:hAnsi="Symbol" w:hint="default"/>
        <w:color w:val="8B2270" w:themeColor="accent3" w:themeShade="BF"/>
        <w:u w:color="8B2270"/>
      </w:rPr>
    </w:lvl>
    <w:lvl w:ilvl="1" w:tplc="9E7217A8" w:tentative="1">
      <w:start w:val="1"/>
      <w:numFmt w:val="bullet"/>
      <w:lvlText w:val="o"/>
      <w:lvlJc w:val="left"/>
      <w:pPr>
        <w:ind w:left="1440" w:hanging="360"/>
      </w:pPr>
      <w:rPr>
        <w:rFonts w:ascii="Courier New" w:hAnsi="Courier New" w:cs="Courier New" w:hint="default"/>
      </w:rPr>
    </w:lvl>
    <w:lvl w:ilvl="2" w:tplc="F698D29A" w:tentative="1">
      <w:start w:val="1"/>
      <w:numFmt w:val="bullet"/>
      <w:lvlText w:val=""/>
      <w:lvlJc w:val="left"/>
      <w:pPr>
        <w:ind w:left="2160" w:hanging="360"/>
      </w:pPr>
      <w:rPr>
        <w:rFonts w:ascii="Wingdings" w:hAnsi="Wingdings" w:hint="default"/>
      </w:rPr>
    </w:lvl>
    <w:lvl w:ilvl="3" w:tplc="ED22ECC4" w:tentative="1">
      <w:start w:val="1"/>
      <w:numFmt w:val="bullet"/>
      <w:lvlText w:val=""/>
      <w:lvlJc w:val="left"/>
      <w:pPr>
        <w:ind w:left="2880" w:hanging="360"/>
      </w:pPr>
      <w:rPr>
        <w:rFonts w:ascii="Symbol" w:hAnsi="Symbol" w:hint="default"/>
      </w:rPr>
    </w:lvl>
    <w:lvl w:ilvl="4" w:tplc="CB38D516" w:tentative="1">
      <w:start w:val="1"/>
      <w:numFmt w:val="bullet"/>
      <w:lvlText w:val="o"/>
      <w:lvlJc w:val="left"/>
      <w:pPr>
        <w:ind w:left="3600" w:hanging="360"/>
      </w:pPr>
      <w:rPr>
        <w:rFonts w:ascii="Courier New" w:hAnsi="Courier New" w:cs="Courier New" w:hint="default"/>
      </w:rPr>
    </w:lvl>
    <w:lvl w:ilvl="5" w:tplc="63948A7A" w:tentative="1">
      <w:start w:val="1"/>
      <w:numFmt w:val="bullet"/>
      <w:lvlText w:val=""/>
      <w:lvlJc w:val="left"/>
      <w:pPr>
        <w:ind w:left="4320" w:hanging="360"/>
      </w:pPr>
      <w:rPr>
        <w:rFonts w:ascii="Wingdings" w:hAnsi="Wingdings" w:hint="default"/>
      </w:rPr>
    </w:lvl>
    <w:lvl w:ilvl="6" w:tplc="E9224110" w:tentative="1">
      <w:start w:val="1"/>
      <w:numFmt w:val="bullet"/>
      <w:lvlText w:val=""/>
      <w:lvlJc w:val="left"/>
      <w:pPr>
        <w:ind w:left="5040" w:hanging="360"/>
      </w:pPr>
      <w:rPr>
        <w:rFonts w:ascii="Symbol" w:hAnsi="Symbol" w:hint="default"/>
      </w:rPr>
    </w:lvl>
    <w:lvl w:ilvl="7" w:tplc="7E3AFB24" w:tentative="1">
      <w:start w:val="1"/>
      <w:numFmt w:val="bullet"/>
      <w:lvlText w:val="o"/>
      <w:lvlJc w:val="left"/>
      <w:pPr>
        <w:ind w:left="5760" w:hanging="360"/>
      </w:pPr>
      <w:rPr>
        <w:rFonts w:ascii="Courier New" w:hAnsi="Courier New" w:cs="Courier New" w:hint="default"/>
      </w:rPr>
    </w:lvl>
    <w:lvl w:ilvl="8" w:tplc="30163FBC"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9CE22EC4">
      <w:start w:val="1"/>
      <w:numFmt w:val="bullet"/>
      <w:lvlText w:val=""/>
      <w:lvlJc w:val="left"/>
      <w:pPr>
        <w:tabs>
          <w:tab w:val="num" w:pos="284"/>
        </w:tabs>
        <w:ind w:left="284" w:hanging="284"/>
      </w:pPr>
      <w:rPr>
        <w:rFonts w:ascii="Symbol" w:hAnsi="Symbol" w:hint="default"/>
        <w:color w:val="8B2270" w:themeColor="accent3" w:themeShade="BF"/>
        <w:u w:color="8B2270"/>
      </w:rPr>
    </w:lvl>
    <w:lvl w:ilvl="1" w:tplc="8FC28B24" w:tentative="1">
      <w:start w:val="1"/>
      <w:numFmt w:val="bullet"/>
      <w:lvlText w:val="o"/>
      <w:lvlJc w:val="left"/>
      <w:pPr>
        <w:ind w:left="1440" w:hanging="360"/>
      </w:pPr>
      <w:rPr>
        <w:rFonts w:ascii="Courier New" w:hAnsi="Courier New" w:cs="Courier New" w:hint="default"/>
      </w:rPr>
    </w:lvl>
    <w:lvl w:ilvl="2" w:tplc="8F52E176" w:tentative="1">
      <w:start w:val="1"/>
      <w:numFmt w:val="bullet"/>
      <w:lvlText w:val=""/>
      <w:lvlJc w:val="left"/>
      <w:pPr>
        <w:ind w:left="2160" w:hanging="360"/>
      </w:pPr>
      <w:rPr>
        <w:rFonts w:ascii="Wingdings" w:hAnsi="Wingdings" w:hint="default"/>
      </w:rPr>
    </w:lvl>
    <w:lvl w:ilvl="3" w:tplc="FC3C2534" w:tentative="1">
      <w:start w:val="1"/>
      <w:numFmt w:val="bullet"/>
      <w:lvlText w:val=""/>
      <w:lvlJc w:val="left"/>
      <w:pPr>
        <w:ind w:left="2880" w:hanging="360"/>
      </w:pPr>
      <w:rPr>
        <w:rFonts w:ascii="Symbol" w:hAnsi="Symbol" w:hint="default"/>
      </w:rPr>
    </w:lvl>
    <w:lvl w:ilvl="4" w:tplc="9CE0CD02" w:tentative="1">
      <w:start w:val="1"/>
      <w:numFmt w:val="bullet"/>
      <w:lvlText w:val="o"/>
      <w:lvlJc w:val="left"/>
      <w:pPr>
        <w:ind w:left="3600" w:hanging="360"/>
      </w:pPr>
      <w:rPr>
        <w:rFonts w:ascii="Courier New" w:hAnsi="Courier New" w:cs="Courier New" w:hint="default"/>
      </w:rPr>
    </w:lvl>
    <w:lvl w:ilvl="5" w:tplc="7760FE56" w:tentative="1">
      <w:start w:val="1"/>
      <w:numFmt w:val="bullet"/>
      <w:lvlText w:val=""/>
      <w:lvlJc w:val="left"/>
      <w:pPr>
        <w:ind w:left="4320" w:hanging="360"/>
      </w:pPr>
      <w:rPr>
        <w:rFonts w:ascii="Wingdings" w:hAnsi="Wingdings" w:hint="default"/>
      </w:rPr>
    </w:lvl>
    <w:lvl w:ilvl="6" w:tplc="D3F26F20" w:tentative="1">
      <w:start w:val="1"/>
      <w:numFmt w:val="bullet"/>
      <w:lvlText w:val=""/>
      <w:lvlJc w:val="left"/>
      <w:pPr>
        <w:ind w:left="5040" w:hanging="360"/>
      </w:pPr>
      <w:rPr>
        <w:rFonts w:ascii="Symbol" w:hAnsi="Symbol" w:hint="default"/>
      </w:rPr>
    </w:lvl>
    <w:lvl w:ilvl="7" w:tplc="97EC9CDE" w:tentative="1">
      <w:start w:val="1"/>
      <w:numFmt w:val="bullet"/>
      <w:lvlText w:val="o"/>
      <w:lvlJc w:val="left"/>
      <w:pPr>
        <w:ind w:left="5760" w:hanging="360"/>
      </w:pPr>
      <w:rPr>
        <w:rFonts w:ascii="Courier New" w:hAnsi="Courier New" w:cs="Courier New" w:hint="default"/>
      </w:rPr>
    </w:lvl>
    <w:lvl w:ilvl="8" w:tplc="6D109240"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559E1CB4">
      <w:start w:val="1"/>
      <w:numFmt w:val="bullet"/>
      <w:lvlText w:val=""/>
      <w:lvlJc w:val="left"/>
      <w:pPr>
        <w:tabs>
          <w:tab w:val="num" w:pos="284"/>
        </w:tabs>
        <w:ind w:left="284" w:hanging="284"/>
      </w:pPr>
      <w:rPr>
        <w:rFonts w:ascii="Symbol" w:hAnsi="Symbol" w:hint="default"/>
        <w:color w:val="8B2270" w:themeColor="accent3" w:themeShade="BF"/>
        <w:u w:color="8B2270"/>
      </w:rPr>
    </w:lvl>
    <w:lvl w:ilvl="1" w:tplc="9542A0D0" w:tentative="1">
      <w:start w:val="1"/>
      <w:numFmt w:val="bullet"/>
      <w:lvlText w:val="o"/>
      <w:lvlJc w:val="left"/>
      <w:pPr>
        <w:ind w:left="1440" w:hanging="360"/>
      </w:pPr>
      <w:rPr>
        <w:rFonts w:ascii="Courier New" w:hAnsi="Courier New" w:cs="Courier New" w:hint="default"/>
      </w:rPr>
    </w:lvl>
    <w:lvl w:ilvl="2" w:tplc="F01E558C" w:tentative="1">
      <w:start w:val="1"/>
      <w:numFmt w:val="bullet"/>
      <w:lvlText w:val=""/>
      <w:lvlJc w:val="left"/>
      <w:pPr>
        <w:ind w:left="2160" w:hanging="360"/>
      </w:pPr>
      <w:rPr>
        <w:rFonts w:ascii="Wingdings" w:hAnsi="Wingdings" w:hint="default"/>
      </w:rPr>
    </w:lvl>
    <w:lvl w:ilvl="3" w:tplc="51F6A5AA" w:tentative="1">
      <w:start w:val="1"/>
      <w:numFmt w:val="bullet"/>
      <w:lvlText w:val=""/>
      <w:lvlJc w:val="left"/>
      <w:pPr>
        <w:ind w:left="2880" w:hanging="360"/>
      </w:pPr>
      <w:rPr>
        <w:rFonts w:ascii="Symbol" w:hAnsi="Symbol" w:hint="default"/>
      </w:rPr>
    </w:lvl>
    <w:lvl w:ilvl="4" w:tplc="E79E4F90" w:tentative="1">
      <w:start w:val="1"/>
      <w:numFmt w:val="bullet"/>
      <w:lvlText w:val="o"/>
      <w:lvlJc w:val="left"/>
      <w:pPr>
        <w:ind w:left="3600" w:hanging="360"/>
      </w:pPr>
      <w:rPr>
        <w:rFonts w:ascii="Courier New" w:hAnsi="Courier New" w:cs="Courier New" w:hint="default"/>
      </w:rPr>
    </w:lvl>
    <w:lvl w:ilvl="5" w:tplc="ACF82706" w:tentative="1">
      <w:start w:val="1"/>
      <w:numFmt w:val="bullet"/>
      <w:lvlText w:val=""/>
      <w:lvlJc w:val="left"/>
      <w:pPr>
        <w:ind w:left="4320" w:hanging="360"/>
      </w:pPr>
      <w:rPr>
        <w:rFonts w:ascii="Wingdings" w:hAnsi="Wingdings" w:hint="default"/>
      </w:rPr>
    </w:lvl>
    <w:lvl w:ilvl="6" w:tplc="8458BC58" w:tentative="1">
      <w:start w:val="1"/>
      <w:numFmt w:val="bullet"/>
      <w:lvlText w:val=""/>
      <w:lvlJc w:val="left"/>
      <w:pPr>
        <w:ind w:left="5040" w:hanging="360"/>
      </w:pPr>
      <w:rPr>
        <w:rFonts w:ascii="Symbol" w:hAnsi="Symbol" w:hint="default"/>
      </w:rPr>
    </w:lvl>
    <w:lvl w:ilvl="7" w:tplc="ED58E758" w:tentative="1">
      <w:start w:val="1"/>
      <w:numFmt w:val="bullet"/>
      <w:lvlText w:val="o"/>
      <w:lvlJc w:val="left"/>
      <w:pPr>
        <w:ind w:left="5760" w:hanging="360"/>
      </w:pPr>
      <w:rPr>
        <w:rFonts w:ascii="Courier New" w:hAnsi="Courier New" w:cs="Courier New" w:hint="default"/>
      </w:rPr>
    </w:lvl>
    <w:lvl w:ilvl="8" w:tplc="CEEE06EE"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9CDE68B6">
      <w:start w:val="1"/>
      <w:numFmt w:val="bullet"/>
      <w:lvlText w:val=""/>
      <w:lvlJc w:val="left"/>
      <w:pPr>
        <w:tabs>
          <w:tab w:val="num" w:pos="360"/>
        </w:tabs>
        <w:ind w:left="360" w:hanging="360"/>
      </w:pPr>
      <w:rPr>
        <w:rFonts w:ascii="Symbol" w:hAnsi="Symbol" w:hint="default"/>
        <w:color w:val="8B2270" w:themeColor="accent3" w:themeShade="BF"/>
        <w:u w:color="8B2270"/>
      </w:rPr>
    </w:lvl>
    <w:lvl w:ilvl="1" w:tplc="922E73E0" w:tentative="1">
      <w:start w:val="1"/>
      <w:numFmt w:val="bullet"/>
      <w:lvlText w:val="o"/>
      <w:lvlJc w:val="left"/>
      <w:pPr>
        <w:ind w:left="1440" w:hanging="360"/>
      </w:pPr>
      <w:rPr>
        <w:rFonts w:ascii="Courier New" w:hAnsi="Courier New" w:cs="Courier New" w:hint="default"/>
      </w:rPr>
    </w:lvl>
    <w:lvl w:ilvl="2" w:tplc="B4FCB7B4" w:tentative="1">
      <w:start w:val="1"/>
      <w:numFmt w:val="bullet"/>
      <w:lvlText w:val=""/>
      <w:lvlJc w:val="left"/>
      <w:pPr>
        <w:ind w:left="2160" w:hanging="360"/>
      </w:pPr>
      <w:rPr>
        <w:rFonts w:ascii="Wingdings" w:hAnsi="Wingdings" w:hint="default"/>
      </w:rPr>
    </w:lvl>
    <w:lvl w:ilvl="3" w:tplc="0CC64602" w:tentative="1">
      <w:start w:val="1"/>
      <w:numFmt w:val="bullet"/>
      <w:lvlText w:val=""/>
      <w:lvlJc w:val="left"/>
      <w:pPr>
        <w:ind w:left="2880" w:hanging="360"/>
      </w:pPr>
      <w:rPr>
        <w:rFonts w:ascii="Symbol" w:hAnsi="Symbol" w:hint="default"/>
      </w:rPr>
    </w:lvl>
    <w:lvl w:ilvl="4" w:tplc="06DEEBEE" w:tentative="1">
      <w:start w:val="1"/>
      <w:numFmt w:val="bullet"/>
      <w:lvlText w:val="o"/>
      <w:lvlJc w:val="left"/>
      <w:pPr>
        <w:ind w:left="3600" w:hanging="360"/>
      </w:pPr>
      <w:rPr>
        <w:rFonts w:ascii="Courier New" w:hAnsi="Courier New" w:cs="Courier New" w:hint="default"/>
      </w:rPr>
    </w:lvl>
    <w:lvl w:ilvl="5" w:tplc="C17EB018" w:tentative="1">
      <w:start w:val="1"/>
      <w:numFmt w:val="bullet"/>
      <w:lvlText w:val=""/>
      <w:lvlJc w:val="left"/>
      <w:pPr>
        <w:ind w:left="4320" w:hanging="360"/>
      </w:pPr>
      <w:rPr>
        <w:rFonts w:ascii="Wingdings" w:hAnsi="Wingdings" w:hint="default"/>
      </w:rPr>
    </w:lvl>
    <w:lvl w:ilvl="6" w:tplc="19F2C202" w:tentative="1">
      <w:start w:val="1"/>
      <w:numFmt w:val="bullet"/>
      <w:lvlText w:val=""/>
      <w:lvlJc w:val="left"/>
      <w:pPr>
        <w:ind w:left="5040" w:hanging="360"/>
      </w:pPr>
      <w:rPr>
        <w:rFonts w:ascii="Symbol" w:hAnsi="Symbol" w:hint="default"/>
      </w:rPr>
    </w:lvl>
    <w:lvl w:ilvl="7" w:tplc="7624A452" w:tentative="1">
      <w:start w:val="1"/>
      <w:numFmt w:val="bullet"/>
      <w:lvlText w:val="o"/>
      <w:lvlJc w:val="left"/>
      <w:pPr>
        <w:ind w:left="5760" w:hanging="360"/>
      </w:pPr>
      <w:rPr>
        <w:rFonts w:ascii="Courier New" w:hAnsi="Courier New" w:cs="Courier New" w:hint="default"/>
      </w:rPr>
    </w:lvl>
    <w:lvl w:ilvl="8" w:tplc="74B6C5B4"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1C24E6C2">
      <w:start w:val="1"/>
      <w:numFmt w:val="bullet"/>
      <w:lvlText w:val=""/>
      <w:lvlJc w:val="left"/>
      <w:pPr>
        <w:tabs>
          <w:tab w:val="num" w:pos="360"/>
        </w:tabs>
        <w:ind w:left="360" w:hanging="360"/>
      </w:pPr>
      <w:rPr>
        <w:rFonts w:ascii="Symbol" w:hAnsi="Symbol" w:hint="default"/>
        <w:color w:val="8B2270" w:themeColor="accent3" w:themeShade="BF"/>
        <w:u w:color="8B2270"/>
      </w:rPr>
    </w:lvl>
    <w:lvl w:ilvl="1" w:tplc="2ED4F680" w:tentative="1">
      <w:start w:val="1"/>
      <w:numFmt w:val="bullet"/>
      <w:lvlText w:val="o"/>
      <w:lvlJc w:val="left"/>
      <w:pPr>
        <w:ind w:left="1440" w:hanging="360"/>
      </w:pPr>
      <w:rPr>
        <w:rFonts w:ascii="Courier New" w:hAnsi="Courier New" w:cs="Courier New" w:hint="default"/>
      </w:rPr>
    </w:lvl>
    <w:lvl w:ilvl="2" w:tplc="3C1C72CC" w:tentative="1">
      <w:start w:val="1"/>
      <w:numFmt w:val="bullet"/>
      <w:lvlText w:val=""/>
      <w:lvlJc w:val="left"/>
      <w:pPr>
        <w:ind w:left="2160" w:hanging="360"/>
      </w:pPr>
      <w:rPr>
        <w:rFonts w:ascii="Wingdings" w:hAnsi="Wingdings" w:hint="default"/>
      </w:rPr>
    </w:lvl>
    <w:lvl w:ilvl="3" w:tplc="794E1E6A" w:tentative="1">
      <w:start w:val="1"/>
      <w:numFmt w:val="bullet"/>
      <w:lvlText w:val=""/>
      <w:lvlJc w:val="left"/>
      <w:pPr>
        <w:ind w:left="2880" w:hanging="360"/>
      </w:pPr>
      <w:rPr>
        <w:rFonts w:ascii="Symbol" w:hAnsi="Symbol" w:hint="default"/>
      </w:rPr>
    </w:lvl>
    <w:lvl w:ilvl="4" w:tplc="0BF28112" w:tentative="1">
      <w:start w:val="1"/>
      <w:numFmt w:val="bullet"/>
      <w:lvlText w:val="o"/>
      <w:lvlJc w:val="left"/>
      <w:pPr>
        <w:ind w:left="3600" w:hanging="360"/>
      </w:pPr>
      <w:rPr>
        <w:rFonts w:ascii="Courier New" w:hAnsi="Courier New" w:cs="Courier New" w:hint="default"/>
      </w:rPr>
    </w:lvl>
    <w:lvl w:ilvl="5" w:tplc="EE7E0FBA" w:tentative="1">
      <w:start w:val="1"/>
      <w:numFmt w:val="bullet"/>
      <w:lvlText w:val=""/>
      <w:lvlJc w:val="left"/>
      <w:pPr>
        <w:ind w:left="4320" w:hanging="360"/>
      </w:pPr>
      <w:rPr>
        <w:rFonts w:ascii="Wingdings" w:hAnsi="Wingdings" w:hint="default"/>
      </w:rPr>
    </w:lvl>
    <w:lvl w:ilvl="6" w:tplc="B5B8DCEA" w:tentative="1">
      <w:start w:val="1"/>
      <w:numFmt w:val="bullet"/>
      <w:lvlText w:val=""/>
      <w:lvlJc w:val="left"/>
      <w:pPr>
        <w:ind w:left="5040" w:hanging="360"/>
      </w:pPr>
      <w:rPr>
        <w:rFonts w:ascii="Symbol" w:hAnsi="Symbol" w:hint="default"/>
      </w:rPr>
    </w:lvl>
    <w:lvl w:ilvl="7" w:tplc="9F121DDC" w:tentative="1">
      <w:start w:val="1"/>
      <w:numFmt w:val="bullet"/>
      <w:lvlText w:val="o"/>
      <w:lvlJc w:val="left"/>
      <w:pPr>
        <w:ind w:left="5760" w:hanging="360"/>
      </w:pPr>
      <w:rPr>
        <w:rFonts w:ascii="Courier New" w:hAnsi="Courier New" w:cs="Courier New" w:hint="default"/>
      </w:rPr>
    </w:lvl>
    <w:lvl w:ilvl="8" w:tplc="04D846C2"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2A346F06">
      <w:start w:val="1"/>
      <w:numFmt w:val="bullet"/>
      <w:lvlText w:val=""/>
      <w:lvlJc w:val="left"/>
      <w:pPr>
        <w:tabs>
          <w:tab w:val="num" w:pos="360"/>
        </w:tabs>
        <w:ind w:left="360" w:hanging="360"/>
      </w:pPr>
      <w:rPr>
        <w:rFonts w:ascii="Symbol" w:hAnsi="Symbol" w:hint="default"/>
        <w:color w:val="8B2270" w:themeColor="accent3" w:themeShade="BF"/>
        <w:u w:color="8B2270"/>
      </w:rPr>
    </w:lvl>
    <w:lvl w:ilvl="1" w:tplc="BE7047BA" w:tentative="1">
      <w:start w:val="1"/>
      <w:numFmt w:val="bullet"/>
      <w:lvlText w:val="o"/>
      <w:lvlJc w:val="left"/>
      <w:pPr>
        <w:ind w:left="1440" w:hanging="360"/>
      </w:pPr>
      <w:rPr>
        <w:rFonts w:ascii="Courier New" w:hAnsi="Courier New" w:cs="Courier New" w:hint="default"/>
      </w:rPr>
    </w:lvl>
    <w:lvl w:ilvl="2" w:tplc="162E4568" w:tentative="1">
      <w:start w:val="1"/>
      <w:numFmt w:val="bullet"/>
      <w:lvlText w:val=""/>
      <w:lvlJc w:val="left"/>
      <w:pPr>
        <w:ind w:left="2160" w:hanging="360"/>
      </w:pPr>
      <w:rPr>
        <w:rFonts w:ascii="Wingdings" w:hAnsi="Wingdings" w:hint="default"/>
      </w:rPr>
    </w:lvl>
    <w:lvl w:ilvl="3" w:tplc="FB020E2E" w:tentative="1">
      <w:start w:val="1"/>
      <w:numFmt w:val="bullet"/>
      <w:lvlText w:val=""/>
      <w:lvlJc w:val="left"/>
      <w:pPr>
        <w:ind w:left="2880" w:hanging="360"/>
      </w:pPr>
      <w:rPr>
        <w:rFonts w:ascii="Symbol" w:hAnsi="Symbol" w:hint="default"/>
      </w:rPr>
    </w:lvl>
    <w:lvl w:ilvl="4" w:tplc="7B68C354" w:tentative="1">
      <w:start w:val="1"/>
      <w:numFmt w:val="bullet"/>
      <w:lvlText w:val="o"/>
      <w:lvlJc w:val="left"/>
      <w:pPr>
        <w:ind w:left="3600" w:hanging="360"/>
      </w:pPr>
      <w:rPr>
        <w:rFonts w:ascii="Courier New" w:hAnsi="Courier New" w:cs="Courier New" w:hint="default"/>
      </w:rPr>
    </w:lvl>
    <w:lvl w:ilvl="5" w:tplc="247C13A6" w:tentative="1">
      <w:start w:val="1"/>
      <w:numFmt w:val="bullet"/>
      <w:lvlText w:val=""/>
      <w:lvlJc w:val="left"/>
      <w:pPr>
        <w:ind w:left="4320" w:hanging="360"/>
      </w:pPr>
      <w:rPr>
        <w:rFonts w:ascii="Wingdings" w:hAnsi="Wingdings" w:hint="default"/>
      </w:rPr>
    </w:lvl>
    <w:lvl w:ilvl="6" w:tplc="1B42F2E0" w:tentative="1">
      <w:start w:val="1"/>
      <w:numFmt w:val="bullet"/>
      <w:lvlText w:val=""/>
      <w:lvlJc w:val="left"/>
      <w:pPr>
        <w:ind w:left="5040" w:hanging="360"/>
      </w:pPr>
      <w:rPr>
        <w:rFonts w:ascii="Symbol" w:hAnsi="Symbol" w:hint="default"/>
      </w:rPr>
    </w:lvl>
    <w:lvl w:ilvl="7" w:tplc="1A243268" w:tentative="1">
      <w:start w:val="1"/>
      <w:numFmt w:val="bullet"/>
      <w:lvlText w:val="o"/>
      <w:lvlJc w:val="left"/>
      <w:pPr>
        <w:ind w:left="5760" w:hanging="360"/>
      </w:pPr>
      <w:rPr>
        <w:rFonts w:ascii="Courier New" w:hAnsi="Courier New" w:cs="Courier New" w:hint="default"/>
      </w:rPr>
    </w:lvl>
    <w:lvl w:ilvl="8" w:tplc="11FEB590"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19B227B6">
      <w:start w:val="1"/>
      <w:numFmt w:val="bullet"/>
      <w:pStyle w:val="NormalTablesListBullet"/>
      <w:lvlText w:val=""/>
      <w:lvlJc w:val="left"/>
      <w:pPr>
        <w:tabs>
          <w:tab w:val="num" w:pos="284"/>
        </w:tabs>
        <w:ind w:left="284" w:hanging="284"/>
      </w:pPr>
      <w:rPr>
        <w:rFonts w:ascii="Symbol" w:hAnsi="Symbol" w:hint="default"/>
      </w:rPr>
    </w:lvl>
    <w:lvl w:ilvl="1" w:tplc="FD50A1DC" w:tentative="1">
      <w:start w:val="1"/>
      <w:numFmt w:val="bullet"/>
      <w:lvlText w:val="o"/>
      <w:lvlJc w:val="left"/>
      <w:pPr>
        <w:ind w:left="1440" w:hanging="360"/>
      </w:pPr>
      <w:rPr>
        <w:rFonts w:ascii="Courier New" w:hAnsi="Courier New" w:cs="Courier New" w:hint="default"/>
      </w:rPr>
    </w:lvl>
    <w:lvl w:ilvl="2" w:tplc="0BD431F0" w:tentative="1">
      <w:start w:val="1"/>
      <w:numFmt w:val="bullet"/>
      <w:lvlText w:val=""/>
      <w:lvlJc w:val="left"/>
      <w:pPr>
        <w:ind w:left="2160" w:hanging="360"/>
      </w:pPr>
      <w:rPr>
        <w:rFonts w:ascii="Wingdings" w:hAnsi="Wingdings" w:hint="default"/>
      </w:rPr>
    </w:lvl>
    <w:lvl w:ilvl="3" w:tplc="113EBFA4" w:tentative="1">
      <w:start w:val="1"/>
      <w:numFmt w:val="bullet"/>
      <w:lvlText w:val=""/>
      <w:lvlJc w:val="left"/>
      <w:pPr>
        <w:ind w:left="2880" w:hanging="360"/>
      </w:pPr>
      <w:rPr>
        <w:rFonts w:ascii="Symbol" w:hAnsi="Symbol" w:hint="default"/>
      </w:rPr>
    </w:lvl>
    <w:lvl w:ilvl="4" w:tplc="B1A4918A" w:tentative="1">
      <w:start w:val="1"/>
      <w:numFmt w:val="bullet"/>
      <w:lvlText w:val="o"/>
      <w:lvlJc w:val="left"/>
      <w:pPr>
        <w:ind w:left="3600" w:hanging="360"/>
      </w:pPr>
      <w:rPr>
        <w:rFonts w:ascii="Courier New" w:hAnsi="Courier New" w:cs="Courier New" w:hint="default"/>
      </w:rPr>
    </w:lvl>
    <w:lvl w:ilvl="5" w:tplc="FB766808" w:tentative="1">
      <w:start w:val="1"/>
      <w:numFmt w:val="bullet"/>
      <w:lvlText w:val=""/>
      <w:lvlJc w:val="left"/>
      <w:pPr>
        <w:ind w:left="4320" w:hanging="360"/>
      </w:pPr>
      <w:rPr>
        <w:rFonts w:ascii="Wingdings" w:hAnsi="Wingdings" w:hint="default"/>
      </w:rPr>
    </w:lvl>
    <w:lvl w:ilvl="6" w:tplc="999A3942" w:tentative="1">
      <w:start w:val="1"/>
      <w:numFmt w:val="bullet"/>
      <w:lvlText w:val=""/>
      <w:lvlJc w:val="left"/>
      <w:pPr>
        <w:ind w:left="5040" w:hanging="360"/>
      </w:pPr>
      <w:rPr>
        <w:rFonts w:ascii="Symbol" w:hAnsi="Symbol" w:hint="default"/>
      </w:rPr>
    </w:lvl>
    <w:lvl w:ilvl="7" w:tplc="F23814A0" w:tentative="1">
      <w:start w:val="1"/>
      <w:numFmt w:val="bullet"/>
      <w:lvlText w:val="o"/>
      <w:lvlJc w:val="left"/>
      <w:pPr>
        <w:ind w:left="5760" w:hanging="360"/>
      </w:pPr>
      <w:rPr>
        <w:rFonts w:ascii="Courier New" w:hAnsi="Courier New" w:cs="Courier New" w:hint="default"/>
      </w:rPr>
    </w:lvl>
    <w:lvl w:ilvl="8" w:tplc="7B52821A"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BF5223E0">
      <w:start w:val="1"/>
      <w:numFmt w:val="bullet"/>
      <w:lvlText w:val=""/>
      <w:lvlJc w:val="left"/>
      <w:pPr>
        <w:tabs>
          <w:tab w:val="num" w:pos="360"/>
        </w:tabs>
        <w:ind w:left="360" w:hanging="360"/>
      </w:pPr>
      <w:rPr>
        <w:rFonts w:ascii="Symbol" w:hAnsi="Symbol" w:hint="default"/>
        <w:color w:val="8B2270" w:themeColor="accent3" w:themeShade="BF"/>
        <w:u w:color="8B2270"/>
      </w:rPr>
    </w:lvl>
    <w:lvl w:ilvl="1" w:tplc="9A22A326" w:tentative="1">
      <w:start w:val="1"/>
      <w:numFmt w:val="bullet"/>
      <w:lvlText w:val="o"/>
      <w:lvlJc w:val="left"/>
      <w:pPr>
        <w:ind w:left="1440" w:hanging="360"/>
      </w:pPr>
      <w:rPr>
        <w:rFonts w:ascii="Courier New" w:hAnsi="Courier New" w:cs="Courier New" w:hint="default"/>
      </w:rPr>
    </w:lvl>
    <w:lvl w:ilvl="2" w:tplc="9B1E5FA8" w:tentative="1">
      <w:start w:val="1"/>
      <w:numFmt w:val="bullet"/>
      <w:lvlText w:val=""/>
      <w:lvlJc w:val="left"/>
      <w:pPr>
        <w:ind w:left="2160" w:hanging="360"/>
      </w:pPr>
      <w:rPr>
        <w:rFonts w:ascii="Wingdings" w:hAnsi="Wingdings" w:hint="default"/>
      </w:rPr>
    </w:lvl>
    <w:lvl w:ilvl="3" w:tplc="2F202582" w:tentative="1">
      <w:start w:val="1"/>
      <w:numFmt w:val="bullet"/>
      <w:lvlText w:val=""/>
      <w:lvlJc w:val="left"/>
      <w:pPr>
        <w:ind w:left="2880" w:hanging="360"/>
      </w:pPr>
      <w:rPr>
        <w:rFonts w:ascii="Symbol" w:hAnsi="Symbol" w:hint="default"/>
      </w:rPr>
    </w:lvl>
    <w:lvl w:ilvl="4" w:tplc="6FE4F1B0" w:tentative="1">
      <w:start w:val="1"/>
      <w:numFmt w:val="bullet"/>
      <w:lvlText w:val="o"/>
      <w:lvlJc w:val="left"/>
      <w:pPr>
        <w:ind w:left="3600" w:hanging="360"/>
      </w:pPr>
      <w:rPr>
        <w:rFonts w:ascii="Courier New" w:hAnsi="Courier New" w:cs="Courier New" w:hint="default"/>
      </w:rPr>
    </w:lvl>
    <w:lvl w:ilvl="5" w:tplc="72FA5F8A" w:tentative="1">
      <w:start w:val="1"/>
      <w:numFmt w:val="bullet"/>
      <w:lvlText w:val=""/>
      <w:lvlJc w:val="left"/>
      <w:pPr>
        <w:ind w:left="4320" w:hanging="360"/>
      </w:pPr>
      <w:rPr>
        <w:rFonts w:ascii="Wingdings" w:hAnsi="Wingdings" w:hint="default"/>
      </w:rPr>
    </w:lvl>
    <w:lvl w:ilvl="6" w:tplc="A8181274" w:tentative="1">
      <w:start w:val="1"/>
      <w:numFmt w:val="bullet"/>
      <w:lvlText w:val=""/>
      <w:lvlJc w:val="left"/>
      <w:pPr>
        <w:ind w:left="5040" w:hanging="360"/>
      </w:pPr>
      <w:rPr>
        <w:rFonts w:ascii="Symbol" w:hAnsi="Symbol" w:hint="default"/>
      </w:rPr>
    </w:lvl>
    <w:lvl w:ilvl="7" w:tplc="437A1616" w:tentative="1">
      <w:start w:val="1"/>
      <w:numFmt w:val="bullet"/>
      <w:lvlText w:val="o"/>
      <w:lvlJc w:val="left"/>
      <w:pPr>
        <w:ind w:left="5760" w:hanging="360"/>
      </w:pPr>
      <w:rPr>
        <w:rFonts w:ascii="Courier New" w:hAnsi="Courier New" w:cs="Courier New" w:hint="default"/>
      </w:rPr>
    </w:lvl>
    <w:lvl w:ilvl="8" w:tplc="C5108CA8"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9BF6D3FA">
      <w:start w:val="1"/>
      <w:numFmt w:val="bullet"/>
      <w:lvlText w:val=""/>
      <w:lvlJc w:val="left"/>
      <w:pPr>
        <w:tabs>
          <w:tab w:val="num" w:pos="284"/>
        </w:tabs>
        <w:ind w:left="284" w:hanging="284"/>
      </w:pPr>
      <w:rPr>
        <w:rFonts w:ascii="Symbol" w:hAnsi="Symbol" w:hint="default"/>
        <w:color w:val="8B2270" w:themeColor="accent3" w:themeShade="BF"/>
        <w:u w:color="8B2270"/>
      </w:rPr>
    </w:lvl>
    <w:lvl w:ilvl="1" w:tplc="95681F0A" w:tentative="1">
      <w:start w:val="1"/>
      <w:numFmt w:val="bullet"/>
      <w:lvlText w:val="o"/>
      <w:lvlJc w:val="left"/>
      <w:pPr>
        <w:ind w:left="1440" w:hanging="360"/>
      </w:pPr>
      <w:rPr>
        <w:rFonts w:ascii="Courier New" w:hAnsi="Courier New" w:cs="Courier New" w:hint="default"/>
      </w:rPr>
    </w:lvl>
    <w:lvl w:ilvl="2" w:tplc="110A036E" w:tentative="1">
      <w:start w:val="1"/>
      <w:numFmt w:val="bullet"/>
      <w:lvlText w:val=""/>
      <w:lvlJc w:val="left"/>
      <w:pPr>
        <w:ind w:left="2160" w:hanging="360"/>
      </w:pPr>
      <w:rPr>
        <w:rFonts w:ascii="Wingdings" w:hAnsi="Wingdings" w:hint="default"/>
      </w:rPr>
    </w:lvl>
    <w:lvl w:ilvl="3" w:tplc="D6F038CA" w:tentative="1">
      <w:start w:val="1"/>
      <w:numFmt w:val="bullet"/>
      <w:lvlText w:val=""/>
      <w:lvlJc w:val="left"/>
      <w:pPr>
        <w:ind w:left="2880" w:hanging="360"/>
      </w:pPr>
      <w:rPr>
        <w:rFonts w:ascii="Symbol" w:hAnsi="Symbol" w:hint="default"/>
      </w:rPr>
    </w:lvl>
    <w:lvl w:ilvl="4" w:tplc="29ECA986" w:tentative="1">
      <w:start w:val="1"/>
      <w:numFmt w:val="bullet"/>
      <w:lvlText w:val="o"/>
      <w:lvlJc w:val="left"/>
      <w:pPr>
        <w:ind w:left="3600" w:hanging="360"/>
      </w:pPr>
      <w:rPr>
        <w:rFonts w:ascii="Courier New" w:hAnsi="Courier New" w:cs="Courier New" w:hint="default"/>
      </w:rPr>
    </w:lvl>
    <w:lvl w:ilvl="5" w:tplc="04941F04" w:tentative="1">
      <w:start w:val="1"/>
      <w:numFmt w:val="bullet"/>
      <w:lvlText w:val=""/>
      <w:lvlJc w:val="left"/>
      <w:pPr>
        <w:ind w:left="4320" w:hanging="360"/>
      </w:pPr>
      <w:rPr>
        <w:rFonts w:ascii="Wingdings" w:hAnsi="Wingdings" w:hint="default"/>
      </w:rPr>
    </w:lvl>
    <w:lvl w:ilvl="6" w:tplc="50A08944" w:tentative="1">
      <w:start w:val="1"/>
      <w:numFmt w:val="bullet"/>
      <w:lvlText w:val=""/>
      <w:lvlJc w:val="left"/>
      <w:pPr>
        <w:ind w:left="5040" w:hanging="360"/>
      </w:pPr>
      <w:rPr>
        <w:rFonts w:ascii="Symbol" w:hAnsi="Symbol" w:hint="default"/>
      </w:rPr>
    </w:lvl>
    <w:lvl w:ilvl="7" w:tplc="A0EE6BCC" w:tentative="1">
      <w:start w:val="1"/>
      <w:numFmt w:val="bullet"/>
      <w:lvlText w:val="o"/>
      <w:lvlJc w:val="left"/>
      <w:pPr>
        <w:ind w:left="5760" w:hanging="360"/>
      </w:pPr>
      <w:rPr>
        <w:rFonts w:ascii="Courier New" w:hAnsi="Courier New" w:cs="Courier New" w:hint="default"/>
      </w:rPr>
    </w:lvl>
    <w:lvl w:ilvl="8" w:tplc="CA0496AC"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F108801E">
      <w:start w:val="1"/>
      <w:numFmt w:val="bullet"/>
      <w:lvlText w:val=""/>
      <w:lvlJc w:val="left"/>
      <w:pPr>
        <w:tabs>
          <w:tab w:val="num" w:pos="284"/>
        </w:tabs>
        <w:ind w:left="284" w:hanging="284"/>
      </w:pPr>
      <w:rPr>
        <w:rFonts w:ascii="Symbol" w:hAnsi="Symbol" w:hint="default"/>
        <w:color w:val="8B2270" w:themeColor="accent3" w:themeShade="BF"/>
        <w:u w:color="8B2270"/>
      </w:rPr>
    </w:lvl>
    <w:lvl w:ilvl="1" w:tplc="77821086" w:tentative="1">
      <w:start w:val="1"/>
      <w:numFmt w:val="bullet"/>
      <w:lvlText w:val="o"/>
      <w:lvlJc w:val="left"/>
      <w:pPr>
        <w:ind w:left="1440" w:hanging="360"/>
      </w:pPr>
      <w:rPr>
        <w:rFonts w:ascii="Courier New" w:hAnsi="Courier New" w:cs="Courier New" w:hint="default"/>
      </w:rPr>
    </w:lvl>
    <w:lvl w:ilvl="2" w:tplc="3980671E" w:tentative="1">
      <w:start w:val="1"/>
      <w:numFmt w:val="bullet"/>
      <w:lvlText w:val=""/>
      <w:lvlJc w:val="left"/>
      <w:pPr>
        <w:ind w:left="2160" w:hanging="360"/>
      </w:pPr>
      <w:rPr>
        <w:rFonts w:ascii="Wingdings" w:hAnsi="Wingdings" w:hint="default"/>
      </w:rPr>
    </w:lvl>
    <w:lvl w:ilvl="3" w:tplc="6D222E94" w:tentative="1">
      <w:start w:val="1"/>
      <w:numFmt w:val="bullet"/>
      <w:lvlText w:val=""/>
      <w:lvlJc w:val="left"/>
      <w:pPr>
        <w:ind w:left="2880" w:hanging="360"/>
      </w:pPr>
      <w:rPr>
        <w:rFonts w:ascii="Symbol" w:hAnsi="Symbol" w:hint="default"/>
      </w:rPr>
    </w:lvl>
    <w:lvl w:ilvl="4" w:tplc="54409B3C" w:tentative="1">
      <w:start w:val="1"/>
      <w:numFmt w:val="bullet"/>
      <w:lvlText w:val="o"/>
      <w:lvlJc w:val="left"/>
      <w:pPr>
        <w:ind w:left="3600" w:hanging="360"/>
      </w:pPr>
      <w:rPr>
        <w:rFonts w:ascii="Courier New" w:hAnsi="Courier New" w:cs="Courier New" w:hint="default"/>
      </w:rPr>
    </w:lvl>
    <w:lvl w:ilvl="5" w:tplc="C32ABC6C" w:tentative="1">
      <w:start w:val="1"/>
      <w:numFmt w:val="bullet"/>
      <w:lvlText w:val=""/>
      <w:lvlJc w:val="left"/>
      <w:pPr>
        <w:ind w:left="4320" w:hanging="360"/>
      </w:pPr>
      <w:rPr>
        <w:rFonts w:ascii="Wingdings" w:hAnsi="Wingdings" w:hint="default"/>
      </w:rPr>
    </w:lvl>
    <w:lvl w:ilvl="6" w:tplc="16F04A4C" w:tentative="1">
      <w:start w:val="1"/>
      <w:numFmt w:val="bullet"/>
      <w:lvlText w:val=""/>
      <w:lvlJc w:val="left"/>
      <w:pPr>
        <w:ind w:left="5040" w:hanging="360"/>
      </w:pPr>
      <w:rPr>
        <w:rFonts w:ascii="Symbol" w:hAnsi="Symbol" w:hint="default"/>
      </w:rPr>
    </w:lvl>
    <w:lvl w:ilvl="7" w:tplc="CFCC778C" w:tentative="1">
      <w:start w:val="1"/>
      <w:numFmt w:val="bullet"/>
      <w:lvlText w:val="o"/>
      <w:lvlJc w:val="left"/>
      <w:pPr>
        <w:ind w:left="5760" w:hanging="360"/>
      </w:pPr>
      <w:rPr>
        <w:rFonts w:ascii="Courier New" w:hAnsi="Courier New" w:cs="Courier New" w:hint="default"/>
      </w:rPr>
    </w:lvl>
    <w:lvl w:ilvl="8" w:tplc="D98670EC"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343AEFEC">
      <w:start w:val="1"/>
      <w:numFmt w:val="bullet"/>
      <w:lvlText w:val=""/>
      <w:lvlJc w:val="left"/>
      <w:pPr>
        <w:tabs>
          <w:tab w:val="num" w:pos="360"/>
        </w:tabs>
        <w:ind w:left="360" w:hanging="360"/>
      </w:pPr>
      <w:rPr>
        <w:rFonts w:ascii="Symbol" w:hAnsi="Symbol" w:hint="default"/>
        <w:color w:val="8B2270" w:themeColor="accent3" w:themeShade="BF"/>
        <w:u w:color="8B2270"/>
      </w:rPr>
    </w:lvl>
    <w:lvl w:ilvl="1" w:tplc="E632921C" w:tentative="1">
      <w:start w:val="1"/>
      <w:numFmt w:val="bullet"/>
      <w:lvlText w:val="o"/>
      <w:lvlJc w:val="left"/>
      <w:pPr>
        <w:ind w:left="1440" w:hanging="360"/>
      </w:pPr>
      <w:rPr>
        <w:rFonts w:ascii="Courier New" w:hAnsi="Courier New" w:cs="Courier New" w:hint="default"/>
      </w:rPr>
    </w:lvl>
    <w:lvl w:ilvl="2" w:tplc="C9D44AA2" w:tentative="1">
      <w:start w:val="1"/>
      <w:numFmt w:val="bullet"/>
      <w:lvlText w:val=""/>
      <w:lvlJc w:val="left"/>
      <w:pPr>
        <w:ind w:left="2160" w:hanging="360"/>
      </w:pPr>
      <w:rPr>
        <w:rFonts w:ascii="Wingdings" w:hAnsi="Wingdings" w:hint="default"/>
      </w:rPr>
    </w:lvl>
    <w:lvl w:ilvl="3" w:tplc="BB8C753A" w:tentative="1">
      <w:start w:val="1"/>
      <w:numFmt w:val="bullet"/>
      <w:lvlText w:val=""/>
      <w:lvlJc w:val="left"/>
      <w:pPr>
        <w:ind w:left="2880" w:hanging="360"/>
      </w:pPr>
      <w:rPr>
        <w:rFonts w:ascii="Symbol" w:hAnsi="Symbol" w:hint="default"/>
      </w:rPr>
    </w:lvl>
    <w:lvl w:ilvl="4" w:tplc="D744F304" w:tentative="1">
      <w:start w:val="1"/>
      <w:numFmt w:val="bullet"/>
      <w:lvlText w:val="o"/>
      <w:lvlJc w:val="left"/>
      <w:pPr>
        <w:ind w:left="3600" w:hanging="360"/>
      </w:pPr>
      <w:rPr>
        <w:rFonts w:ascii="Courier New" w:hAnsi="Courier New" w:cs="Courier New" w:hint="default"/>
      </w:rPr>
    </w:lvl>
    <w:lvl w:ilvl="5" w:tplc="82EC396E" w:tentative="1">
      <w:start w:val="1"/>
      <w:numFmt w:val="bullet"/>
      <w:lvlText w:val=""/>
      <w:lvlJc w:val="left"/>
      <w:pPr>
        <w:ind w:left="4320" w:hanging="360"/>
      </w:pPr>
      <w:rPr>
        <w:rFonts w:ascii="Wingdings" w:hAnsi="Wingdings" w:hint="default"/>
      </w:rPr>
    </w:lvl>
    <w:lvl w:ilvl="6" w:tplc="86A4EA5C" w:tentative="1">
      <w:start w:val="1"/>
      <w:numFmt w:val="bullet"/>
      <w:lvlText w:val=""/>
      <w:lvlJc w:val="left"/>
      <w:pPr>
        <w:ind w:left="5040" w:hanging="360"/>
      </w:pPr>
      <w:rPr>
        <w:rFonts w:ascii="Symbol" w:hAnsi="Symbol" w:hint="default"/>
      </w:rPr>
    </w:lvl>
    <w:lvl w:ilvl="7" w:tplc="5C6E3F40" w:tentative="1">
      <w:start w:val="1"/>
      <w:numFmt w:val="bullet"/>
      <w:lvlText w:val="o"/>
      <w:lvlJc w:val="left"/>
      <w:pPr>
        <w:ind w:left="5760" w:hanging="360"/>
      </w:pPr>
      <w:rPr>
        <w:rFonts w:ascii="Courier New" w:hAnsi="Courier New" w:cs="Courier New" w:hint="default"/>
      </w:rPr>
    </w:lvl>
    <w:lvl w:ilvl="8" w:tplc="DB4A31D0"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8676CFF6">
      <w:start w:val="1"/>
      <w:numFmt w:val="bullet"/>
      <w:lvlText w:val=""/>
      <w:lvlJc w:val="left"/>
      <w:pPr>
        <w:tabs>
          <w:tab w:val="num" w:pos="360"/>
        </w:tabs>
        <w:ind w:left="360" w:hanging="360"/>
      </w:pPr>
      <w:rPr>
        <w:rFonts w:ascii="Symbol" w:hAnsi="Symbol" w:hint="default"/>
        <w:color w:val="8B2270" w:themeColor="accent3" w:themeShade="BF"/>
        <w:u w:color="8B2270"/>
      </w:rPr>
    </w:lvl>
    <w:lvl w:ilvl="1" w:tplc="C082C952" w:tentative="1">
      <w:start w:val="1"/>
      <w:numFmt w:val="bullet"/>
      <w:lvlText w:val="o"/>
      <w:lvlJc w:val="left"/>
      <w:pPr>
        <w:ind w:left="1440" w:hanging="360"/>
      </w:pPr>
      <w:rPr>
        <w:rFonts w:ascii="Courier New" w:hAnsi="Courier New" w:cs="Courier New" w:hint="default"/>
      </w:rPr>
    </w:lvl>
    <w:lvl w:ilvl="2" w:tplc="DA14E8B8" w:tentative="1">
      <w:start w:val="1"/>
      <w:numFmt w:val="bullet"/>
      <w:lvlText w:val=""/>
      <w:lvlJc w:val="left"/>
      <w:pPr>
        <w:ind w:left="2160" w:hanging="360"/>
      </w:pPr>
      <w:rPr>
        <w:rFonts w:ascii="Wingdings" w:hAnsi="Wingdings" w:hint="default"/>
      </w:rPr>
    </w:lvl>
    <w:lvl w:ilvl="3" w:tplc="802E08A4" w:tentative="1">
      <w:start w:val="1"/>
      <w:numFmt w:val="bullet"/>
      <w:lvlText w:val=""/>
      <w:lvlJc w:val="left"/>
      <w:pPr>
        <w:ind w:left="2880" w:hanging="360"/>
      </w:pPr>
      <w:rPr>
        <w:rFonts w:ascii="Symbol" w:hAnsi="Symbol" w:hint="default"/>
      </w:rPr>
    </w:lvl>
    <w:lvl w:ilvl="4" w:tplc="F858C954" w:tentative="1">
      <w:start w:val="1"/>
      <w:numFmt w:val="bullet"/>
      <w:lvlText w:val="o"/>
      <w:lvlJc w:val="left"/>
      <w:pPr>
        <w:ind w:left="3600" w:hanging="360"/>
      </w:pPr>
      <w:rPr>
        <w:rFonts w:ascii="Courier New" w:hAnsi="Courier New" w:cs="Courier New" w:hint="default"/>
      </w:rPr>
    </w:lvl>
    <w:lvl w:ilvl="5" w:tplc="17FC6926" w:tentative="1">
      <w:start w:val="1"/>
      <w:numFmt w:val="bullet"/>
      <w:lvlText w:val=""/>
      <w:lvlJc w:val="left"/>
      <w:pPr>
        <w:ind w:left="4320" w:hanging="360"/>
      </w:pPr>
      <w:rPr>
        <w:rFonts w:ascii="Wingdings" w:hAnsi="Wingdings" w:hint="default"/>
      </w:rPr>
    </w:lvl>
    <w:lvl w:ilvl="6" w:tplc="7560705C" w:tentative="1">
      <w:start w:val="1"/>
      <w:numFmt w:val="bullet"/>
      <w:lvlText w:val=""/>
      <w:lvlJc w:val="left"/>
      <w:pPr>
        <w:ind w:left="5040" w:hanging="360"/>
      </w:pPr>
      <w:rPr>
        <w:rFonts w:ascii="Symbol" w:hAnsi="Symbol" w:hint="default"/>
      </w:rPr>
    </w:lvl>
    <w:lvl w:ilvl="7" w:tplc="E22A2306" w:tentative="1">
      <w:start w:val="1"/>
      <w:numFmt w:val="bullet"/>
      <w:lvlText w:val="o"/>
      <w:lvlJc w:val="left"/>
      <w:pPr>
        <w:ind w:left="5760" w:hanging="360"/>
      </w:pPr>
      <w:rPr>
        <w:rFonts w:ascii="Courier New" w:hAnsi="Courier New" w:cs="Courier New" w:hint="default"/>
      </w:rPr>
    </w:lvl>
    <w:lvl w:ilvl="8" w:tplc="F2AE9CA0"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9E221538">
      <w:start w:val="1"/>
      <w:numFmt w:val="bullet"/>
      <w:lvlText w:val=""/>
      <w:lvlJc w:val="left"/>
      <w:pPr>
        <w:tabs>
          <w:tab w:val="num" w:pos="284"/>
        </w:tabs>
        <w:ind w:left="284" w:hanging="284"/>
      </w:pPr>
      <w:rPr>
        <w:rFonts w:ascii="Symbol" w:hAnsi="Symbol" w:hint="default"/>
        <w:color w:val="8B2270" w:themeColor="accent3" w:themeShade="BF"/>
        <w:u w:color="8B2270"/>
      </w:rPr>
    </w:lvl>
    <w:lvl w:ilvl="1" w:tplc="72521608" w:tentative="1">
      <w:start w:val="1"/>
      <w:numFmt w:val="bullet"/>
      <w:lvlText w:val="o"/>
      <w:lvlJc w:val="left"/>
      <w:pPr>
        <w:ind w:left="1440" w:hanging="360"/>
      </w:pPr>
      <w:rPr>
        <w:rFonts w:ascii="Courier New" w:hAnsi="Courier New" w:cs="Courier New" w:hint="default"/>
      </w:rPr>
    </w:lvl>
    <w:lvl w:ilvl="2" w:tplc="9EE8DBA4" w:tentative="1">
      <w:start w:val="1"/>
      <w:numFmt w:val="bullet"/>
      <w:lvlText w:val=""/>
      <w:lvlJc w:val="left"/>
      <w:pPr>
        <w:ind w:left="2160" w:hanging="360"/>
      </w:pPr>
      <w:rPr>
        <w:rFonts w:ascii="Wingdings" w:hAnsi="Wingdings" w:hint="default"/>
      </w:rPr>
    </w:lvl>
    <w:lvl w:ilvl="3" w:tplc="D2EC6100" w:tentative="1">
      <w:start w:val="1"/>
      <w:numFmt w:val="bullet"/>
      <w:lvlText w:val=""/>
      <w:lvlJc w:val="left"/>
      <w:pPr>
        <w:ind w:left="2880" w:hanging="360"/>
      </w:pPr>
      <w:rPr>
        <w:rFonts w:ascii="Symbol" w:hAnsi="Symbol" w:hint="default"/>
      </w:rPr>
    </w:lvl>
    <w:lvl w:ilvl="4" w:tplc="C0DEB7A4" w:tentative="1">
      <w:start w:val="1"/>
      <w:numFmt w:val="bullet"/>
      <w:lvlText w:val="o"/>
      <w:lvlJc w:val="left"/>
      <w:pPr>
        <w:ind w:left="3600" w:hanging="360"/>
      </w:pPr>
      <w:rPr>
        <w:rFonts w:ascii="Courier New" w:hAnsi="Courier New" w:cs="Courier New" w:hint="default"/>
      </w:rPr>
    </w:lvl>
    <w:lvl w:ilvl="5" w:tplc="ADDAF2BC" w:tentative="1">
      <w:start w:val="1"/>
      <w:numFmt w:val="bullet"/>
      <w:lvlText w:val=""/>
      <w:lvlJc w:val="left"/>
      <w:pPr>
        <w:ind w:left="4320" w:hanging="360"/>
      </w:pPr>
      <w:rPr>
        <w:rFonts w:ascii="Wingdings" w:hAnsi="Wingdings" w:hint="default"/>
      </w:rPr>
    </w:lvl>
    <w:lvl w:ilvl="6" w:tplc="DBCA9456" w:tentative="1">
      <w:start w:val="1"/>
      <w:numFmt w:val="bullet"/>
      <w:lvlText w:val=""/>
      <w:lvlJc w:val="left"/>
      <w:pPr>
        <w:ind w:left="5040" w:hanging="360"/>
      </w:pPr>
      <w:rPr>
        <w:rFonts w:ascii="Symbol" w:hAnsi="Symbol" w:hint="default"/>
      </w:rPr>
    </w:lvl>
    <w:lvl w:ilvl="7" w:tplc="3AE2653A" w:tentative="1">
      <w:start w:val="1"/>
      <w:numFmt w:val="bullet"/>
      <w:lvlText w:val="o"/>
      <w:lvlJc w:val="left"/>
      <w:pPr>
        <w:ind w:left="5760" w:hanging="360"/>
      </w:pPr>
      <w:rPr>
        <w:rFonts w:ascii="Courier New" w:hAnsi="Courier New" w:cs="Courier New" w:hint="default"/>
      </w:rPr>
    </w:lvl>
    <w:lvl w:ilvl="8" w:tplc="D99E1198"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06A64F70">
      <w:start w:val="1"/>
      <w:numFmt w:val="bullet"/>
      <w:lvlText w:val=""/>
      <w:lvlJc w:val="left"/>
      <w:pPr>
        <w:tabs>
          <w:tab w:val="num" w:pos="360"/>
        </w:tabs>
        <w:ind w:left="360" w:hanging="360"/>
      </w:pPr>
      <w:rPr>
        <w:rFonts w:ascii="Symbol" w:hAnsi="Symbol" w:hint="default"/>
        <w:color w:val="8B2270" w:themeColor="accent3" w:themeShade="BF"/>
        <w:u w:color="8B2270"/>
      </w:rPr>
    </w:lvl>
    <w:lvl w:ilvl="1" w:tplc="FD86AAF8" w:tentative="1">
      <w:start w:val="1"/>
      <w:numFmt w:val="bullet"/>
      <w:lvlText w:val="o"/>
      <w:lvlJc w:val="left"/>
      <w:pPr>
        <w:ind w:left="1440" w:hanging="360"/>
      </w:pPr>
      <w:rPr>
        <w:rFonts w:ascii="Courier New" w:hAnsi="Courier New" w:cs="Courier New" w:hint="default"/>
      </w:rPr>
    </w:lvl>
    <w:lvl w:ilvl="2" w:tplc="9CC6E9CE" w:tentative="1">
      <w:start w:val="1"/>
      <w:numFmt w:val="bullet"/>
      <w:lvlText w:val=""/>
      <w:lvlJc w:val="left"/>
      <w:pPr>
        <w:ind w:left="2160" w:hanging="360"/>
      </w:pPr>
      <w:rPr>
        <w:rFonts w:ascii="Wingdings" w:hAnsi="Wingdings" w:hint="default"/>
      </w:rPr>
    </w:lvl>
    <w:lvl w:ilvl="3" w:tplc="3AF42AB8" w:tentative="1">
      <w:start w:val="1"/>
      <w:numFmt w:val="bullet"/>
      <w:lvlText w:val=""/>
      <w:lvlJc w:val="left"/>
      <w:pPr>
        <w:ind w:left="2880" w:hanging="360"/>
      </w:pPr>
      <w:rPr>
        <w:rFonts w:ascii="Symbol" w:hAnsi="Symbol" w:hint="default"/>
      </w:rPr>
    </w:lvl>
    <w:lvl w:ilvl="4" w:tplc="2C1EC400" w:tentative="1">
      <w:start w:val="1"/>
      <w:numFmt w:val="bullet"/>
      <w:lvlText w:val="o"/>
      <w:lvlJc w:val="left"/>
      <w:pPr>
        <w:ind w:left="3600" w:hanging="360"/>
      </w:pPr>
      <w:rPr>
        <w:rFonts w:ascii="Courier New" w:hAnsi="Courier New" w:cs="Courier New" w:hint="default"/>
      </w:rPr>
    </w:lvl>
    <w:lvl w:ilvl="5" w:tplc="DBF6103E" w:tentative="1">
      <w:start w:val="1"/>
      <w:numFmt w:val="bullet"/>
      <w:lvlText w:val=""/>
      <w:lvlJc w:val="left"/>
      <w:pPr>
        <w:ind w:left="4320" w:hanging="360"/>
      </w:pPr>
      <w:rPr>
        <w:rFonts w:ascii="Wingdings" w:hAnsi="Wingdings" w:hint="default"/>
      </w:rPr>
    </w:lvl>
    <w:lvl w:ilvl="6" w:tplc="59441884" w:tentative="1">
      <w:start w:val="1"/>
      <w:numFmt w:val="bullet"/>
      <w:lvlText w:val=""/>
      <w:lvlJc w:val="left"/>
      <w:pPr>
        <w:ind w:left="5040" w:hanging="360"/>
      </w:pPr>
      <w:rPr>
        <w:rFonts w:ascii="Symbol" w:hAnsi="Symbol" w:hint="default"/>
      </w:rPr>
    </w:lvl>
    <w:lvl w:ilvl="7" w:tplc="F572CD0A" w:tentative="1">
      <w:start w:val="1"/>
      <w:numFmt w:val="bullet"/>
      <w:lvlText w:val="o"/>
      <w:lvlJc w:val="left"/>
      <w:pPr>
        <w:ind w:left="5760" w:hanging="360"/>
      </w:pPr>
      <w:rPr>
        <w:rFonts w:ascii="Courier New" w:hAnsi="Courier New" w:cs="Courier New" w:hint="default"/>
      </w:rPr>
    </w:lvl>
    <w:lvl w:ilvl="8" w:tplc="7B1C7122"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0DEEC9BE">
      <w:start w:val="1"/>
      <w:numFmt w:val="bullet"/>
      <w:lvlText w:val=""/>
      <w:lvlJc w:val="left"/>
      <w:pPr>
        <w:tabs>
          <w:tab w:val="num" w:pos="360"/>
        </w:tabs>
        <w:ind w:left="360" w:hanging="360"/>
      </w:pPr>
      <w:rPr>
        <w:rFonts w:ascii="Symbol" w:hAnsi="Symbol" w:hint="default"/>
        <w:color w:val="8B2270" w:themeColor="accent3" w:themeShade="BF"/>
        <w:u w:color="8B2270"/>
      </w:rPr>
    </w:lvl>
    <w:lvl w:ilvl="1" w:tplc="104486B8" w:tentative="1">
      <w:start w:val="1"/>
      <w:numFmt w:val="bullet"/>
      <w:lvlText w:val="o"/>
      <w:lvlJc w:val="left"/>
      <w:pPr>
        <w:ind w:left="1440" w:hanging="360"/>
      </w:pPr>
      <w:rPr>
        <w:rFonts w:ascii="Courier New" w:hAnsi="Courier New" w:cs="Courier New" w:hint="default"/>
      </w:rPr>
    </w:lvl>
    <w:lvl w:ilvl="2" w:tplc="E58EF526" w:tentative="1">
      <w:start w:val="1"/>
      <w:numFmt w:val="bullet"/>
      <w:lvlText w:val=""/>
      <w:lvlJc w:val="left"/>
      <w:pPr>
        <w:ind w:left="2160" w:hanging="360"/>
      </w:pPr>
      <w:rPr>
        <w:rFonts w:ascii="Wingdings" w:hAnsi="Wingdings" w:hint="default"/>
      </w:rPr>
    </w:lvl>
    <w:lvl w:ilvl="3" w:tplc="3678122C" w:tentative="1">
      <w:start w:val="1"/>
      <w:numFmt w:val="bullet"/>
      <w:lvlText w:val=""/>
      <w:lvlJc w:val="left"/>
      <w:pPr>
        <w:ind w:left="2880" w:hanging="360"/>
      </w:pPr>
      <w:rPr>
        <w:rFonts w:ascii="Symbol" w:hAnsi="Symbol" w:hint="default"/>
      </w:rPr>
    </w:lvl>
    <w:lvl w:ilvl="4" w:tplc="8CBA262E" w:tentative="1">
      <w:start w:val="1"/>
      <w:numFmt w:val="bullet"/>
      <w:lvlText w:val="o"/>
      <w:lvlJc w:val="left"/>
      <w:pPr>
        <w:ind w:left="3600" w:hanging="360"/>
      </w:pPr>
      <w:rPr>
        <w:rFonts w:ascii="Courier New" w:hAnsi="Courier New" w:cs="Courier New" w:hint="default"/>
      </w:rPr>
    </w:lvl>
    <w:lvl w:ilvl="5" w:tplc="396091F2" w:tentative="1">
      <w:start w:val="1"/>
      <w:numFmt w:val="bullet"/>
      <w:lvlText w:val=""/>
      <w:lvlJc w:val="left"/>
      <w:pPr>
        <w:ind w:left="4320" w:hanging="360"/>
      </w:pPr>
      <w:rPr>
        <w:rFonts w:ascii="Wingdings" w:hAnsi="Wingdings" w:hint="default"/>
      </w:rPr>
    </w:lvl>
    <w:lvl w:ilvl="6" w:tplc="602E1ADA" w:tentative="1">
      <w:start w:val="1"/>
      <w:numFmt w:val="bullet"/>
      <w:lvlText w:val=""/>
      <w:lvlJc w:val="left"/>
      <w:pPr>
        <w:ind w:left="5040" w:hanging="360"/>
      </w:pPr>
      <w:rPr>
        <w:rFonts w:ascii="Symbol" w:hAnsi="Symbol" w:hint="default"/>
      </w:rPr>
    </w:lvl>
    <w:lvl w:ilvl="7" w:tplc="85E07218" w:tentative="1">
      <w:start w:val="1"/>
      <w:numFmt w:val="bullet"/>
      <w:lvlText w:val="o"/>
      <w:lvlJc w:val="left"/>
      <w:pPr>
        <w:ind w:left="5760" w:hanging="360"/>
      </w:pPr>
      <w:rPr>
        <w:rFonts w:ascii="Courier New" w:hAnsi="Courier New" w:cs="Courier New" w:hint="default"/>
      </w:rPr>
    </w:lvl>
    <w:lvl w:ilvl="8" w:tplc="8F5C676C"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EDF8E8E8">
      <w:start w:val="1"/>
      <w:numFmt w:val="bullet"/>
      <w:lvlText w:val=""/>
      <w:lvlJc w:val="left"/>
      <w:pPr>
        <w:tabs>
          <w:tab w:val="num" w:pos="284"/>
        </w:tabs>
        <w:ind w:left="284" w:hanging="284"/>
      </w:pPr>
      <w:rPr>
        <w:rFonts w:ascii="Symbol" w:hAnsi="Symbol" w:hint="default"/>
        <w:color w:val="8B2270" w:themeColor="accent3" w:themeShade="BF"/>
        <w:u w:color="8B2270"/>
      </w:rPr>
    </w:lvl>
    <w:lvl w:ilvl="1" w:tplc="A6CEDD72" w:tentative="1">
      <w:start w:val="1"/>
      <w:numFmt w:val="bullet"/>
      <w:lvlText w:val="o"/>
      <w:lvlJc w:val="left"/>
      <w:pPr>
        <w:ind w:left="1440" w:hanging="360"/>
      </w:pPr>
      <w:rPr>
        <w:rFonts w:ascii="Courier New" w:hAnsi="Courier New" w:cs="Courier New" w:hint="default"/>
      </w:rPr>
    </w:lvl>
    <w:lvl w:ilvl="2" w:tplc="14207854" w:tentative="1">
      <w:start w:val="1"/>
      <w:numFmt w:val="bullet"/>
      <w:lvlText w:val=""/>
      <w:lvlJc w:val="left"/>
      <w:pPr>
        <w:ind w:left="2160" w:hanging="360"/>
      </w:pPr>
      <w:rPr>
        <w:rFonts w:ascii="Wingdings" w:hAnsi="Wingdings" w:hint="default"/>
      </w:rPr>
    </w:lvl>
    <w:lvl w:ilvl="3" w:tplc="ACE2C716" w:tentative="1">
      <w:start w:val="1"/>
      <w:numFmt w:val="bullet"/>
      <w:lvlText w:val=""/>
      <w:lvlJc w:val="left"/>
      <w:pPr>
        <w:ind w:left="2880" w:hanging="360"/>
      </w:pPr>
      <w:rPr>
        <w:rFonts w:ascii="Symbol" w:hAnsi="Symbol" w:hint="default"/>
      </w:rPr>
    </w:lvl>
    <w:lvl w:ilvl="4" w:tplc="43BCE5A6" w:tentative="1">
      <w:start w:val="1"/>
      <w:numFmt w:val="bullet"/>
      <w:lvlText w:val="o"/>
      <w:lvlJc w:val="left"/>
      <w:pPr>
        <w:ind w:left="3600" w:hanging="360"/>
      </w:pPr>
      <w:rPr>
        <w:rFonts w:ascii="Courier New" w:hAnsi="Courier New" w:cs="Courier New" w:hint="default"/>
      </w:rPr>
    </w:lvl>
    <w:lvl w:ilvl="5" w:tplc="963AC912" w:tentative="1">
      <w:start w:val="1"/>
      <w:numFmt w:val="bullet"/>
      <w:lvlText w:val=""/>
      <w:lvlJc w:val="left"/>
      <w:pPr>
        <w:ind w:left="4320" w:hanging="360"/>
      </w:pPr>
      <w:rPr>
        <w:rFonts w:ascii="Wingdings" w:hAnsi="Wingdings" w:hint="default"/>
      </w:rPr>
    </w:lvl>
    <w:lvl w:ilvl="6" w:tplc="348E9892" w:tentative="1">
      <w:start w:val="1"/>
      <w:numFmt w:val="bullet"/>
      <w:lvlText w:val=""/>
      <w:lvlJc w:val="left"/>
      <w:pPr>
        <w:ind w:left="5040" w:hanging="360"/>
      </w:pPr>
      <w:rPr>
        <w:rFonts w:ascii="Symbol" w:hAnsi="Symbol" w:hint="default"/>
      </w:rPr>
    </w:lvl>
    <w:lvl w:ilvl="7" w:tplc="A6E07710" w:tentative="1">
      <w:start w:val="1"/>
      <w:numFmt w:val="bullet"/>
      <w:lvlText w:val="o"/>
      <w:lvlJc w:val="left"/>
      <w:pPr>
        <w:ind w:left="5760" w:hanging="360"/>
      </w:pPr>
      <w:rPr>
        <w:rFonts w:ascii="Courier New" w:hAnsi="Courier New" w:cs="Courier New" w:hint="default"/>
      </w:rPr>
    </w:lvl>
    <w:lvl w:ilvl="8" w:tplc="194A7242"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3DAC777E">
      <w:start w:val="1"/>
      <w:numFmt w:val="bullet"/>
      <w:lvlText w:val=""/>
      <w:lvlJc w:val="left"/>
      <w:pPr>
        <w:tabs>
          <w:tab w:val="num" w:pos="360"/>
        </w:tabs>
        <w:ind w:left="360" w:hanging="360"/>
      </w:pPr>
      <w:rPr>
        <w:rFonts w:ascii="Symbol" w:hAnsi="Symbol" w:hint="default"/>
        <w:color w:val="8B2270" w:themeColor="accent3" w:themeShade="BF"/>
        <w:u w:color="8B2270"/>
      </w:rPr>
    </w:lvl>
    <w:lvl w:ilvl="1" w:tplc="9F3C483A" w:tentative="1">
      <w:start w:val="1"/>
      <w:numFmt w:val="bullet"/>
      <w:lvlText w:val="o"/>
      <w:lvlJc w:val="left"/>
      <w:pPr>
        <w:ind w:left="1440" w:hanging="360"/>
      </w:pPr>
      <w:rPr>
        <w:rFonts w:ascii="Courier New" w:hAnsi="Courier New" w:cs="Courier New" w:hint="default"/>
      </w:rPr>
    </w:lvl>
    <w:lvl w:ilvl="2" w:tplc="5E32FE9E" w:tentative="1">
      <w:start w:val="1"/>
      <w:numFmt w:val="bullet"/>
      <w:lvlText w:val=""/>
      <w:lvlJc w:val="left"/>
      <w:pPr>
        <w:ind w:left="2160" w:hanging="360"/>
      </w:pPr>
      <w:rPr>
        <w:rFonts w:ascii="Wingdings" w:hAnsi="Wingdings" w:hint="default"/>
      </w:rPr>
    </w:lvl>
    <w:lvl w:ilvl="3" w:tplc="87A8DC7C" w:tentative="1">
      <w:start w:val="1"/>
      <w:numFmt w:val="bullet"/>
      <w:lvlText w:val=""/>
      <w:lvlJc w:val="left"/>
      <w:pPr>
        <w:ind w:left="2880" w:hanging="360"/>
      </w:pPr>
      <w:rPr>
        <w:rFonts w:ascii="Symbol" w:hAnsi="Symbol" w:hint="default"/>
      </w:rPr>
    </w:lvl>
    <w:lvl w:ilvl="4" w:tplc="08807A8C" w:tentative="1">
      <w:start w:val="1"/>
      <w:numFmt w:val="bullet"/>
      <w:lvlText w:val="o"/>
      <w:lvlJc w:val="left"/>
      <w:pPr>
        <w:ind w:left="3600" w:hanging="360"/>
      </w:pPr>
      <w:rPr>
        <w:rFonts w:ascii="Courier New" w:hAnsi="Courier New" w:cs="Courier New" w:hint="default"/>
      </w:rPr>
    </w:lvl>
    <w:lvl w:ilvl="5" w:tplc="C93228D6" w:tentative="1">
      <w:start w:val="1"/>
      <w:numFmt w:val="bullet"/>
      <w:lvlText w:val=""/>
      <w:lvlJc w:val="left"/>
      <w:pPr>
        <w:ind w:left="4320" w:hanging="360"/>
      </w:pPr>
      <w:rPr>
        <w:rFonts w:ascii="Wingdings" w:hAnsi="Wingdings" w:hint="default"/>
      </w:rPr>
    </w:lvl>
    <w:lvl w:ilvl="6" w:tplc="1EDE924E" w:tentative="1">
      <w:start w:val="1"/>
      <w:numFmt w:val="bullet"/>
      <w:lvlText w:val=""/>
      <w:lvlJc w:val="left"/>
      <w:pPr>
        <w:ind w:left="5040" w:hanging="360"/>
      </w:pPr>
      <w:rPr>
        <w:rFonts w:ascii="Symbol" w:hAnsi="Symbol" w:hint="default"/>
      </w:rPr>
    </w:lvl>
    <w:lvl w:ilvl="7" w:tplc="5E2C266A" w:tentative="1">
      <w:start w:val="1"/>
      <w:numFmt w:val="bullet"/>
      <w:lvlText w:val="o"/>
      <w:lvlJc w:val="left"/>
      <w:pPr>
        <w:ind w:left="5760" w:hanging="360"/>
      </w:pPr>
      <w:rPr>
        <w:rFonts w:ascii="Courier New" w:hAnsi="Courier New" w:cs="Courier New" w:hint="default"/>
      </w:rPr>
    </w:lvl>
    <w:lvl w:ilvl="8" w:tplc="FBBC0672"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F8E4C926">
      <w:start w:val="1"/>
      <w:numFmt w:val="bullet"/>
      <w:lvlText w:val=""/>
      <w:lvlJc w:val="left"/>
      <w:pPr>
        <w:tabs>
          <w:tab w:val="num" w:pos="360"/>
        </w:tabs>
        <w:ind w:left="360" w:hanging="360"/>
      </w:pPr>
      <w:rPr>
        <w:rFonts w:ascii="Symbol" w:hAnsi="Symbol" w:hint="default"/>
        <w:color w:val="8B2270" w:themeColor="accent3" w:themeShade="BF"/>
        <w:u w:color="8B2270"/>
      </w:rPr>
    </w:lvl>
    <w:lvl w:ilvl="1" w:tplc="4F9A5CC4" w:tentative="1">
      <w:start w:val="1"/>
      <w:numFmt w:val="bullet"/>
      <w:lvlText w:val="o"/>
      <w:lvlJc w:val="left"/>
      <w:pPr>
        <w:ind w:left="1440" w:hanging="360"/>
      </w:pPr>
      <w:rPr>
        <w:rFonts w:ascii="Courier New" w:hAnsi="Courier New" w:cs="Courier New" w:hint="default"/>
      </w:rPr>
    </w:lvl>
    <w:lvl w:ilvl="2" w:tplc="24A67AD0" w:tentative="1">
      <w:start w:val="1"/>
      <w:numFmt w:val="bullet"/>
      <w:lvlText w:val=""/>
      <w:lvlJc w:val="left"/>
      <w:pPr>
        <w:ind w:left="2160" w:hanging="360"/>
      </w:pPr>
      <w:rPr>
        <w:rFonts w:ascii="Wingdings" w:hAnsi="Wingdings" w:hint="default"/>
      </w:rPr>
    </w:lvl>
    <w:lvl w:ilvl="3" w:tplc="E59E8174" w:tentative="1">
      <w:start w:val="1"/>
      <w:numFmt w:val="bullet"/>
      <w:lvlText w:val=""/>
      <w:lvlJc w:val="left"/>
      <w:pPr>
        <w:ind w:left="2880" w:hanging="360"/>
      </w:pPr>
      <w:rPr>
        <w:rFonts w:ascii="Symbol" w:hAnsi="Symbol" w:hint="default"/>
      </w:rPr>
    </w:lvl>
    <w:lvl w:ilvl="4" w:tplc="CD4A3B22" w:tentative="1">
      <w:start w:val="1"/>
      <w:numFmt w:val="bullet"/>
      <w:lvlText w:val="o"/>
      <w:lvlJc w:val="left"/>
      <w:pPr>
        <w:ind w:left="3600" w:hanging="360"/>
      </w:pPr>
      <w:rPr>
        <w:rFonts w:ascii="Courier New" w:hAnsi="Courier New" w:cs="Courier New" w:hint="default"/>
      </w:rPr>
    </w:lvl>
    <w:lvl w:ilvl="5" w:tplc="E49848CE" w:tentative="1">
      <w:start w:val="1"/>
      <w:numFmt w:val="bullet"/>
      <w:lvlText w:val=""/>
      <w:lvlJc w:val="left"/>
      <w:pPr>
        <w:ind w:left="4320" w:hanging="360"/>
      </w:pPr>
      <w:rPr>
        <w:rFonts w:ascii="Wingdings" w:hAnsi="Wingdings" w:hint="default"/>
      </w:rPr>
    </w:lvl>
    <w:lvl w:ilvl="6" w:tplc="84ECFA9A" w:tentative="1">
      <w:start w:val="1"/>
      <w:numFmt w:val="bullet"/>
      <w:lvlText w:val=""/>
      <w:lvlJc w:val="left"/>
      <w:pPr>
        <w:ind w:left="5040" w:hanging="360"/>
      </w:pPr>
      <w:rPr>
        <w:rFonts w:ascii="Symbol" w:hAnsi="Symbol" w:hint="default"/>
      </w:rPr>
    </w:lvl>
    <w:lvl w:ilvl="7" w:tplc="9F3EB032" w:tentative="1">
      <w:start w:val="1"/>
      <w:numFmt w:val="bullet"/>
      <w:lvlText w:val="o"/>
      <w:lvlJc w:val="left"/>
      <w:pPr>
        <w:ind w:left="5760" w:hanging="360"/>
      </w:pPr>
      <w:rPr>
        <w:rFonts w:ascii="Courier New" w:hAnsi="Courier New" w:cs="Courier New" w:hint="default"/>
      </w:rPr>
    </w:lvl>
    <w:lvl w:ilvl="8" w:tplc="06926B14"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392EF7EE">
      <w:start w:val="1"/>
      <w:numFmt w:val="bullet"/>
      <w:lvlText w:val=""/>
      <w:lvlJc w:val="left"/>
      <w:pPr>
        <w:tabs>
          <w:tab w:val="num" w:pos="284"/>
        </w:tabs>
        <w:ind w:left="284" w:hanging="284"/>
      </w:pPr>
      <w:rPr>
        <w:rFonts w:ascii="Symbol" w:hAnsi="Symbol" w:hint="default"/>
        <w:color w:val="8B2270" w:themeColor="accent3" w:themeShade="BF"/>
        <w:u w:color="8B2270"/>
      </w:rPr>
    </w:lvl>
    <w:lvl w:ilvl="1" w:tplc="1D442634" w:tentative="1">
      <w:start w:val="1"/>
      <w:numFmt w:val="bullet"/>
      <w:lvlText w:val="o"/>
      <w:lvlJc w:val="left"/>
      <w:pPr>
        <w:ind w:left="1440" w:hanging="360"/>
      </w:pPr>
      <w:rPr>
        <w:rFonts w:ascii="Courier New" w:hAnsi="Courier New" w:cs="Courier New" w:hint="default"/>
      </w:rPr>
    </w:lvl>
    <w:lvl w:ilvl="2" w:tplc="1ED057EA" w:tentative="1">
      <w:start w:val="1"/>
      <w:numFmt w:val="bullet"/>
      <w:lvlText w:val=""/>
      <w:lvlJc w:val="left"/>
      <w:pPr>
        <w:ind w:left="2160" w:hanging="360"/>
      </w:pPr>
      <w:rPr>
        <w:rFonts w:ascii="Wingdings" w:hAnsi="Wingdings" w:hint="default"/>
      </w:rPr>
    </w:lvl>
    <w:lvl w:ilvl="3" w:tplc="257A04AE" w:tentative="1">
      <w:start w:val="1"/>
      <w:numFmt w:val="bullet"/>
      <w:lvlText w:val=""/>
      <w:lvlJc w:val="left"/>
      <w:pPr>
        <w:ind w:left="2880" w:hanging="360"/>
      </w:pPr>
      <w:rPr>
        <w:rFonts w:ascii="Symbol" w:hAnsi="Symbol" w:hint="default"/>
      </w:rPr>
    </w:lvl>
    <w:lvl w:ilvl="4" w:tplc="F6FE34C0" w:tentative="1">
      <w:start w:val="1"/>
      <w:numFmt w:val="bullet"/>
      <w:lvlText w:val="o"/>
      <w:lvlJc w:val="left"/>
      <w:pPr>
        <w:ind w:left="3600" w:hanging="360"/>
      </w:pPr>
      <w:rPr>
        <w:rFonts w:ascii="Courier New" w:hAnsi="Courier New" w:cs="Courier New" w:hint="default"/>
      </w:rPr>
    </w:lvl>
    <w:lvl w:ilvl="5" w:tplc="2A02E2D2" w:tentative="1">
      <w:start w:val="1"/>
      <w:numFmt w:val="bullet"/>
      <w:lvlText w:val=""/>
      <w:lvlJc w:val="left"/>
      <w:pPr>
        <w:ind w:left="4320" w:hanging="360"/>
      </w:pPr>
      <w:rPr>
        <w:rFonts w:ascii="Wingdings" w:hAnsi="Wingdings" w:hint="default"/>
      </w:rPr>
    </w:lvl>
    <w:lvl w:ilvl="6" w:tplc="51C0B98A" w:tentative="1">
      <w:start w:val="1"/>
      <w:numFmt w:val="bullet"/>
      <w:lvlText w:val=""/>
      <w:lvlJc w:val="left"/>
      <w:pPr>
        <w:ind w:left="5040" w:hanging="360"/>
      </w:pPr>
      <w:rPr>
        <w:rFonts w:ascii="Symbol" w:hAnsi="Symbol" w:hint="default"/>
      </w:rPr>
    </w:lvl>
    <w:lvl w:ilvl="7" w:tplc="6D7EF4FA" w:tentative="1">
      <w:start w:val="1"/>
      <w:numFmt w:val="bullet"/>
      <w:lvlText w:val="o"/>
      <w:lvlJc w:val="left"/>
      <w:pPr>
        <w:ind w:left="5760" w:hanging="360"/>
      </w:pPr>
      <w:rPr>
        <w:rFonts w:ascii="Courier New" w:hAnsi="Courier New" w:cs="Courier New" w:hint="default"/>
      </w:rPr>
    </w:lvl>
    <w:lvl w:ilvl="8" w:tplc="A5066ADA"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34E0E0D6">
      <w:start w:val="1"/>
      <w:numFmt w:val="bullet"/>
      <w:lvlText w:val=""/>
      <w:lvlJc w:val="left"/>
      <w:pPr>
        <w:tabs>
          <w:tab w:val="num" w:pos="284"/>
        </w:tabs>
        <w:ind w:left="284" w:hanging="284"/>
      </w:pPr>
      <w:rPr>
        <w:rFonts w:ascii="Symbol" w:hAnsi="Symbol" w:hint="default"/>
        <w:color w:val="8B2270" w:themeColor="accent3" w:themeShade="BF"/>
        <w:u w:color="8B2270"/>
      </w:rPr>
    </w:lvl>
    <w:lvl w:ilvl="1" w:tplc="17BA9AB4" w:tentative="1">
      <w:start w:val="1"/>
      <w:numFmt w:val="bullet"/>
      <w:lvlText w:val="o"/>
      <w:lvlJc w:val="left"/>
      <w:pPr>
        <w:ind w:left="1440" w:hanging="360"/>
      </w:pPr>
      <w:rPr>
        <w:rFonts w:ascii="Courier New" w:hAnsi="Courier New" w:cs="Courier New" w:hint="default"/>
      </w:rPr>
    </w:lvl>
    <w:lvl w:ilvl="2" w:tplc="864A46F8" w:tentative="1">
      <w:start w:val="1"/>
      <w:numFmt w:val="bullet"/>
      <w:lvlText w:val=""/>
      <w:lvlJc w:val="left"/>
      <w:pPr>
        <w:ind w:left="2160" w:hanging="360"/>
      </w:pPr>
      <w:rPr>
        <w:rFonts w:ascii="Wingdings" w:hAnsi="Wingdings" w:hint="default"/>
      </w:rPr>
    </w:lvl>
    <w:lvl w:ilvl="3" w:tplc="2D1610A0" w:tentative="1">
      <w:start w:val="1"/>
      <w:numFmt w:val="bullet"/>
      <w:lvlText w:val=""/>
      <w:lvlJc w:val="left"/>
      <w:pPr>
        <w:ind w:left="2880" w:hanging="360"/>
      </w:pPr>
      <w:rPr>
        <w:rFonts w:ascii="Symbol" w:hAnsi="Symbol" w:hint="default"/>
      </w:rPr>
    </w:lvl>
    <w:lvl w:ilvl="4" w:tplc="1AA8FB5C" w:tentative="1">
      <w:start w:val="1"/>
      <w:numFmt w:val="bullet"/>
      <w:lvlText w:val="o"/>
      <w:lvlJc w:val="left"/>
      <w:pPr>
        <w:ind w:left="3600" w:hanging="360"/>
      </w:pPr>
      <w:rPr>
        <w:rFonts w:ascii="Courier New" w:hAnsi="Courier New" w:cs="Courier New" w:hint="default"/>
      </w:rPr>
    </w:lvl>
    <w:lvl w:ilvl="5" w:tplc="94FE44E2" w:tentative="1">
      <w:start w:val="1"/>
      <w:numFmt w:val="bullet"/>
      <w:lvlText w:val=""/>
      <w:lvlJc w:val="left"/>
      <w:pPr>
        <w:ind w:left="4320" w:hanging="360"/>
      </w:pPr>
      <w:rPr>
        <w:rFonts w:ascii="Wingdings" w:hAnsi="Wingdings" w:hint="default"/>
      </w:rPr>
    </w:lvl>
    <w:lvl w:ilvl="6" w:tplc="EFDEAD00" w:tentative="1">
      <w:start w:val="1"/>
      <w:numFmt w:val="bullet"/>
      <w:lvlText w:val=""/>
      <w:lvlJc w:val="left"/>
      <w:pPr>
        <w:ind w:left="5040" w:hanging="360"/>
      </w:pPr>
      <w:rPr>
        <w:rFonts w:ascii="Symbol" w:hAnsi="Symbol" w:hint="default"/>
      </w:rPr>
    </w:lvl>
    <w:lvl w:ilvl="7" w:tplc="461A9FDE" w:tentative="1">
      <w:start w:val="1"/>
      <w:numFmt w:val="bullet"/>
      <w:lvlText w:val="o"/>
      <w:lvlJc w:val="left"/>
      <w:pPr>
        <w:ind w:left="5760" w:hanging="360"/>
      </w:pPr>
      <w:rPr>
        <w:rFonts w:ascii="Courier New" w:hAnsi="Courier New" w:cs="Courier New" w:hint="default"/>
      </w:rPr>
    </w:lvl>
    <w:lvl w:ilvl="8" w:tplc="7F3CBE28"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50CD2"/>
    <w:rsid w:val="00072CC1"/>
    <w:rsid w:val="00080615"/>
    <w:rsid w:val="00081902"/>
    <w:rsid w:val="000A60A1"/>
    <w:rsid w:val="000C252F"/>
    <w:rsid w:val="000E032E"/>
    <w:rsid w:val="000F2FF5"/>
    <w:rsid w:val="000F3A54"/>
    <w:rsid w:val="000F48FC"/>
    <w:rsid w:val="001808FC"/>
    <w:rsid w:val="00182709"/>
    <w:rsid w:val="001F231D"/>
    <w:rsid w:val="00201052"/>
    <w:rsid w:val="002058D6"/>
    <w:rsid w:val="00207676"/>
    <w:rsid w:val="00231AAC"/>
    <w:rsid w:val="002804D3"/>
    <w:rsid w:val="002A2294"/>
    <w:rsid w:val="002A612E"/>
    <w:rsid w:val="002F7E93"/>
    <w:rsid w:val="003164C1"/>
    <w:rsid w:val="003449A0"/>
    <w:rsid w:val="00352368"/>
    <w:rsid w:val="00362AB6"/>
    <w:rsid w:val="0038176F"/>
    <w:rsid w:val="003A464A"/>
    <w:rsid w:val="003A66CF"/>
    <w:rsid w:val="003F29B8"/>
    <w:rsid w:val="00413DD6"/>
    <w:rsid w:val="004154E2"/>
    <w:rsid w:val="00441092"/>
    <w:rsid w:val="00450BA8"/>
    <w:rsid w:val="004A5D3F"/>
    <w:rsid w:val="004D4273"/>
    <w:rsid w:val="004E682A"/>
    <w:rsid w:val="00534D53"/>
    <w:rsid w:val="005A0885"/>
    <w:rsid w:val="005B053D"/>
    <w:rsid w:val="005E55E6"/>
    <w:rsid w:val="005F1470"/>
    <w:rsid w:val="00617561"/>
    <w:rsid w:val="00625854"/>
    <w:rsid w:val="0062634A"/>
    <w:rsid w:val="0063427A"/>
    <w:rsid w:val="00651348"/>
    <w:rsid w:val="006807E7"/>
    <w:rsid w:val="00680A20"/>
    <w:rsid w:val="00680F04"/>
    <w:rsid w:val="0069052C"/>
    <w:rsid w:val="00694044"/>
    <w:rsid w:val="006B003A"/>
    <w:rsid w:val="006B349E"/>
    <w:rsid w:val="006B3F4C"/>
    <w:rsid w:val="006D6D91"/>
    <w:rsid w:val="00712123"/>
    <w:rsid w:val="00732C23"/>
    <w:rsid w:val="007450AA"/>
    <w:rsid w:val="0078103B"/>
    <w:rsid w:val="007C34F7"/>
    <w:rsid w:val="007D1751"/>
    <w:rsid w:val="007D5FB7"/>
    <w:rsid w:val="00824257"/>
    <w:rsid w:val="00860324"/>
    <w:rsid w:val="008774EB"/>
    <w:rsid w:val="00893246"/>
    <w:rsid w:val="008A2FDD"/>
    <w:rsid w:val="008A3AA0"/>
    <w:rsid w:val="008A649A"/>
    <w:rsid w:val="008B355F"/>
    <w:rsid w:val="008B7938"/>
    <w:rsid w:val="008E21DE"/>
    <w:rsid w:val="008F6BB8"/>
    <w:rsid w:val="0092679E"/>
    <w:rsid w:val="009539C8"/>
    <w:rsid w:val="009619F2"/>
    <w:rsid w:val="009C3CA7"/>
    <w:rsid w:val="009D06E2"/>
    <w:rsid w:val="009E5DE1"/>
    <w:rsid w:val="009F4EAA"/>
    <w:rsid w:val="00A07E4A"/>
    <w:rsid w:val="00A21060"/>
    <w:rsid w:val="00A446FA"/>
    <w:rsid w:val="00A5790E"/>
    <w:rsid w:val="00A60009"/>
    <w:rsid w:val="00A93566"/>
    <w:rsid w:val="00A956AC"/>
    <w:rsid w:val="00AA094B"/>
    <w:rsid w:val="00AB12D5"/>
    <w:rsid w:val="00AB7A1D"/>
    <w:rsid w:val="00AD735D"/>
    <w:rsid w:val="00AF0899"/>
    <w:rsid w:val="00B210A8"/>
    <w:rsid w:val="00B54099"/>
    <w:rsid w:val="00B603C0"/>
    <w:rsid w:val="00B83AB4"/>
    <w:rsid w:val="00BA4FF9"/>
    <w:rsid w:val="00BC3BA1"/>
    <w:rsid w:val="00BC5259"/>
    <w:rsid w:val="00BE1249"/>
    <w:rsid w:val="00BE6062"/>
    <w:rsid w:val="00C0421C"/>
    <w:rsid w:val="00C10202"/>
    <w:rsid w:val="00C21944"/>
    <w:rsid w:val="00C2698C"/>
    <w:rsid w:val="00C506B8"/>
    <w:rsid w:val="00C52C59"/>
    <w:rsid w:val="00C531EF"/>
    <w:rsid w:val="00C70F49"/>
    <w:rsid w:val="00C83AE3"/>
    <w:rsid w:val="00C90DF2"/>
    <w:rsid w:val="00CB64BD"/>
    <w:rsid w:val="00CC724D"/>
    <w:rsid w:val="00CD54F9"/>
    <w:rsid w:val="00D17141"/>
    <w:rsid w:val="00D23398"/>
    <w:rsid w:val="00D26051"/>
    <w:rsid w:val="00D60695"/>
    <w:rsid w:val="00D732D3"/>
    <w:rsid w:val="00D81827"/>
    <w:rsid w:val="00D82F62"/>
    <w:rsid w:val="00DD435B"/>
    <w:rsid w:val="00DD72EC"/>
    <w:rsid w:val="00DF74BA"/>
    <w:rsid w:val="00E017FF"/>
    <w:rsid w:val="00E21572"/>
    <w:rsid w:val="00E221DC"/>
    <w:rsid w:val="00E243C4"/>
    <w:rsid w:val="00E260AC"/>
    <w:rsid w:val="00E32F55"/>
    <w:rsid w:val="00E34585"/>
    <w:rsid w:val="00E40290"/>
    <w:rsid w:val="00E57DAE"/>
    <w:rsid w:val="00EE737C"/>
    <w:rsid w:val="00EF2C20"/>
    <w:rsid w:val="00F3511A"/>
    <w:rsid w:val="00F41613"/>
    <w:rsid w:val="00F65867"/>
    <w:rsid w:val="00F86510"/>
    <w:rsid w:val="00F9318C"/>
    <w:rsid w:val="00F96920"/>
    <w:rsid w:val="00FC1B38"/>
    <w:rsid w:val="00FD59A1"/>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2FDB"/>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221DC"/>
    <w:pPr>
      <w:tabs>
        <w:tab w:val="right" w:leader="dot" w:pos="9628"/>
      </w:tabs>
      <w:bidi/>
      <w:spacing w:before="120" w:after="120" w:line="240" w:lineRule="auto"/>
    </w:pPr>
    <w:rPr>
      <w:rFonts w:ascii="Dubai" w:hAnsi="Dubai" w:cs="Dubai"/>
      <w:b/>
      <w:noProof/>
      <w:color w:val="auto"/>
      <w:sz w:val="24"/>
      <w:szCs w:val="24"/>
      <w:lang w:val="ar"/>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102</TotalTime>
  <Pages>15</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الإشراف على القدرات: علاقة الإشراف والدعم - دليل للمشرفين والعاملين</dc:title>
  <dc:creator>NDIS Qulaity and Safeguards Commission</dc:creator>
  <cp:keywords>[SEC=OFFICIAL]</cp:keywords>
  <cp:lastModifiedBy>Mike-WFH</cp:lastModifiedBy>
  <cp:revision>45</cp:revision>
  <cp:lastPrinted>2024-06-19T04:46:00Z</cp:lastPrinted>
  <dcterms:created xsi:type="dcterms:W3CDTF">2023-06-21T04:34:00Z</dcterms:created>
  <dcterms:modified xsi:type="dcterms:W3CDTF">2024-06-26T02:06:00Z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