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A1D21" w14:textId="77777777" w:rsidR="004C29ED" w:rsidRPr="00A251FD" w:rsidRDefault="006F5498" w:rsidP="004940D8">
      <w:pPr>
        <w:pStyle w:val="Heading1"/>
      </w:pPr>
      <w:r w:rsidRPr="00A251FD">
        <w:rPr>
          <w:noProof/>
        </w:rPr>
        <w:drawing>
          <wp:inline distT="0" distB="0" distL="0" distR="0" wp14:anchorId="0A12952D" wp14:editId="05F191B4">
            <wp:extent cx="8837658" cy="1969460"/>
            <wp:effectExtent l="0" t="0" r="1905" b="0"/>
            <wp:docPr id="2" name="Picture 2" descr="Australian Federal Government logo alongside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 Bann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37658" cy="1969460"/>
                    </a:xfrm>
                    <a:prstGeom prst="rect">
                      <a:avLst/>
                    </a:prstGeom>
                  </pic:spPr>
                </pic:pic>
              </a:graphicData>
            </a:graphic>
          </wp:inline>
        </w:drawing>
      </w:r>
      <w:r w:rsidRPr="00A251FD">
        <w:br/>
      </w:r>
      <w:r w:rsidR="00440D6C" w:rsidRPr="00A251FD">
        <w:br/>
      </w:r>
      <w:r w:rsidR="00505C48" w:rsidRPr="00A251FD">
        <w:t>Fact Sheet</w:t>
      </w:r>
      <w:r w:rsidRPr="00A251FD">
        <w:t xml:space="preserve"> - </w:t>
      </w:r>
      <w:r w:rsidR="00505C48" w:rsidRPr="00A251FD">
        <w:t xml:space="preserve">Key </w:t>
      </w:r>
      <w:r w:rsidR="007E04C4" w:rsidRPr="00A251FD">
        <w:t xml:space="preserve">changes </w:t>
      </w:r>
      <w:r w:rsidR="00533D86" w:rsidRPr="00A251FD">
        <w:t xml:space="preserve">for the proposed </w:t>
      </w:r>
      <w:r w:rsidR="00A513A4" w:rsidRPr="00A251FD">
        <w:t>NDIS Quality and Safeguards Commission</w:t>
      </w:r>
      <w:r w:rsidR="004E3A29" w:rsidRPr="00A251FD">
        <w:t xml:space="preserve"> Enterprise A</w:t>
      </w:r>
      <w:r w:rsidR="00533D86" w:rsidRPr="00A251FD">
        <w:t>greement</w:t>
      </w:r>
      <w:r w:rsidR="004E3A29" w:rsidRPr="00A251FD">
        <w:t xml:space="preserve"> 2024-2027</w:t>
      </w:r>
    </w:p>
    <w:p w14:paraId="148C63AB" w14:textId="4394F415" w:rsidR="003E381B" w:rsidRPr="003E4E63" w:rsidRDefault="003E381B" w:rsidP="003E381B">
      <w:pPr>
        <w:rPr>
          <w:i/>
          <w:iCs/>
        </w:rPr>
      </w:pPr>
      <w:r w:rsidRPr="00A251FD">
        <w:t xml:space="preserve">This document provides an explanation of the key changes between the </w:t>
      </w:r>
      <w:r w:rsidRPr="00A251FD">
        <w:rPr>
          <w:i/>
          <w:iCs/>
        </w:rPr>
        <w:t xml:space="preserve">NDIS Quality and Safeguards </w:t>
      </w:r>
      <w:r w:rsidR="009B1C26">
        <w:rPr>
          <w:i/>
          <w:iCs/>
        </w:rPr>
        <w:t>Commission Agreement 2019 – 2022</w:t>
      </w:r>
      <w:r w:rsidRPr="00A251FD">
        <w:rPr>
          <w:i/>
          <w:iCs/>
        </w:rPr>
        <w:t xml:space="preserve"> </w:t>
      </w:r>
      <w:r w:rsidRPr="00A251FD">
        <w:t>(</w:t>
      </w:r>
      <w:r w:rsidRPr="00A251FD">
        <w:rPr>
          <w:bCs/>
        </w:rPr>
        <w:t>2019 EA</w:t>
      </w:r>
      <w:r w:rsidRPr="00A251FD">
        <w:t xml:space="preserve">) and the </w:t>
      </w:r>
      <w:r w:rsidRPr="003E4E63">
        <w:t xml:space="preserve">proposed </w:t>
      </w:r>
      <w:r w:rsidRPr="003E4E63">
        <w:rPr>
          <w:i/>
          <w:iCs/>
        </w:rPr>
        <w:t xml:space="preserve">NDIS Quality and Safeguards Commission Agreement 2024 – 2027 </w:t>
      </w:r>
      <w:r w:rsidRPr="003E4E63">
        <w:t>(</w:t>
      </w:r>
      <w:r w:rsidRPr="003E4E63">
        <w:rPr>
          <w:bCs/>
        </w:rPr>
        <w:t>2024 EA</w:t>
      </w:r>
      <w:r w:rsidRPr="003E4E63">
        <w:t xml:space="preserve">).  </w:t>
      </w:r>
      <w:r w:rsidRPr="003E4E63">
        <w:rPr>
          <w:i/>
          <w:iCs/>
        </w:rPr>
        <w:t xml:space="preserve"> </w:t>
      </w:r>
    </w:p>
    <w:p w14:paraId="2D978DD6" w14:textId="42735E06" w:rsidR="001C4539" w:rsidRPr="00A251FD" w:rsidRDefault="001C4539" w:rsidP="003E381B">
      <w:pPr>
        <w:rPr>
          <w:iCs/>
        </w:rPr>
      </w:pPr>
      <w:r w:rsidRPr="00A251FD">
        <w:rPr>
          <w:iCs/>
        </w:rPr>
        <w:t>Where a term or condition or entitlement is not set out in this document, it is because the term/condition/entitlement under the 2024 EA remains largely the same as that under the 2019 EA.</w:t>
      </w:r>
    </w:p>
    <w:p w14:paraId="68D84127" w14:textId="709A26F6" w:rsidR="003E381B" w:rsidRPr="00A251FD" w:rsidRDefault="003E381B" w:rsidP="003E381B">
      <w:r w:rsidRPr="00A251FD">
        <w:t xml:space="preserve">The 2024 EA will cover non-SES employees of the Commission. The 2024 EA will commence operation 7 days after </w:t>
      </w:r>
      <w:r w:rsidR="001C4539" w:rsidRPr="00A251FD">
        <w:t>it is approved</w:t>
      </w:r>
      <w:r w:rsidRPr="00A251FD">
        <w:t xml:space="preserve"> by the Fair Work Commission and will nominally expire on 28 February 2027. </w:t>
      </w:r>
    </w:p>
    <w:p w14:paraId="4B48718C" w14:textId="77777777" w:rsidR="003E381B" w:rsidRPr="00A251FD" w:rsidRDefault="003E381B" w:rsidP="003E381B">
      <w:pPr>
        <w:pStyle w:val="Heading2"/>
        <w:rPr>
          <w:iCs/>
        </w:rPr>
      </w:pPr>
      <w:r w:rsidRPr="00A251FD">
        <w:lastRenderedPageBreak/>
        <w:t>Part 1: Scope of the Agreement</w:t>
      </w:r>
    </w:p>
    <w:tbl>
      <w:tblPr>
        <w:tblStyle w:val="TableGrid"/>
        <w:tblW w:w="5005" w:type="pct"/>
        <w:jc w:val="center"/>
        <w:tblLook w:val="04A0" w:firstRow="1" w:lastRow="0" w:firstColumn="1" w:lastColumn="0" w:noHBand="0" w:noVBand="1"/>
        <w:tblCaption w:val="EA Fact Sheet - Key Features"/>
        <w:tblDescription w:val="EA Fact Sheet - Key Features"/>
      </w:tblPr>
      <w:tblGrid>
        <w:gridCol w:w="3033"/>
        <w:gridCol w:w="7731"/>
        <w:gridCol w:w="1763"/>
        <w:gridCol w:w="1763"/>
      </w:tblGrid>
      <w:tr w:rsidR="00A251FD" w:rsidRPr="00A251FD" w14:paraId="0ABB4FD2" w14:textId="77777777" w:rsidTr="006B40E1">
        <w:trPr>
          <w:trHeight w:val="416"/>
          <w:tblHeader/>
          <w:jc w:val="center"/>
        </w:trPr>
        <w:tc>
          <w:tcPr>
            <w:tcW w:w="1061" w:type="pct"/>
            <w:shd w:val="clear" w:color="auto" w:fill="943C84"/>
            <w:vAlign w:val="center"/>
          </w:tcPr>
          <w:p w14:paraId="3538F5C8" w14:textId="77777777" w:rsidR="003E381B" w:rsidRPr="00A251FD" w:rsidRDefault="003E381B" w:rsidP="003E381B">
            <w:pPr>
              <w:spacing w:after="120" w:line="240" w:lineRule="auto"/>
              <w:rPr>
                <w:b/>
                <w:color w:val="FFFFFF" w:themeColor="background1"/>
                <w:lang w:eastAsia="en-US"/>
              </w:rPr>
            </w:pPr>
            <w:r w:rsidRPr="00A251FD">
              <w:rPr>
                <w:b/>
                <w:color w:val="FFFFFF" w:themeColor="background1"/>
                <w:lang w:eastAsia="en-US"/>
              </w:rPr>
              <w:t>Employment condition</w:t>
            </w:r>
          </w:p>
          <w:p w14:paraId="6539BF0A" w14:textId="77777777" w:rsidR="003E381B" w:rsidRPr="00A251FD" w:rsidRDefault="003E381B" w:rsidP="003E381B">
            <w:pPr>
              <w:rPr>
                <w:b/>
                <w:color w:val="FFFFFF" w:themeColor="background1"/>
              </w:rPr>
            </w:pPr>
          </w:p>
        </w:tc>
        <w:tc>
          <w:tcPr>
            <w:tcW w:w="2705" w:type="pct"/>
            <w:shd w:val="clear" w:color="auto" w:fill="943C84"/>
            <w:vAlign w:val="center"/>
          </w:tcPr>
          <w:p w14:paraId="7362C41D" w14:textId="77777777" w:rsidR="003E381B" w:rsidRPr="00A251FD" w:rsidRDefault="003E381B" w:rsidP="003E381B">
            <w:pPr>
              <w:spacing w:after="120" w:line="240" w:lineRule="auto"/>
              <w:rPr>
                <w:b/>
                <w:color w:val="FFFFFF" w:themeColor="background1"/>
                <w:lang w:eastAsia="en-US"/>
              </w:rPr>
            </w:pPr>
            <w:r w:rsidRPr="00A251FD">
              <w:rPr>
                <w:b/>
                <w:color w:val="FFFFFF" w:themeColor="background1"/>
                <w:lang w:eastAsia="en-US"/>
              </w:rPr>
              <w:t xml:space="preserve">Explanation of key changes from 2019 EA  </w:t>
            </w:r>
          </w:p>
          <w:p w14:paraId="2F0A7270" w14:textId="77777777" w:rsidR="003E381B" w:rsidRPr="00A251FD" w:rsidRDefault="003E381B" w:rsidP="003E381B">
            <w:pPr>
              <w:rPr>
                <w:b/>
                <w:color w:val="FFFFFF" w:themeColor="background1"/>
              </w:rPr>
            </w:pPr>
          </w:p>
        </w:tc>
        <w:tc>
          <w:tcPr>
            <w:tcW w:w="617" w:type="pct"/>
            <w:shd w:val="clear" w:color="auto" w:fill="943C84"/>
            <w:vAlign w:val="center"/>
          </w:tcPr>
          <w:p w14:paraId="3ED50DBA" w14:textId="77777777" w:rsidR="003E381B" w:rsidRPr="00A251FD" w:rsidRDefault="003E381B" w:rsidP="006B40E1">
            <w:pPr>
              <w:spacing w:after="120" w:line="240" w:lineRule="auto"/>
              <w:jc w:val="center"/>
              <w:rPr>
                <w:b/>
                <w:color w:val="FFFFFF" w:themeColor="background1"/>
                <w:lang w:eastAsia="en-US"/>
              </w:rPr>
            </w:pPr>
            <w:r w:rsidRPr="00A251FD">
              <w:rPr>
                <w:b/>
                <w:color w:val="FFFFFF" w:themeColor="background1"/>
                <w:lang w:eastAsia="en-US"/>
              </w:rPr>
              <w:t>2024 EA clause</w:t>
            </w:r>
          </w:p>
          <w:p w14:paraId="0E7C66A6" w14:textId="77777777" w:rsidR="003E381B" w:rsidRPr="00A251FD" w:rsidRDefault="003E381B" w:rsidP="006B40E1">
            <w:pPr>
              <w:jc w:val="center"/>
              <w:rPr>
                <w:b/>
                <w:color w:val="FFFFFF" w:themeColor="background1"/>
              </w:rPr>
            </w:pPr>
          </w:p>
        </w:tc>
        <w:tc>
          <w:tcPr>
            <w:tcW w:w="617" w:type="pct"/>
            <w:shd w:val="clear" w:color="auto" w:fill="943C84"/>
            <w:vAlign w:val="center"/>
          </w:tcPr>
          <w:p w14:paraId="557AAC1F" w14:textId="77777777" w:rsidR="003E381B" w:rsidRPr="00A251FD" w:rsidRDefault="003E381B" w:rsidP="006B40E1">
            <w:pPr>
              <w:spacing w:after="120" w:line="240" w:lineRule="auto"/>
              <w:jc w:val="center"/>
              <w:rPr>
                <w:b/>
                <w:color w:val="FFFFFF" w:themeColor="background1"/>
                <w:lang w:eastAsia="en-US"/>
              </w:rPr>
            </w:pPr>
            <w:r w:rsidRPr="00A251FD">
              <w:rPr>
                <w:b/>
                <w:color w:val="FFFFFF" w:themeColor="background1"/>
                <w:lang w:eastAsia="en-US"/>
              </w:rPr>
              <w:t>2019 EA clause</w:t>
            </w:r>
          </w:p>
          <w:p w14:paraId="5E29F57B" w14:textId="77777777" w:rsidR="003E381B" w:rsidRPr="00A251FD" w:rsidRDefault="003E381B" w:rsidP="006B40E1">
            <w:pPr>
              <w:jc w:val="center"/>
              <w:rPr>
                <w:b/>
                <w:color w:val="FFFFFF" w:themeColor="background1"/>
              </w:rPr>
            </w:pPr>
          </w:p>
        </w:tc>
      </w:tr>
      <w:tr w:rsidR="003E381B" w:rsidRPr="00A251FD" w14:paraId="587B4C7F" w14:textId="77777777" w:rsidTr="006B40E1">
        <w:trPr>
          <w:trHeight w:val="416"/>
          <w:jc w:val="center"/>
        </w:trPr>
        <w:tc>
          <w:tcPr>
            <w:tcW w:w="1061" w:type="pct"/>
            <w:shd w:val="clear" w:color="auto" w:fill="FFFFFF" w:themeFill="background1"/>
            <w:vAlign w:val="center"/>
          </w:tcPr>
          <w:p w14:paraId="4EF1E07D" w14:textId="77777777" w:rsidR="003E381B" w:rsidRPr="00A251FD" w:rsidRDefault="003E381B" w:rsidP="003E381B">
            <w:r w:rsidRPr="00A251FD">
              <w:t xml:space="preserve">National Employment Standards </w:t>
            </w:r>
          </w:p>
        </w:tc>
        <w:tc>
          <w:tcPr>
            <w:tcW w:w="2705" w:type="pct"/>
            <w:shd w:val="clear" w:color="auto" w:fill="FFFFFF" w:themeFill="background1"/>
            <w:vAlign w:val="center"/>
          </w:tcPr>
          <w:p w14:paraId="303DF3E7" w14:textId="2A322C2D" w:rsidR="003E381B" w:rsidRPr="00A251FD" w:rsidRDefault="003E381B" w:rsidP="003E381B">
            <w:pPr>
              <w:spacing w:after="120" w:line="240" w:lineRule="auto"/>
              <w:rPr>
                <w:bCs/>
                <w:lang w:eastAsia="en-US"/>
              </w:rPr>
            </w:pPr>
            <w:r w:rsidRPr="00A251FD">
              <w:rPr>
                <w:bCs/>
                <w:lang w:eastAsia="en-US"/>
              </w:rPr>
              <w:t>The 2024 EA provides that the terms of the 2024 EA are intended to apply in a way that does not derogate from the National Employment Standards (</w:t>
            </w:r>
            <w:r w:rsidRPr="00A251FD">
              <w:rPr>
                <w:b/>
                <w:lang w:eastAsia="en-US"/>
              </w:rPr>
              <w:t>NES</w:t>
            </w:r>
            <w:r w:rsidRPr="00A251FD">
              <w:rPr>
                <w:bCs/>
                <w:lang w:eastAsia="en-US"/>
              </w:rPr>
              <w:t xml:space="preserve">) in the </w:t>
            </w:r>
            <w:r w:rsidRPr="00A251FD">
              <w:rPr>
                <w:bCs/>
                <w:i/>
                <w:iCs/>
                <w:lang w:eastAsia="en-US"/>
              </w:rPr>
              <w:t xml:space="preserve">Fair Work Act 2009 </w:t>
            </w:r>
            <w:r w:rsidRPr="00A251FD">
              <w:rPr>
                <w:bCs/>
                <w:lang w:eastAsia="en-US"/>
              </w:rPr>
              <w:t>(</w:t>
            </w:r>
            <w:r w:rsidRPr="00A251FD">
              <w:rPr>
                <w:b/>
                <w:lang w:eastAsia="en-US"/>
              </w:rPr>
              <w:t>FW Act</w:t>
            </w:r>
            <w:r w:rsidRPr="00A251FD">
              <w:rPr>
                <w:bCs/>
                <w:lang w:eastAsia="en-US"/>
              </w:rPr>
              <w:t>) and that the NES will continue to apply to the extent a term is detrimental when compared with the NES.</w:t>
            </w:r>
          </w:p>
          <w:p w14:paraId="53C2AC40" w14:textId="375BB880" w:rsidR="003E381B" w:rsidRPr="00A251FD" w:rsidRDefault="001C4539" w:rsidP="003E381B">
            <w:r w:rsidRPr="00A251FD">
              <w:t>The 2019 EA includes a similar but less detailed clause.</w:t>
            </w:r>
          </w:p>
        </w:tc>
        <w:tc>
          <w:tcPr>
            <w:tcW w:w="617" w:type="pct"/>
            <w:shd w:val="clear" w:color="auto" w:fill="FFFFFF" w:themeFill="background1"/>
            <w:vAlign w:val="center"/>
          </w:tcPr>
          <w:p w14:paraId="175F6234" w14:textId="7609B46E" w:rsidR="003E381B" w:rsidRPr="00A251FD" w:rsidRDefault="003E381B" w:rsidP="006B40E1">
            <w:pPr>
              <w:spacing w:after="120" w:line="240" w:lineRule="auto"/>
              <w:jc w:val="center"/>
              <w:rPr>
                <w:bCs/>
                <w:lang w:eastAsia="en-US"/>
              </w:rPr>
            </w:pPr>
            <w:r w:rsidRPr="00A251FD">
              <w:rPr>
                <w:bCs/>
                <w:lang w:eastAsia="en-US"/>
              </w:rPr>
              <w:t>1.9</w:t>
            </w:r>
          </w:p>
        </w:tc>
        <w:tc>
          <w:tcPr>
            <w:tcW w:w="617" w:type="pct"/>
            <w:shd w:val="clear" w:color="auto" w:fill="FFFFFF" w:themeFill="background1"/>
            <w:vAlign w:val="center"/>
          </w:tcPr>
          <w:p w14:paraId="61280CAE" w14:textId="549B010C" w:rsidR="003E381B" w:rsidRPr="00A251FD" w:rsidRDefault="001C4539" w:rsidP="006B40E1">
            <w:pPr>
              <w:spacing w:after="120" w:line="240" w:lineRule="auto"/>
              <w:jc w:val="center"/>
            </w:pPr>
            <w:r w:rsidRPr="00A251FD">
              <w:rPr>
                <w:bCs/>
                <w:lang w:eastAsia="en-US"/>
              </w:rPr>
              <w:t>1.6</w:t>
            </w:r>
          </w:p>
        </w:tc>
      </w:tr>
      <w:tr w:rsidR="001C4539" w:rsidRPr="00A251FD" w14:paraId="22F7D589" w14:textId="77777777" w:rsidTr="006B40E1">
        <w:trPr>
          <w:trHeight w:val="416"/>
          <w:jc w:val="center"/>
        </w:trPr>
        <w:tc>
          <w:tcPr>
            <w:tcW w:w="1061" w:type="pct"/>
            <w:shd w:val="clear" w:color="auto" w:fill="FFFFFF" w:themeFill="background1"/>
          </w:tcPr>
          <w:p w14:paraId="6FA087DC" w14:textId="72CF8902" w:rsidR="001C4539" w:rsidRPr="00A251FD" w:rsidRDefault="001C4539" w:rsidP="001C4539">
            <w:r w:rsidRPr="00A251FD">
              <w:t>Individual flexibility arrangements</w:t>
            </w:r>
          </w:p>
        </w:tc>
        <w:tc>
          <w:tcPr>
            <w:tcW w:w="2705" w:type="pct"/>
            <w:shd w:val="clear" w:color="auto" w:fill="FFFFFF" w:themeFill="background1"/>
          </w:tcPr>
          <w:p w14:paraId="7C88F9C1" w14:textId="1EC81993" w:rsidR="001C4539" w:rsidRPr="00A251FD" w:rsidRDefault="001C4539" w:rsidP="001C4539">
            <w:pPr>
              <w:spacing w:after="120" w:line="240" w:lineRule="auto"/>
              <w:rPr>
                <w:bCs/>
                <w:lang w:eastAsia="en-US"/>
              </w:rPr>
            </w:pPr>
            <w:r w:rsidRPr="00A251FD">
              <w:t xml:space="preserve">The 2024 EA provides for flexibility arrangements to be reviewed at least every 12 months.  The 2019 EA did not include any review mechanism.  </w:t>
            </w:r>
          </w:p>
        </w:tc>
        <w:tc>
          <w:tcPr>
            <w:tcW w:w="617" w:type="pct"/>
            <w:shd w:val="clear" w:color="auto" w:fill="FFFFFF" w:themeFill="background1"/>
            <w:vAlign w:val="center"/>
          </w:tcPr>
          <w:p w14:paraId="2DE2649D" w14:textId="7D89DC03" w:rsidR="001C4539" w:rsidRPr="00A251FD" w:rsidRDefault="001C4539" w:rsidP="006B40E1">
            <w:pPr>
              <w:spacing w:after="120" w:line="240" w:lineRule="auto"/>
              <w:jc w:val="center"/>
              <w:rPr>
                <w:bCs/>
                <w:lang w:eastAsia="en-US"/>
              </w:rPr>
            </w:pPr>
            <w:r w:rsidRPr="00A251FD">
              <w:t>1.10 – 1.15</w:t>
            </w:r>
          </w:p>
        </w:tc>
        <w:tc>
          <w:tcPr>
            <w:tcW w:w="617" w:type="pct"/>
            <w:shd w:val="clear" w:color="auto" w:fill="FFFFFF" w:themeFill="background1"/>
            <w:vAlign w:val="center"/>
          </w:tcPr>
          <w:p w14:paraId="613AAC7B" w14:textId="2CCA6776" w:rsidR="001C4539" w:rsidRPr="00A251FD" w:rsidDel="001C4539" w:rsidRDefault="001C4539" w:rsidP="006B40E1">
            <w:pPr>
              <w:spacing w:after="120" w:line="240" w:lineRule="auto"/>
              <w:jc w:val="center"/>
              <w:rPr>
                <w:bCs/>
                <w:lang w:eastAsia="en-US"/>
              </w:rPr>
            </w:pPr>
            <w:r w:rsidRPr="00A251FD">
              <w:t>3.8 – 3.12</w:t>
            </w:r>
          </w:p>
        </w:tc>
      </w:tr>
    </w:tbl>
    <w:p w14:paraId="0D328373" w14:textId="77777777" w:rsidR="006F1A95" w:rsidRPr="00A251FD" w:rsidRDefault="006F1A95" w:rsidP="006F1A95">
      <w:pPr>
        <w:pStyle w:val="Heading2"/>
        <w:rPr>
          <w:iCs/>
        </w:rPr>
      </w:pPr>
      <w:r w:rsidRPr="00A251FD">
        <w:t>Part 2: Performance and capability</w:t>
      </w:r>
    </w:p>
    <w:tbl>
      <w:tblPr>
        <w:tblStyle w:val="TableGrid"/>
        <w:tblW w:w="5000" w:type="pct"/>
        <w:jc w:val="center"/>
        <w:tblLook w:val="04A0" w:firstRow="1" w:lastRow="0" w:firstColumn="1" w:lastColumn="0" w:noHBand="0" w:noVBand="1"/>
        <w:tblCaption w:val="EA Fact Sheet - Key Features"/>
        <w:tblDescription w:val="EA Fact Sheet - Key Features"/>
      </w:tblPr>
      <w:tblGrid>
        <w:gridCol w:w="3029"/>
        <w:gridCol w:w="7723"/>
        <w:gridCol w:w="1762"/>
        <w:gridCol w:w="1762"/>
      </w:tblGrid>
      <w:tr w:rsidR="00A251FD" w:rsidRPr="00A251FD" w14:paraId="6401A5D2" w14:textId="77777777" w:rsidTr="006B40E1">
        <w:trPr>
          <w:trHeight w:val="416"/>
          <w:tblHeader/>
          <w:jc w:val="center"/>
        </w:trPr>
        <w:tc>
          <w:tcPr>
            <w:tcW w:w="1061" w:type="pct"/>
            <w:shd w:val="clear" w:color="auto" w:fill="943C84"/>
            <w:vAlign w:val="center"/>
          </w:tcPr>
          <w:p w14:paraId="4B153A2E" w14:textId="2AB88AF4" w:rsidR="00B17AB3" w:rsidRPr="00A251FD" w:rsidRDefault="00B17AB3" w:rsidP="006B40E1">
            <w:pPr>
              <w:spacing w:after="120" w:line="240" w:lineRule="auto"/>
              <w:rPr>
                <w:b/>
                <w:color w:val="FFFFFF" w:themeColor="background1"/>
                <w:lang w:eastAsia="en-US"/>
              </w:rPr>
            </w:pPr>
            <w:r w:rsidRPr="00A251FD">
              <w:rPr>
                <w:b/>
                <w:color w:val="FFFFFF" w:themeColor="background1"/>
                <w:lang w:eastAsia="en-US"/>
              </w:rPr>
              <w:t>Employment Condition</w:t>
            </w:r>
          </w:p>
        </w:tc>
        <w:tc>
          <w:tcPr>
            <w:tcW w:w="2705" w:type="pct"/>
            <w:shd w:val="clear" w:color="auto" w:fill="943C84"/>
            <w:vAlign w:val="center"/>
          </w:tcPr>
          <w:p w14:paraId="475A27BC" w14:textId="1BEF9A86" w:rsidR="00B17AB3" w:rsidRPr="00A251FD" w:rsidRDefault="00B17AB3" w:rsidP="006B40E1">
            <w:pPr>
              <w:spacing w:after="120" w:line="240" w:lineRule="auto"/>
              <w:rPr>
                <w:b/>
                <w:color w:val="FFFFFF" w:themeColor="background1"/>
                <w:lang w:eastAsia="en-US"/>
              </w:rPr>
            </w:pPr>
            <w:r w:rsidRPr="00A251FD">
              <w:rPr>
                <w:b/>
                <w:color w:val="FFFFFF" w:themeColor="background1"/>
                <w:lang w:eastAsia="en-US"/>
              </w:rPr>
              <w:t xml:space="preserve">Explanation of key changes from 2019 EA  </w:t>
            </w:r>
          </w:p>
        </w:tc>
        <w:tc>
          <w:tcPr>
            <w:tcW w:w="617" w:type="pct"/>
            <w:shd w:val="clear" w:color="auto" w:fill="943C84"/>
            <w:vAlign w:val="center"/>
          </w:tcPr>
          <w:p w14:paraId="3FE940EF" w14:textId="43C8A4E2" w:rsidR="00B17AB3" w:rsidRPr="00A251FD" w:rsidRDefault="00B17AB3" w:rsidP="006B40E1">
            <w:pPr>
              <w:spacing w:after="120" w:line="240" w:lineRule="auto"/>
              <w:jc w:val="center"/>
              <w:rPr>
                <w:b/>
                <w:color w:val="FFFFFF" w:themeColor="background1"/>
                <w:lang w:eastAsia="en-US"/>
              </w:rPr>
            </w:pPr>
            <w:r w:rsidRPr="00A251FD">
              <w:rPr>
                <w:b/>
                <w:color w:val="FFFFFF" w:themeColor="background1"/>
                <w:lang w:eastAsia="en-US"/>
              </w:rPr>
              <w:t>2024 EA clause</w:t>
            </w:r>
          </w:p>
        </w:tc>
        <w:tc>
          <w:tcPr>
            <w:tcW w:w="617" w:type="pct"/>
            <w:shd w:val="clear" w:color="auto" w:fill="943C84"/>
            <w:vAlign w:val="center"/>
          </w:tcPr>
          <w:p w14:paraId="597E75E4" w14:textId="7819FBF0" w:rsidR="00B17AB3" w:rsidRPr="00A251FD" w:rsidRDefault="00B17AB3" w:rsidP="006B40E1">
            <w:pPr>
              <w:spacing w:after="120" w:line="240" w:lineRule="auto"/>
              <w:jc w:val="center"/>
              <w:rPr>
                <w:b/>
                <w:color w:val="FFFFFF" w:themeColor="background1"/>
                <w:lang w:eastAsia="en-US"/>
              </w:rPr>
            </w:pPr>
            <w:r w:rsidRPr="00A251FD">
              <w:rPr>
                <w:b/>
                <w:color w:val="FFFFFF" w:themeColor="background1"/>
                <w:lang w:eastAsia="en-US"/>
              </w:rPr>
              <w:t>2019 EA clause</w:t>
            </w:r>
          </w:p>
        </w:tc>
      </w:tr>
      <w:tr w:rsidR="00B17AB3" w:rsidRPr="00A251FD" w14:paraId="4252E308" w14:textId="77777777" w:rsidTr="006B40E1">
        <w:trPr>
          <w:trHeight w:val="260"/>
          <w:jc w:val="center"/>
        </w:trPr>
        <w:tc>
          <w:tcPr>
            <w:tcW w:w="1061" w:type="pct"/>
            <w:tcBorders>
              <w:top w:val="single" w:sz="4" w:space="0" w:color="auto"/>
              <w:left w:val="single" w:sz="4" w:space="0" w:color="auto"/>
              <w:bottom w:val="single" w:sz="4" w:space="0" w:color="auto"/>
              <w:right w:val="single" w:sz="4" w:space="0" w:color="auto"/>
            </w:tcBorders>
            <w:vAlign w:val="center"/>
          </w:tcPr>
          <w:p w14:paraId="2E4366A5" w14:textId="6F83B9AC" w:rsidR="00B17AB3" w:rsidRPr="00A251FD" w:rsidRDefault="00B17AB3" w:rsidP="006F1A95">
            <w:pPr>
              <w:spacing w:after="120" w:line="240" w:lineRule="auto"/>
              <w:rPr>
                <w:lang w:eastAsia="en-US"/>
              </w:rPr>
            </w:pPr>
            <w:r w:rsidRPr="00A251FD">
              <w:rPr>
                <w:lang w:eastAsia="en-US"/>
              </w:rPr>
              <w:t>Performance Management</w:t>
            </w:r>
            <w:r w:rsidR="009B1C26">
              <w:rPr>
                <w:lang w:eastAsia="en-US"/>
              </w:rPr>
              <w:t xml:space="preserve"> Framework </w:t>
            </w:r>
          </w:p>
          <w:p w14:paraId="6AC59D5B" w14:textId="77777777" w:rsidR="00B17AB3" w:rsidRPr="00A251FD" w:rsidRDefault="00B17AB3" w:rsidP="004940D8">
            <w:pPr>
              <w:rPr>
                <w:lang w:eastAsia="en-US"/>
              </w:rPr>
            </w:pPr>
          </w:p>
        </w:tc>
        <w:tc>
          <w:tcPr>
            <w:tcW w:w="2705" w:type="pct"/>
            <w:tcBorders>
              <w:top w:val="single" w:sz="4" w:space="0" w:color="auto"/>
              <w:left w:val="single" w:sz="4" w:space="0" w:color="auto"/>
              <w:bottom w:val="single" w:sz="4" w:space="0" w:color="auto"/>
              <w:right w:val="single" w:sz="4" w:space="0" w:color="auto"/>
            </w:tcBorders>
            <w:vAlign w:val="center"/>
          </w:tcPr>
          <w:p w14:paraId="49AA24DA" w14:textId="35CC11B6" w:rsidR="001C4539" w:rsidRPr="00A251FD" w:rsidRDefault="001C4539" w:rsidP="001C4539">
            <w:pPr>
              <w:spacing w:before="120" w:after="120" w:line="240" w:lineRule="auto"/>
            </w:pPr>
            <w:r w:rsidRPr="00A251FD">
              <w:t xml:space="preserve">The 2024 EA includes a list of factors which the Commission recognise as facilitating employees to perform better and more consistently. The 2019 EA does not include a clause to this effect. </w:t>
            </w:r>
          </w:p>
          <w:p w14:paraId="3A32AEF6" w14:textId="72D8B493" w:rsidR="00B17AB3" w:rsidRPr="00A251FD" w:rsidRDefault="001C4539" w:rsidP="006F1A95">
            <w:pPr>
              <w:spacing w:after="120" w:line="240" w:lineRule="auto"/>
            </w:pPr>
            <w:r w:rsidRPr="00A251FD">
              <w:t>The 2024 EA provides a list of principles for performance management which are different to the principles of performance management in the 2019 EA.  The principles in the 2024 EA are: Setting expectations for performance and behaviour; Development; Ongoing monitoring and feedback; Managing Performance; and Fairness.  A number of the principles in the 2024 EA are more detailed.</w:t>
            </w:r>
          </w:p>
          <w:p w14:paraId="5616B6B9" w14:textId="66128919" w:rsidR="001C4539" w:rsidRPr="00A251FD" w:rsidRDefault="00B17AB3" w:rsidP="001C4539">
            <w:pPr>
              <w:spacing w:after="120" w:line="240" w:lineRule="auto"/>
            </w:pPr>
            <w:r w:rsidRPr="00A251FD">
              <w:lastRenderedPageBreak/>
              <w:t>The 2024 EA provides that the Commission’s performance cycle for all employees will run from 1 August to 31 July in the following year, except for the 2023/2024 performance cycle, which will run from 1 July 2023 to 31 July 2024.</w:t>
            </w:r>
            <w:r w:rsidR="001C4539" w:rsidRPr="00A251FD">
              <w:t xml:space="preserve"> The 2019 EA provided for a performance cycle from 1 July each year to 30 June in the following year.</w:t>
            </w:r>
          </w:p>
          <w:p w14:paraId="406CB46B" w14:textId="77777777" w:rsidR="001C4539" w:rsidRPr="00A251FD" w:rsidRDefault="001C4539" w:rsidP="001C4539">
            <w:pPr>
              <w:spacing w:after="120" w:line="240" w:lineRule="auto"/>
            </w:pPr>
            <w:r w:rsidRPr="00A251FD">
              <w:t>The 2024 EA also provides:</w:t>
            </w:r>
          </w:p>
          <w:p w14:paraId="25524537" w14:textId="77777777" w:rsidR="001C4539" w:rsidRPr="00A251FD" w:rsidRDefault="001C4539" w:rsidP="001C4539">
            <w:pPr>
              <w:pStyle w:val="ListParagraph"/>
              <w:numPr>
                <w:ilvl w:val="0"/>
                <w:numId w:val="39"/>
              </w:numPr>
              <w:spacing w:before="120" w:after="120" w:line="240" w:lineRule="auto"/>
            </w:pPr>
            <w:r w:rsidRPr="00A251FD">
              <w:t xml:space="preserve">a principle that a managing performance process will occur where an employee is not at the expected standard: </w:t>
            </w:r>
          </w:p>
          <w:p w14:paraId="60360860" w14:textId="77777777" w:rsidR="001C4539" w:rsidRPr="00A251FD" w:rsidRDefault="001C4539" w:rsidP="001C4539">
            <w:pPr>
              <w:pStyle w:val="ListParagraph"/>
              <w:spacing w:after="120" w:line="240" w:lineRule="auto"/>
              <w:ind w:left="780"/>
            </w:pPr>
          </w:p>
          <w:p w14:paraId="456ED36E" w14:textId="13EC29F6" w:rsidR="00B17AB3" w:rsidRPr="00A251FD" w:rsidRDefault="001C4539" w:rsidP="001C4539">
            <w:pPr>
              <w:pStyle w:val="ListParagraph"/>
              <w:numPr>
                <w:ilvl w:val="0"/>
                <w:numId w:val="40"/>
              </w:numPr>
              <w:rPr>
                <w:lang w:eastAsia="en-US"/>
              </w:rPr>
            </w:pPr>
            <w:r w:rsidRPr="00A251FD">
              <w:t>for a formal performance assessment process of at least 4 weeks where an employee is under performing and continues to fall below the standard expected despite a managing performance process.  Employees have the right to respond to a notice of a formal performance assessment and bring a support person to performance discussions. If an employee's performance remains unsatisfactory following the formal assessment process, the Commissioner may reduce their classification, reassign the employee to other duties or terminate their employment. Employees have a right to respond to any such proposal before a final decision is made. The 2019 EA does not provide for a formal performance assessment process.</w:t>
            </w:r>
          </w:p>
        </w:tc>
        <w:tc>
          <w:tcPr>
            <w:tcW w:w="617" w:type="pct"/>
            <w:tcBorders>
              <w:top w:val="single" w:sz="4" w:space="0" w:color="auto"/>
              <w:left w:val="single" w:sz="4" w:space="0" w:color="auto"/>
              <w:bottom w:val="single" w:sz="4" w:space="0" w:color="auto"/>
              <w:right w:val="single" w:sz="4" w:space="0" w:color="auto"/>
            </w:tcBorders>
            <w:vAlign w:val="center"/>
          </w:tcPr>
          <w:p w14:paraId="47B2086A" w14:textId="77777777" w:rsidR="00B17AB3" w:rsidRPr="00A251FD" w:rsidRDefault="00B17AB3" w:rsidP="006B40E1">
            <w:pPr>
              <w:pStyle w:val="mbullet1"/>
              <w:numPr>
                <w:ilvl w:val="0"/>
                <w:numId w:val="0"/>
              </w:numPr>
              <w:ind w:left="360" w:hanging="360"/>
              <w:jc w:val="center"/>
              <w:rPr>
                <w:rFonts w:cs="Calibri"/>
                <w:lang w:eastAsia="en-US"/>
              </w:rPr>
            </w:pPr>
            <w:r w:rsidRPr="00A251FD">
              <w:rPr>
                <w:rFonts w:cs="Calibri"/>
              </w:rPr>
              <w:lastRenderedPageBreak/>
              <w:t>2.1 – 2.13</w:t>
            </w:r>
          </w:p>
        </w:tc>
        <w:tc>
          <w:tcPr>
            <w:tcW w:w="617" w:type="pct"/>
            <w:tcBorders>
              <w:top w:val="single" w:sz="4" w:space="0" w:color="auto"/>
              <w:left w:val="single" w:sz="4" w:space="0" w:color="auto"/>
              <w:bottom w:val="single" w:sz="4" w:space="0" w:color="auto"/>
              <w:right w:val="single" w:sz="4" w:space="0" w:color="auto"/>
            </w:tcBorders>
            <w:vAlign w:val="center"/>
          </w:tcPr>
          <w:p w14:paraId="13F9A21A" w14:textId="0ED2A557" w:rsidR="00B17AB3" w:rsidRPr="00A251FD" w:rsidRDefault="00966D86" w:rsidP="00D8718C">
            <w:pPr>
              <w:spacing w:after="120" w:line="240" w:lineRule="auto"/>
              <w:rPr>
                <w:lang w:eastAsia="en-US"/>
              </w:rPr>
            </w:pPr>
            <w:r w:rsidRPr="00A251FD">
              <w:rPr>
                <w:lang w:eastAsia="en-US"/>
              </w:rPr>
              <w:t>2.1</w:t>
            </w:r>
            <w:r w:rsidR="00D8718C">
              <w:rPr>
                <w:lang w:eastAsia="en-US"/>
              </w:rPr>
              <w:t xml:space="preserve"> – </w:t>
            </w:r>
            <w:r w:rsidRPr="00A251FD">
              <w:rPr>
                <w:lang w:eastAsia="en-US"/>
              </w:rPr>
              <w:t>2.4</w:t>
            </w:r>
            <w:r w:rsidR="00D8718C">
              <w:rPr>
                <w:lang w:eastAsia="en-US"/>
              </w:rPr>
              <w:br/>
            </w:r>
          </w:p>
        </w:tc>
      </w:tr>
      <w:tr w:rsidR="00B17AB3" w:rsidRPr="00A251FD" w14:paraId="33CAE4AE" w14:textId="77777777" w:rsidTr="006B40E1">
        <w:trPr>
          <w:trHeight w:val="260"/>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1B338CFD" w14:textId="77777777" w:rsidR="00B17AB3" w:rsidRPr="00A251FD" w:rsidRDefault="00B17AB3" w:rsidP="006F1A95">
            <w:pPr>
              <w:spacing w:after="120" w:line="240" w:lineRule="auto"/>
              <w:rPr>
                <w:lang w:eastAsia="en-US"/>
              </w:rPr>
            </w:pPr>
            <w:r w:rsidRPr="00A251FD">
              <w:rPr>
                <w:lang w:eastAsia="en-US"/>
              </w:rPr>
              <w:t>Workloads</w:t>
            </w:r>
          </w:p>
          <w:p w14:paraId="23B4823B" w14:textId="77777777" w:rsidR="00B17AB3" w:rsidRPr="00A251FD" w:rsidRDefault="00B17AB3" w:rsidP="004940D8">
            <w:pPr>
              <w:rPr>
                <w:lang w:eastAsia="en-US"/>
              </w:rPr>
            </w:pPr>
          </w:p>
        </w:tc>
        <w:tc>
          <w:tcPr>
            <w:tcW w:w="2705" w:type="pct"/>
            <w:tcBorders>
              <w:top w:val="single" w:sz="4" w:space="0" w:color="auto"/>
              <w:left w:val="single" w:sz="4" w:space="0" w:color="auto"/>
              <w:bottom w:val="single" w:sz="4" w:space="0" w:color="auto"/>
              <w:right w:val="single" w:sz="4" w:space="0" w:color="auto"/>
            </w:tcBorders>
            <w:vAlign w:val="center"/>
            <w:hideMark/>
          </w:tcPr>
          <w:p w14:paraId="5EF4CD60" w14:textId="606FB7A3" w:rsidR="00B17AB3" w:rsidRPr="00A251FD" w:rsidRDefault="00B17AB3" w:rsidP="007A3549">
            <w:pPr>
              <w:spacing w:after="120" w:line="240" w:lineRule="auto"/>
            </w:pPr>
            <w:r w:rsidRPr="00A251FD">
              <w:t xml:space="preserve">The 2024 EA introduces a </w:t>
            </w:r>
            <w:r w:rsidR="001C4539" w:rsidRPr="00A251FD">
              <w:t xml:space="preserve">new </w:t>
            </w:r>
            <w:r w:rsidRPr="00A251FD">
              <w:t xml:space="preserve">clause which provides: </w:t>
            </w:r>
          </w:p>
          <w:p w14:paraId="7077C1B3" w14:textId="77777777" w:rsidR="00B17AB3" w:rsidRPr="00A251FD" w:rsidRDefault="00B17AB3" w:rsidP="007A3549">
            <w:pPr>
              <w:pStyle w:val="ListParagraph"/>
              <w:numPr>
                <w:ilvl w:val="0"/>
                <w:numId w:val="36"/>
              </w:numPr>
              <w:spacing w:before="120" w:after="120" w:line="240" w:lineRule="auto"/>
            </w:pPr>
            <w:r w:rsidRPr="00A251FD">
              <w:t>the Commission recognises the importance of employees balancing their work and personal life (noting that it may be necessary at times for some extra hours to be worked by an employee, but this should be the exception rather than the rule)</w:t>
            </w:r>
          </w:p>
          <w:p w14:paraId="3D4EEA76" w14:textId="6ABF199A" w:rsidR="00B17AB3" w:rsidRPr="00A251FD" w:rsidRDefault="00B17AB3" w:rsidP="007A3549">
            <w:pPr>
              <w:pStyle w:val="ListParagraph"/>
              <w:numPr>
                <w:ilvl w:val="0"/>
                <w:numId w:val="36"/>
              </w:numPr>
              <w:spacing w:before="120" w:after="120" w:line="240" w:lineRule="auto"/>
            </w:pPr>
            <w:r w:rsidRPr="00A251FD">
              <w:lastRenderedPageBreak/>
              <w:t>the Commission will consider the need for employees to strike a balance between their work and personal life in determining workloads for an employee or group of employees</w:t>
            </w:r>
            <w:r w:rsidR="001C4539" w:rsidRPr="00A251FD">
              <w:t>; and</w:t>
            </w:r>
          </w:p>
          <w:p w14:paraId="17858337" w14:textId="77777777" w:rsidR="00B17AB3" w:rsidRPr="00A251FD" w:rsidRDefault="00B17AB3" w:rsidP="007A3549">
            <w:pPr>
              <w:pStyle w:val="ListParagraph"/>
              <w:numPr>
                <w:ilvl w:val="0"/>
                <w:numId w:val="36"/>
              </w:numPr>
              <w:rPr>
                <w:lang w:eastAsia="en-US"/>
              </w:rPr>
            </w:pPr>
            <w:r w:rsidRPr="00A251FD">
              <w:t>where an employee or group of employees raise that they have experienced significant workload pressures over a prolonged period of time, the Commission and employee/s together must review the employees’ workloads and priorities, and determine appropriate strategies to manage the impact on the employee or group of employees.</w:t>
            </w:r>
          </w:p>
        </w:tc>
        <w:tc>
          <w:tcPr>
            <w:tcW w:w="617" w:type="pct"/>
            <w:tcBorders>
              <w:top w:val="single" w:sz="4" w:space="0" w:color="auto"/>
              <w:left w:val="single" w:sz="4" w:space="0" w:color="auto"/>
              <w:bottom w:val="single" w:sz="4" w:space="0" w:color="auto"/>
              <w:right w:val="single" w:sz="4" w:space="0" w:color="auto"/>
            </w:tcBorders>
            <w:vAlign w:val="center"/>
            <w:hideMark/>
          </w:tcPr>
          <w:p w14:paraId="7807A05B" w14:textId="5A47E6C9" w:rsidR="00B17AB3" w:rsidRPr="00A251FD" w:rsidRDefault="00B17AB3" w:rsidP="006B40E1">
            <w:pPr>
              <w:spacing w:after="120" w:line="240" w:lineRule="auto"/>
              <w:jc w:val="center"/>
              <w:rPr>
                <w:lang w:eastAsia="en-US"/>
              </w:rPr>
            </w:pPr>
            <w:r w:rsidRPr="00A251FD">
              <w:rPr>
                <w:lang w:eastAsia="en-US"/>
              </w:rPr>
              <w:lastRenderedPageBreak/>
              <w:t>2.14 – 2.16</w:t>
            </w:r>
          </w:p>
          <w:p w14:paraId="579FB8EB" w14:textId="77777777" w:rsidR="00B17AB3" w:rsidRPr="00A251FD" w:rsidRDefault="00B17AB3" w:rsidP="006B40E1">
            <w:pPr>
              <w:pStyle w:val="mbullet1"/>
              <w:numPr>
                <w:ilvl w:val="0"/>
                <w:numId w:val="0"/>
              </w:numPr>
              <w:ind w:left="360"/>
              <w:jc w:val="center"/>
              <w:rPr>
                <w:rFonts w:cs="Calibri"/>
                <w:lang w:eastAsia="en-US"/>
              </w:rPr>
            </w:pPr>
          </w:p>
        </w:tc>
        <w:tc>
          <w:tcPr>
            <w:tcW w:w="617" w:type="pct"/>
            <w:tcBorders>
              <w:top w:val="single" w:sz="4" w:space="0" w:color="auto"/>
              <w:left w:val="single" w:sz="4" w:space="0" w:color="auto"/>
              <w:bottom w:val="single" w:sz="4" w:space="0" w:color="auto"/>
              <w:right w:val="single" w:sz="4" w:space="0" w:color="auto"/>
            </w:tcBorders>
            <w:vAlign w:val="center"/>
          </w:tcPr>
          <w:p w14:paraId="258604EF" w14:textId="6DA253B8" w:rsidR="00B17AB3" w:rsidRPr="00A251FD" w:rsidRDefault="00B17AB3" w:rsidP="006B40E1">
            <w:pPr>
              <w:spacing w:after="120" w:line="240" w:lineRule="auto"/>
              <w:jc w:val="center"/>
              <w:rPr>
                <w:lang w:eastAsia="en-US"/>
              </w:rPr>
            </w:pPr>
            <w:r w:rsidRPr="00A251FD">
              <w:rPr>
                <w:lang w:eastAsia="en-US"/>
              </w:rPr>
              <w:t>N/A</w:t>
            </w:r>
          </w:p>
          <w:p w14:paraId="21781E71" w14:textId="77777777" w:rsidR="00B17AB3" w:rsidRPr="00A251FD" w:rsidRDefault="00B17AB3" w:rsidP="006B40E1">
            <w:pPr>
              <w:pStyle w:val="mbullet1"/>
              <w:numPr>
                <w:ilvl w:val="0"/>
                <w:numId w:val="0"/>
              </w:numPr>
              <w:ind w:left="360"/>
              <w:jc w:val="center"/>
              <w:rPr>
                <w:rFonts w:cs="Calibri"/>
                <w:lang w:eastAsia="en-US"/>
              </w:rPr>
            </w:pPr>
          </w:p>
        </w:tc>
      </w:tr>
      <w:tr w:rsidR="00B17AB3" w:rsidRPr="00A251FD" w14:paraId="4F9F9B6F" w14:textId="77777777" w:rsidTr="006B40E1">
        <w:trPr>
          <w:trHeight w:val="260"/>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09B3B451" w14:textId="77777777" w:rsidR="00B17AB3" w:rsidRPr="00A251FD" w:rsidRDefault="00B17AB3" w:rsidP="006F1A95">
            <w:pPr>
              <w:spacing w:after="120" w:line="240" w:lineRule="auto"/>
              <w:rPr>
                <w:lang w:eastAsia="en-US"/>
              </w:rPr>
            </w:pPr>
            <w:r w:rsidRPr="00A251FD">
              <w:rPr>
                <w:lang w:eastAsia="en-US"/>
              </w:rPr>
              <w:t>Study assistance</w:t>
            </w:r>
          </w:p>
          <w:p w14:paraId="4E193761" w14:textId="77777777" w:rsidR="00B17AB3" w:rsidRPr="00A251FD" w:rsidRDefault="00B17AB3" w:rsidP="004940D8">
            <w:pPr>
              <w:rPr>
                <w:lang w:eastAsia="en-US"/>
              </w:rPr>
            </w:pPr>
          </w:p>
        </w:tc>
        <w:tc>
          <w:tcPr>
            <w:tcW w:w="2705" w:type="pct"/>
            <w:tcBorders>
              <w:top w:val="single" w:sz="4" w:space="0" w:color="auto"/>
              <w:left w:val="single" w:sz="4" w:space="0" w:color="auto"/>
              <w:bottom w:val="single" w:sz="4" w:space="0" w:color="auto"/>
              <w:right w:val="single" w:sz="4" w:space="0" w:color="auto"/>
            </w:tcBorders>
            <w:vAlign w:val="center"/>
            <w:hideMark/>
          </w:tcPr>
          <w:p w14:paraId="386E67AB" w14:textId="35C7479C" w:rsidR="001C4539" w:rsidRPr="00A251FD" w:rsidRDefault="00B17AB3" w:rsidP="0058762E">
            <w:r w:rsidRPr="00A251FD">
              <w:t>The 2024 EA increases the maximum amount of reimbursement available for fees from $1,500 per semester</w:t>
            </w:r>
            <w:r w:rsidR="001C4539" w:rsidRPr="00A251FD">
              <w:t xml:space="preserve"> and a maximum of $3,000 per annum, </w:t>
            </w:r>
            <w:r w:rsidRPr="00A251FD">
              <w:t xml:space="preserve"> to </w:t>
            </w:r>
            <w:r w:rsidR="001C4539" w:rsidRPr="00A251FD">
              <w:t xml:space="preserve">a maximum of </w:t>
            </w:r>
            <w:r w:rsidRPr="00A251FD">
              <w:t>$6,000 per annum</w:t>
            </w:r>
            <w:r w:rsidR="001C4539" w:rsidRPr="00A251FD">
              <w:t xml:space="preserve"> where study is for more than one semester (and no set limit per semester)</w:t>
            </w:r>
            <w:r w:rsidRPr="00A251FD">
              <w:t xml:space="preserve">.  The 2024 EA also provides for these amounts to be indexed on 13 March 2025 and 12 March 2026 </w:t>
            </w:r>
            <w:r w:rsidR="001C4539" w:rsidRPr="00A251FD">
              <w:t>while the 2019 EA does not provide for indexation.</w:t>
            </w:r>
          </w:p>
        </w:tc>
        <w:tc>
          <w:tcPr>
            <w:tcW w:w="617" w:type="pct"/>
            <w:tcBorders>
              <w:top w:val="single" w:sz="4" w:space="0" w:color="auto"/>
              <w:left w:val="single" w:sz="4" w:space="0" w:color="auto"/>
              <w:bottom w:val="single" w:sz="4" w:space="0" w:color="auto"/>
              <w:right w:val="single" w:sz="4" w:space="0" w:color="auto"/>
            </w:tcBorders>
            <w:vAlign w:val="center"/>
            <w:hideMark/>
          </w:tcPr>
          <w:p w14:paraId="7E8BE661" w14:textId="77777777" w:rsidR="00B17AB3" w:rsidRPr="00A251FD" w:rsidRDefault="00B17AB3" w:rsidP="006B40E1">
            <w:pPr>
              <w:spacing w:after="120" w:line="240" w:lineRule="auto"/>
              <w:jc w:val="center"/>
              <w:rPr>
                <w:lang w:eastAsia="en-US"/>
              </w:rPr>
            </w:pPr>
            <w:r w:rsidRPr="00A251FD">
              <w:rPr>
                <w:lang w:eastAsia="en-US"/>
              </w:rPr>
              <w:t>2.17 – 2.18</w:t>
            </w:r>
          </w:p>
          <w:p w14:paraId="58122095" w14:textId="77777777" w:rsidR="00B17AB3" w:rsidRPr="00A251FD" w:rsidRDefault="00B17AB3" w:rsidP="006B40E1">
            <w:pPr>
              <w:jc w:val="center"/>
              <w:rPr>
                <w:lang w:eastAsia="en-US"/>
              </w:rPr>
            </w:pPr>
          </w:p>
        </w:tc>
        <w:tc>
          <w:tcPr>
            <w:tcW w:w="617" w:type="pct"/>
            <w:tcBorders>
              <w:top w:val="single" w:sz="4" w:space="0" w:color="auto"/>
              <w:left w:val="single" w:sz="4" w:space="0" w:color="auto"/>
              <w:bottom w:val="single" w:sz="4" w:space="0" w:color="auto"/>
              <w:right w:val="single" w:sz="4" w:space="0" w:color="auto"/>
            </w:tcBorders>
            <w:vAlign w:val="center"/>
          </w:tcPr>
          <w:p w14:paraId="09E542B1" w14:textId="77777777" w:rsidR="00966D86" w:rsidRPr="00A251FD" w:rsidRDefault="00966D86" w:rsidP="006B40E1">
            <w:pPr>
              <w:spacing w:after="120" w:line="240" w:lineRule="auto"/>
              <w:jc w:val="center"/>
              <w:rPr>
                <w:lang w:eastAsia="en-US"/>
              </w:rPr>
            </w:pPr>
            <w:r w:rsidRPr="00A251FD">
              <w:rPr>
                <w:lang w:eastAsia="en-US"/>
              </w:rPr>
              <w:t>2.5</w:t>
            </w:r>
          </w:p>
          <w:p w14:paraId="4A78CC05" w14:textId="77777777" w:rsidR="00B17AB3" w:rsidRPr="00A251FD" w:rsidRDefault="00B17AB3" w:rsidP="006B40E1">
            <w:pPr>
              <w:jc w:val="center"/>
              <w:rPr>
                <w:lang w:eastAsia="en-US"/>
              </w:rPr>
            </w:pPr>
          </w:p>
        </w:tc>
      </w:tr>
      <w:tr w:rsidR="007E2C1E" w:rsidRPr="00A251FD" w14:paraId="10EF3E35" w14:textId="77777777" w:rsidTr="006B40E1">
        <w:trPr>
          <w:trHeight w:val="260"/>
          <w:jc w:val="center"/>
        </w:trPr>
        <w:tc>
          <w:tcPr>
            <w:tcW w:w="1061" w:type="pct"/>
            <w:tcBorders>
              <w:top w:val="single" w:sz="4" w:space="0" w:color="auto"/>
              <w:left w:val="single" w:sz="4" w:space="0" w:color="auto"/>
              <w:bottom w:val="single" w:sz="4" w:space="0" w:color="auto"/>
              <w:right w:val="single" w:sz="4" w:space="0" w:color="auto"/>
            </w:tcBorders>
          </w:tcPr>
          <w:p w14:paraId="501C2C2F" w14:textId="6ED21DE8" w:rsidR="007E2C1E" w:rsidRPr="00A251FD" w:rsidRDefault="007E2C1E" w:rsidP="007E2C1E">
            <w:pPr>
              <w:spacing w:after="120" w:line="240" w:lineRule="auto"/>
              <w:rPr>
                <w:lang w:eastAsia="en-US"/>
              </w:rPr>
            </w:pPr>
            <w:r w:rsidRPr="00A251FD">
              <w:t xml:space="preserve">Support for professionals </w:t>
            </w:r>
          </w:p>
        </w:tc>
        <w:tc>
          <w:tcPr>
            <w:tcW w:w="2705" w:type="pct"/>
            <w:tcBorders>
              <w:top w:val="single" w:sz="4" w:space="0" w:color="auto"/>
              <w:left w:val="single" w:sz="4" w:space="0" w:color="auto"/>
              <w:bottom w:val="single" w:sz="4" w:space="0" w:color="auto"/>
              <w:right w:val="single" w:sz="4" w:space="0" w:color="auto"/>
            </w:tcBorders>
          </w:tcPr>
          <w:p w14:paraId="75D5654B" w14:textId="77777777" w:rsidR="007E2C1E" w:rsidRPr="00A251FD" w:rsidRDefault="007E2C1E" w:rsidP="007E2C1E">
            <w:pPr>
              <w:spacing w:after="120" w:line="240" w:lineRule="auto"/>
            </w:pPr>
            <w:r w:rsidRPr="00A251FD">
              <w:t xml:space="preserve">The 2024 EA increases the maximum amount per year that the Commission will reimburse an employee for annual membership fees of associations essential to enable an employee to undertake their duties from $750 to $850. </w:t>
            </w:r>
          </w:p>
          <w:p w14:paraId="169BF784" w14:textId="77777777" w:rsidR="007E2C1E" w:rsidRPr="00A251FD" w:rsidRDefault="007E2C1E" w:rsidP="007E2C1E">
            <w:pPr>
              <w:spacing w:after="120" w:line="240" w:lineRule="auto"/>
            </w:pPr>
            <w:r w:rsidRPr="00A251FD">
              <w:t xml:space="preserve">It also increases the maximum amount per year the Commission will reimburse an employee for annual membership of other professional associations relevant to the work of the Commission from $42 to $48. </w:t>
            </w:r>
          </w:p>
          <w:p w14:paraId="63D7F6AE" w14:textId="787353CC" w:rsidR="007E2C1E" w:rsidRPr="00A251FD" w:rsidRDefault="007E2C1E" w:rsidP="007E2C1E">
            <w:pPr>
              <w:spacing w:after="120" w:line="240" w:lineRule="auto"/>
            </w:pPr>
            <w:r w:rsidRPr="00A251FD">
              <w:t>The 2024 EA provides a mechanism for these amounts to be indexed on 13 March 2025 and 12 March 2026 while the 2019 EA does not provided for indexation.</w:t>
            </w:r>
          </w:p>
        </w:tc>
        <w:tc>
          <w:tcPr>
            <w:tcW w:w="617" w:type="pct"/>
            <w:tcBorders>
              <w:top w:val="single" w:sz="4" w:space="0" w:color="auto"/>
              <w:left w:val="single" w:sz="4" w:space="0" w:color="auto"/>
              <w:bottom w:val="single" w:sz="4" w:space="0" w:color="auto"/>
              <w:right w:val="single" w:sz="4" w:space="0" w:color="auto"/>
            </w:tcBorders>
            <w:vAlign w:val="center"/>
          </w:tcPr>
          <w:p w14:paraId="6F1F4D12" w14:textId="6A687A20" w:rsidR="007E2C1E" w:rsidRPr="00A251FD" w:rsidRDefault="007E2C1E" w:rsidP="00D8718C">
            <w:pPr>
              <w:spacing w:after="120" w:line="240" w:lineRule="auto"/>
              <w:jc w:val="center"/>
              <w:rPr>
                <w:lang w:eastAsia="en-US"/>
              </w:rPr>
            </w:pPr>
            <w:r w:rsidRPr="00A251FD">
              <w:t xml:space="preserve">2.19 </w:t>
            </w:r>
            <w:r w:rsidR="00D8718C">
              <w:t>–</w:t>
            </w:r>
            <w:r w:rsidRPr="00A251FD">
              <w:t xml:space="preserve"> 2.21</w:t>
            </w:r>
          </w:p>
        </w:tc>
        <w:tc>
          <w:tcPr>
            <w:tcW w:w="617" w:type="pct"/>
            <w:tcBorders>
              <w:top w:val="single" w:sz="4" w:space="0" w:color="auto"/>
              <w:left w:val="single" w:sz="4" w:space="0" w:color="auto"/>
              <w:bottom w:val="single" w:sz="4" w:space="0" w:color="auto"/>
              <w:right w:val="single" w:sz="4" w:space="0" w:color="auto"/>
            </w:tcBorders>
            <w:vAlign w:val="center"/>
          </w:tcPr>
          <w:p w14:paraId="1EDC9FE8" w14:textId="0DC5AC5D" w:rsidR="007E2C1E" w:rsidRPr="00A251FD" w:rsidRDefault="007E2C1E" w:rsidP="006B40E1">
            <w:pPr>
              <w:spacing w:after="120" w:line="240" w:lineRule="auto"/>
              <w:jc w:val="center"/>
              <w:rPr>
                <w:lang w:eastAsia="en-US"/>
              </w:rPr>
            </w:pPr>
            <w:r w:rsidRPr="00A251FD">
              <w:t>2</w:t>
            </w:r>
            <w:r w:rsidR="00D8718C">
              <w:t xml:space="preserve">.6 – </w:t>
            </w:r>
            <w:r w:rsidRPr="00A251FD">
              <w:t>2.7</w:t>
            </w:r>
          </w:p>
        </w:tc>
      </w:tr>
      <w:tr w:rsidR="00B17AB3" w:rsidRPr="00A251FD" w14:paraId="68678970" w14:textId="77777777" w:rsidTr="006B40E1">
        <w:trPr>
          <w:trHeight w:val="260"/>
          <w:jc w:val="center"/>
        </w:trPr>
        <w:tc>
          <w:tcPr>
            <w:tcW w:w="1061" w:type="pct"/>
            <w:tcBorders>
              <w:top w:val="single" w:sz="4" w:space="0" w:color="auto"/>
              <w:left w:val="single" w:sz="4" w:space="0" w:color="auto"/>
              <w:bottom w:val="single" w:sz="4" w:space="0" w:color="auto"/>
              <w:right w:val="single" w:sz="4" w:space="0" w:color="auto"/>
            </w:tcBorders>
            <w:vAlign w:val="center"/>
            <w:hideMark/>
          </w:tcPr>
          <w:p w14:paraId="391ADC2C" w14:textId="77777777" w:rsidR="00B17AB3" w:rsidRPr="00A251FD" w:rsidRDefault="00B17AB3" w:rsidP="0058762E">
            <w:pPr>
              <w:spacing w:after="120" w:line="240" w:lineRule="auto"/>
              <w:rPr>
                <w:lang w:eastAsia="en-US"/>
              </w:rPr>
            </w:pPr>
            <w:r w:rsidRPr="00A251FD">
              <w:rPr>
                <w:lang w:eastAsia="en-US"/>
              </w:rPr>
              <w:lastRenderedPageBreak/>
              <w:t xml:space="preserve">Learning and development </w:t>
            </w:r>
          </w:p>
          <w:p w14:paraId="567D5E92" w14:textId="77777777" w:rsidR="00B17AB3" w:rsidRPr="00A251FD" w:rsidRDefault="00B17AB3" w:rsidP="004940D8">
            <w:pPr>
              <w:rPr>
                <w:lang w:eastAsia="en-US"/>
              </w:rPr>
            </w:pPr>
          </w:p>
        </w:tc>
        <w:tc>
          <w:tcPr>
            <w:tcW w:w="2705" w:type="pct"/>
            <w:tcBorders>
              <w:top w:val="single" w:sz="4" w:space="0" w:color="auto"/>
              <w:left w:val="single" w:sz="4" w:space="0" w:color="auto"/>
              <w:bottom w:val="single" w:sz="4" w:space="0" w:color="auto"/>
              <w:right w:val="single" w:sz="4" w:space="0" w:color="auto"/>
            </w:tcBorders>
            <w:vAlign w:val="center"/>
            <w:hideMark/>
          </w:tcPr>
          <w:p w14:paraId="22A1F808" w14:textId="7C18DEB6" w:rsidR="00B17AB3" w:rsidRPr="00A251FD" w:rsidRDefault="00B17AB3" w:rsidP="0058762E">
            <w:pPr>
              <w:spacing w:after="120" w:line="240" w:lineRule="auto"/>
            </w:pPr>
            <w:r w:rsidRPr="00A251FD">
              <w:t xml:space="preserve">The 2024 EA introduces </w:t>
            </w:r>
            <w:r w:rsidR="007E2C1E" w:rsidRPr="00A251FD">
              <w:t xml:space="preserve">new </w:t>
            </w:r>
            <w:r w:rsidRPr="00A251FD">
              <w:t xml:space="preserve">clauses which provide that: </w:t>
            </w:r>
          </w:p>
          <w:p w14:paraId="131F1917" w14:textId="16ECB703" w:rsidR="007E2C1E" w:rsidRPr="00A251FD" w:rsidRDefault="007E2C1E" w:rsidP="007E2C1E">
            <w:pPr>
              <w:pStyle w:val="ListParagraph"/>
              <w:numPr>
                <w:ilvl w:val="0"/>
                <w:numId w:val="10"/>
              </w:numPr>
              <w:spacing w:before="120" w:after="120" w:line="240" w:lineRule="auto"/>
            </w:pPr>
            <w:r w:rsidRPr="00A251FD">
              <w:t>learning and development opportunities are supported across the Commission at all levels;</w:t>
            </w:r>
          </w:p>
          <w:p w14:paraId="3AB52173" w14:textId="219AB31E" w:rsidR="00B17AB3" w:rsidRPr="00A251FD" w:rsidRDefault="007E2C1E" w:rsidP="007E2C1E">
            <w:pPr>
              <w:pStyle w:val="ListParagraph"/>
              <w:numPr>
                <w:ilvl w:val="0"/>
                <w:numId w:val="10"/>
              </w:numPr>
              <w:spacing w:before="120" w:after="120" w:line="240" w:lineRule="auto"/>
            </w:pPr>
            <w:r w:rsidRPr="00A251FD">
              <w:t xml:space="preserve">employees will have access to appropriate learning and development opportunities as determined by the Commission during work time to develop the skills and knowledge needed to perform their duties, complete mandatory training necessary to their role and address identified </w:t>
            </w:r>
            <w:r w:rsidR="009B1C26">
              <w:t>development needs</w:t>
            </w:r>
            <w:r w:rsidRPr="00A251FD">
              <w:t>; and</w:t>
            </w:r>
          </w:p>
          <w:p w14:paraId="5B9636A6" w14:textId="43975FD1" w:rsidR="00B17AB3" w:rsidRPr="00A251FD" w:rsidRDefault="00B17AB3" w:rsidP="004940D8">
            <w:pPr>
              <w:pStyle w:val="ListParagraph"/>
              <w:numPr>
                <w:ilvl w:val="0"/>
                <w:numId w:val="10"/>
              </w:numPr>
              <w:spacing w:before="120" w:after="120" w:line="240" w:lineRule="auto"/>
            </w:pPr>
            <w:r w:rsidRPr="00A251FD">
              <w:t>employees will be provided with work time to develop their skills and knowledge in accordance with their Commission or APS career aspirations as identified in their performance agreement</w:t>
            </w:r>
            <w:r w:rsidR="009B1C26">
              <w:t>.</w:t>
            </w:r>
          </w:p>
        </w:tc>
        <w:tc>
          <w:tcPr>
            <w:tcW w:w="617" w:type="pct"/>
            <w:tcBorders>
              <w:top w:val="single" w:sz="4" w:space="0" w:color="auto"/>
              <w:left w:val="single" w:sz="4" w:space="0" w:color="auto"/>
              <w:bottom w:val="single" w:sz="4" w:space="0" w:color="auto"/>
              <w:right w:val="single" w:sz="4" w:space="0" w:color="auto"/>
            </w:tcBorders>
            <w:vAlign w:val="center"/>
            <w:hideMark/>
          </w:tcPr>
          <w:p w14:paraId="2CBB6269" w14:textId="77777777" w:rsidR="00B17AB3" w:rsidRPr="00A251FD" w:rsidRDefault="00B17AB3" w:rsidP="006B40E1">
            <w:pPr>
              <w:spacing w:after="120" w:line="240" w:lineRule="auto"/>
              <w:jc w:val="center"/>
              <w:rPr>
                <w:lang w:eastAsia="en-US"/>
              </w:rPr>
            </w:pPr>
            <w:r w:rsidRPr="00A251FD">
              <w:rPr>
                <w:lang w:eastAsia="en-US"/>
              </w:rPr>
              <w:t>2.22 – 2.24</w:t>
            </w:r>
          </w:p>
          <w:p w14:paraId="2BBB2366" w14:textId="77777777" w:rsidR="00B17AB3" w:rsidRPr="00A251FD" w:rsidRDefault="00B17AB3" w:rsidP="006B40E1">
            <w:pPr>
              <w:jc w:val="center"/>
              <w:rPr>
                <w:lang w:eastAsia="en-US"/>
              </w:rPr>
            </w:pPr>
          </w:p>
        </w:tc>
        <w:tc>
          <w:tcPr>
            <w:tcW w:w="617" w:type="pct"/>
            <w:tcBorders>
              <w:top w:val="single" w:sz="4" w:space="0" w:color="auto"/>
              <w:left w:val="single" w:sz="4" w:space="0" w:color="auto"/>
              <w:bottom w:val="single" w:sz="4" w:space="0" w:color="auto"/>
              <w:right w:val="single" w:sz="4" w:space="0" w:color="auto"/>
            </w:tcBorders>
            <w:vAlign w:val="center"/>
          </w:tcPr>
          <w:p w14:paraId="4549BDF2" w14:textId="77777777" w:rsidR="00B17AB3" w:rsidRPr="00A251FD" w:rsidRDefault="00B17AB3" w:rsidP="006B40E1">
            <w:pPr>
              <w:spacing w:after="120" w:line="240" w:lineRule="auto"/>
              <w:jc w:val="center"/>
              <w:rPr>
                <w:lang w:eastAsia="en-US"/>
              </w:rPr>
            </w:pPr>
            <w:r w:rsidRPr="00A251FD">
              <w:rPr>
                <w:lang w:eastAsia="en-US"/>
              </w:rPr>
              <w:t>N/A</w:t>
            </w:r>
          </w:p>
          <w:p w14:paraId="3908C81A" w14:textId="77777777" w:rsidR="00B17AB3" w:rsidRPr="00A251FD" w:rsidRDefault="00B17AB3" w:rsidP="006B40E1">
            <w:pPr>
              <w:jc w:val="center"/>
              <w:rPr>
                <w:lang w:eastAsia="en-US"/>
              </w:rPr>
            </w:pPr>
          </w:p>
        </w:tc>
      </w:tr>
    </w:tbl>
    <w:p w14:paraId="67108904" w14:textId="77777777" w:rsidR="00E02523" w:rsidRPr="00A251FD" w:rsidRDefault="00E02523" w:rsidP="004940D8"/>
    <w:p w14:paraId="00655DE9" w14:textId="77777777" w:rsidR="0058762E" w:rsidRPr="00A251FD" w:rsidRDefault="0058762E" w:rsidP="0058762E">
      <w:pPr>
        <w:pStyle w:val="Heading2"/>
      </w:pPr>
      <w:r w:rsidRPr="00A251FD">
        <w:t>Part 3: Remuneration</w:t>
      </w:r>
    </w:p>
    <w:tbl>
      <w:tblPr>
        <w:tblStyle w:val="TableGrid"/>
        <w:tblW w:w="5000" w:type="pct"/>
        <w:jc w:val="center"/>
        <w:tblLook w:val="04A0" w:firstRow="1" w:lastRow="0" w:firstColumn="1" w:lastColumn="0" w:noHBand="0" w:noVBand="1"/>
        <w:tblCaption w:val="EA Fact Sheet - Key Features"/>
        <w:tblDescription w:val="EA Fact Sheet - Key Features"/>
      </w:tblPr>
      <w:tblGrid>
        <w:gridCol w:w="3029"/>
        <w:gridCol w:w="7723"/>
        <w:gridCol w:w="1762"/>
        <w:gridCol w:w="1762"/>
      </w:tblGrid>
      <w:tr w:rsidR="00A251FD" w:rsidRPr="00A251FD" w14:paraId="70036DAE" w14:textId="77777777" w:rsidTr="006B40E1">
        <w:trPr>
          <w:trHeight w:val="416"/>
          <w:tblHeader/>
          <w:jc w:val="center"/>
        </w:trPr>
        <w:tc>
          <w:tcPr>
            <w:tcW w:w="1061" w:type="pct"/>
            <w:shd w:val="clear" w:color="auto" w:fill="943C84"/>
            <w:vAlign w:val="center"/>
          </w:tcPr>
          <w:p w14:paraId="14E5C3E1" w14:textId="216D0501" w:rsidR="0058762E" w:rsidRPr="00A251FD" w:rsidRDefault="0058762E" w:rsidP="006B40E1">
            <w:pPr>
              <w:spacing w:after="120" w:line="240" w:lineRule="auto"/>
              <w:rPr>
                <w:b/>
                <w:color w:val="FFFFFF" w:themeColor="background1"/>
                <w:lang w:eastAsia="en-US"/>
              </w:rPr>
            </w:pPr>
            <w:r w:rsidRPr="00A251FD">
              <w:rPr>
                <w:b/>
                <w:color w:val="FFFFFF" w:themeColor="background1"/>
                <w:lang w:eastAsia="en-US"/>
              </w:rPr>
              <w:t>Employment Condition</w:t>
            </w:r>
          </w:p>
        </w:tc>
        <w:tc>
          <w:tcPr>
            <w:tcW w:w="2705" w:type="pct"/>
            <w:shd w:val="clear" w:color="auto" w:fill="943C84"/>
            <w:vAlign w:val="center"/>
          </w:tcPr>
          <w:p w14:paraId="650BAB55" w14:textId="16A427CE" w:rsidR="0058762E" w:rsidRPr="00A251FD" w:rsidRDefault="0058762E" w:rsidP="006B40E1">
            <w:pPr>
              <w:spacing w:after="120" w:line="240" w:lineRule="auto"/>
              <w:rPr>
                <w:b/>
                <w:color w:val="FFFFFF" w:themeColor="background1"/>
                <w:lang w:eastAsia="en-US"/>
              </w:rPr>
            </w:pPr>
            <w:r w:rsidRPr="00A251FD">
              <w:rPr>
                <w:b/>
                <w:color w:val="FFFFFF" w:themeColor="background1"/>
                <w:lang w:eastAsia="en-US"/>
              </w:rPr>
              <w:t xml:space="preserve">Explanation of key changes from 2019 EA  </w:t>
            </w:r>
          </w:p>
        </w:tc>
        <w:tc>
          <w:tcPr>
            <w:tcW w:w="617" w:type="pct"/>
            <w:shd w:val="clear" w:color="auto" w:fill="943C84"/>
            <w:vAlign w:val="center"/>
          </w:tcPr>
          <w:p w14:paraId="4A566C0A" w14:textId="28A5815B" w:rsidR="0058762E" w:rsidRPr="00A251FD" w:rsidRDefault="0058762E" w:rsidP="006B40E1">
            <w:pPr>
              <w:spacing w:after="120" w:line="240" w:lineRule="auto"/>
              <w:jc w:val="center"/>
              <w:rPr>
                <w:b/>
                <w:color w:val="FFFFFF" w:themeColor="background1"/>
                <w:lang w:eastAsia="en-US"/>
              </w:rPr>
            </w:pPr>
            <w:r w:rsidRPr="00A251FD">
              <w:rPr>
                <w:b/>
                <w:color w:val="FFFFFF" w:themeColor="background1"/>
                <w:lang w:eastAsia="en-US"/>
              </w:rPr>
              <w:t>2024 EA clause</w:t>
            </w:r>
          </w:p>
        </w:tc>
        <w:tc>
          <w:tcPr>
            <w:tcW w:w="617" w:type="pct"/>
            <w:shd w:val="clear" w:color="auto" w:fill="943C84"/>
            <w:vAlign w:val="center"/>
          </w:tcPr>
          <w:p w14:paraId="4F224023" w14:textId="2409408D" w:rsidR="0058762E" w:rsidRPr="00A251FD" w:rsidRDefault="0058762E" w:rsidP="006B40E1">
            <w:pPr>
              <w:spacing w:after="120" w:line="240" w:lineRule="auto"/>
              <w:jc w:val="center"/>
              <w:rPr>
                <w:b/>
                <w:color w:val="FFFFFF" w:themeColor="background1"/>
                <w:lang w:eastAsia="en-US"/>
              </w:rPr>
            </w:pPr>
            <w:r w:rsidRPr="00A251FD">
              <w:rPr>
                <w:b/>
                <w:color w:val="FFFFFF" w:themeColor="background1"/>
                <w:lang w:eastAsia="en-US"/>
              </w:rPr>
              <w:t>2019 EA clause</w:t>
            </w:r>
          </w:p>
        </w:tc>
      </w:tr>
      <w:tr w:rsidR="007E2C1E" w:rsidRPr="00A251FD" w14:paraId="2CCE5D58" w14:textId="77777777" w:rsidTr="006B40E1">
        <w:trPr>
          <w:trHeight w:val="260"/>
          <w:jc w:val="center"/>
        </w:trPr>
        <w:tc>
          <w:tcPr>
            <w:tcW w:w="1061" w:type="pct"/>
            <w:vAlign w:val="center"/>
          </w:tcPr>
          <w:p w14:paraId="4E93ACCA" w14:textId="77777777" w:rsidR="007E2C1E" w:rsidRPr="00A251FD" w:rsidRDefault="007E2C1E" w:rsidP="007E2C1E">
            <w:pPr>
              <w:spacing w:after="120" w:line="240" w:lineRule="auto"/>
              <w:rPr>
                <w:lang w:eastAsia="en-US"/>
              </w:rPr>
            </w:pPr>
            <w:r w:rsidRPr="00A251FD">
              <w:rPr>
                <w:lang w:eastAsia="en-US"/>
              </w:rPr>
              <w:t>Salary increases</w:t>
            </w:r>
          </w:p>
          <w:p w14:paraId="12588F89" w14:textId="77777777" w:rsidR="007E2C1E" w:rsidRPr="00A251FD" w:rsidRDefault="007E2C1E" w:rsidP="007E2C1E"/>
        </w:tc>
        <w:tc>
          <w:tcPr>
            <w:tcW w:w="2705" w:type="pct"/>
            <w:vAlign w:val="center"/>
          </w:tcPr>
          <w:p w14:paraId="6A873F8D" w14:textId="50AB0B0E" w:rsidR="007E2C1E" w:rsidRPr="00A251FD" w:rsidRDefault="007E2C1E" w:rsidP="007E2C1E">
            <w:pPr>
              <w:pStyle w:val="mbullet1"/>
              <w:numPr>
                <w:ilvl w:val="0"/>
                <w:numId w:val="11"/>
              </w:numPr>
              <w:spacing w:before="120" w:line="240" w:lineRule="auto"/>
              <w:rPr>
                <w:rFonts w:cs="Calibri"/>
                <w:lang w:eastAsia="en-US"/>
              </w:rPr>
            </w:pPr>
            <w:r w:rsidRPr="00A251FD">
              <w:rPr>
                <w:rFonts w:cs="Calibri"/>
                <w:bCs/>
                <w:lang w:eastAsia="en-US"/>
              </w:rPr>
              <w:t>2024 EA</w:t>
            </w:r>
            <w:r w:rsidR="009B1C26">
              <w:rPr>
                <w:rFonts w:cs="Calibri"/>
                <w:bCs/>
                <w:lang w:eastAsia="en-US"/>
              </w:rPr>
              <w:t xml:space="preserve"> </w:t>
            </w:r>
            <w:r w:rsidRPr="00A251FD">
              <w:rPr>
                <w:rFonts w:cs="Calibri"/>
                <w:lang w:eastAsia="en-US"/>
              </w:rPr>
              <w:t>provides increases to the salary rates in the Agreement of 11.2% over 3 years with the following breakdown:</w:t>
            </w:r>
          </w:p>
          <w:p w14:paraId="619DFAAF" w14:textId="5E5B556E" w:rsidR="007E2C1E" w:rsidRPr="00A251FD" w:rsidRDefault="007E2C1E" w:rsidP="007E2C1E">
            <w:pPr>
              <w:pStyle w:val="mbullet1"/>
              <w:numPr>
                <w:ilvl w:val="1"/>
                <w:numId w:val="11"/>
              </w:numPr>
              <w:spacing w:before="120" w:line="240" w:lineRule="auto"/>
              <w:rPr>
                <w:rFonts w:cs="Calibri"/>
                <w:lang w:eastAsia="en-US"/>
              </w:rPr>
            </w:pPr>
            <w:r w:rsidRPr="00A251FD">
              <w:rPr>
                <w:rFonts w:cs="Calibri"/>
                <w:lang w:eastAsia="en-US"/>
              </w:rPr>
              <w:t>4% from the first full pay period after 1 March 2024 (14 March 2024)</w:t>
            </w:r>
          </w:p>
          <w:p w14:paraId="04A6EC16" w14:textId="529A1EE9" w:rsidR="007E2C1E" w:rsidRPr="00A251FD" w:rsidRDefault="007E2C1E" w:rsidP="007E2C1E">
            <w:pPr>
              <w:pStyle w:val="mbullet1"/>
              <w:numPr>
                <w:ilvl w:val="1"/>
                <w:numId w:val="42"/>
              </w:numPr>
              <w:spacing w:before="120" w:line="240" w:lineRule="auto"/>
              <w:rPr>
                <w:rFonts w:cs="Calibri"/>
              </w:rPr>
            </w:pPr>
            <w:r w:rsidRPr="00A251FD">
              <w:rPr>
                <w:rFonts w:cs="Calibri"/>
                <w:lang w:eastAsia="en-US"/>
              </w:rPr>
              <w:t xml:space="preserve">3.8% from the first full pay period after 1 March 2025 </w:t>
            </w:r>
            <w:r w:rsidRPr="00A251FD">
              <w:rPr>
                <w:rFonts w:cs="Calibri"/>
              </w:rPr>
              <w:t>(13 March 2025); and</w:t>
            </w:r>
          </w:p>
          <w:p w14:paraId="12BBB9AC" w14:textId="066C53EE" w:rsidR="007E2C1E" w:rsidRPr="00A251FD" w:rsidRDefault="007E2C1E" w:rsidP="007E2C1E">
            <w:pPr>
              <w:pStyle w:val="mbullet1"/>
              <w:numPr>
                <w:ilvl w:val="1"/>
                <w:numId w:val="11"/>
              </w:numPr>
              <w:spacing w:before="120" w:line="240" w:lineRule="auto"/>
              <w:rPr>
                <w:rFonts w:cs="Calibri"/>
                <w:lang w:eastAsia="en-US"/>
              </w:rPr>
            </w:pPr>
            <w:r w:rsidRPr="00A251FD">
              <w:rPr>
                <w:rFonts w:cs="Calibri"/>
                <w:lang w:eastAsia="en-US"/>
              </w:rPr>
              <w:t xml:space="preserve">3.4% from the first full pay period after 1 March 2026 </w:t>
            </w:r>
            <w:r w:rsidRPr="00A251FD">
              <w:rPr>
                <w:rFonts w:cs="Calibri"/>
              </w:rPr>
              <w:t>(12 March 2026).</w:t>
            </w:r>
            <w:r w:rsidRPr="00A251FD">
              <w:rPr>
                <w:rFonts w:cs="Calibri"/>
                <w:lang w:eastAsia="en-US"/>
              </w:rPr>
              <w:t xml:space="preserve"> </w:t>
            </w:r>
          </w:p>
          <w:p w14:paraId="46CEBF5F" w14:textId="673AE044" w:rsidR="007E2C1E" w:rsidRPr="00A251FD" w:rsidRDefault="007E2C1E" w:rsidP="007E2C1E">
            <w:r w:rsidRPr="00A251FD">
              <w:rPr>
                <w:lang w:eastAsia="en-US"/>
              </w:rPr>
              <w:t xml:space="preserve">Employees who, at the commencement of the 2024 EA, are in receipt of a salary above the maximum pay point of the band following the salary increases, will be </w:t>
            </w:r>
            <w:r w:rsidRPr="00A251FD">
              <w:rPr>
                <w:lang w:eastAsia="en-US"/>
              </w:rPr>
              <w:lastRenderedPageBreak/>
              <w:t xml:space="preserve">entitled to one-off payments </w:t>
            </w:r>
            <w:r w:rsidRPr="00A251FD">
              <w:t xml:space="preserve">in lieu of salary increases a manner similar to </w:t>
            </w:r>
            <w:r w:rsidRPr="00A251FD">
              <w:rPr>
                <w:lang w:eastAsia="en-US"/>
              </w:rPr>
              <w:t>that provided by the 2019 EA.</w:t>
            </w:r>
          </w:p>
        </w:tc>
        <w:tc>
          <w:tcPr>
            <w:tcW w:w="617" w:type="pct"/>
            <w:vAlign w:val="center"/>
          </w:tcPr>
          <w:p w14:paraId="330E2014" w14:textId="06A6B95B" w:rsidR="007E2C1E" w:rsidRPr="00A251FD" w:rsidRDefault="007E2C1E" w:rsidP="006B40E1">
            <w:pPr>
              <w:jc w:val="center"/>
            </w:pPr>
            <w:r w:rsidRPr="00A251FD">
              <w:lastRenderedPageBreak/>
              <w:t>3.1 – 3.4</w:t>
            </w:r>
          </w:p>
        </w:tc>
        <w:tc>
          <w:tcPr>
            <w:tcW w:w="617" w:type="pct"/>
            <w:vAlign w:val="center"/>
          </w:tcPr>
          <w:p w14:paraId="3FF172D0" w14:textId="567D732A" w:rsidR="007E2C1E" w:rsidRPr="00A251FD" w:rsidRDefault="00D8718C" w:rsidP="006B40E1">
            <w:pPr>
              <w:jc w:val="center"/>
            </w:pPr>
            <w:r>
              <w:t xml:space="preserve">3.1 – </w:t>
            </w:r>
            <w:r w:rsidR="007E2C1E" w:rsidRPr="00A251FD">
              <w:t>3.6</w:t>
            </w:r>
          </w:p>
        </w:tc>
      </w:tr>
      <w:tr w:rsidR="0058762E" w:rsidRPr="00A251FD" w14:paraId="0E3866EE" w14:textId="77777777" w:rsidTr="006B40E1">
        <w:trPr>
          <w:trHeight w:val="260"/>
          <w:jc w:val="center"/>
        </w:trPr>
        <w:tc>
          <w:tcPr>
            <w:tcW w:w="1061" w:type="pct"/>
            <w:vAlign w:val="center"/>
          </w:tcPr>
          <w:p w14:paraId="03DFD343" w14:textId="77777777" w:rsidR="0058762E" w:rsidRPr="00A251FD" w:rsidRDefault="0058762E" w:rsidP="0058762E">
            <w:pPr>
              <w:spacing w:after="120" w:line="240" w:lineRule="auto"/>
              <w:rPr>
                <w:lang w:eastAsia="en-US"/>
              </w:rPr>
            </w:pPr>
            <w:r w:rsidRPr="00A251FD">
              <w:rPr>
                <w:lang w:eastAsia="en-US"/>
              </w:rPr>
              <w:t>Payment of salary</w:t>
            </w:r>
          </w:p>
          <w:p w14:paraId="3CB86018" w14:textId="77777777" w:rsidR="0058762E" w:rsidRPr="00A251FD" w:rsidRDefault="0058762E" w:rsidP="004940D8"/>
        </w:tc>
        <w:tc>
          <w:tcPr>
            <w:tcW w:w="2705" w:type="pct"/>
            <w:vAlign w:val="center"/>
          </w:tcPr>
          <w:p w14:paraId="084B5FC0" w14:textId="43A35E25" w:rsidR="0058762E" w:rsidRPr="00A251FD" w:rsidRDefault="00241E88" w:rsidP="0058762E">
            <w:r w:rsidRPr="00A251FD">
              <w:rPr>
                <w:lang w:eastAsia="en-US"/>
              </w:rPr>
              <w:t xml:space="preserve">The 2024 EA introduces a </w:t>
            </w:r>
            <w:r w:rsidR="007E2C1E" w:rsidRPr="00A251FD">
              <w:rPr>
                <w:lang w:eastAsia="en-US"/>
              </w:rPr>
              <w:t xml:space="preserve">new </w:t>
            </w:r>
            <w:r w:rsidRPr="00A251FD">
              <w:rPr>
                <w:lang w:eastAsia="en-US"/>
              </w:rPr>
              <w:t>clause which sets out how fortnightly pay is calculated. This calculation reflects how the Commission calculates fortnightly salary.</w:t>
            </w:r>
          </w:p>
        </w:tc>
        <w:tc>
          <w:tcPr>
            <w:tcW w:w="617" w:type="pct"/>
            <w:vAlign w:val="center"/>
          </w:tcPr>
          <w:p w14:paraId="4EA4F2DC" w14:textId="77777777" w:rsidR="00241E88" w:rsidRPr="00A251FD" w:rsidRDefault="00241E88" w:rsidP="006B40E1">
            <w:pPr>
              <w:pStyle w:val="mbullet1"/>
              <w:numPr>
                <w:ilvl w:val="0"/>
                <w:numId w:val="0"/>
              </w:numPr>
              <w:tabs>
                <w:tab w:val="left" w:pos="720"/>
              </w:tabs>
              <w:spacing w:before="120" w:line="240" w:lineRule="auto"/>
              <w:ind w:left="360" w:hanging="360"/>
              <w:jc w:val="center"/>
              <w:rPr>
                <w:rFonts w:cs="Calibri"/>
                <w:lang w:eastAsia="en-US"/>
              </w:rPr>
            </w:pPr>
            <w:r w:rsidRPr="00A251FD">
              <w:rPr>
                <w:rFonts w:cs="Calibri"/>
                <w:lang w:eastAsia="en-US"/>
              </w:rPr>
              <w:t>3.7</w:t>
            </w:r>
          </w:p>
          <w:p w14:paraId="2905BEE9" w14:textId="77777777" w:rsidR="0058762E" w:rsidRPr="00A251FD" w:rsidRDefault="0058762E" w:rsidP="006B40E1">
            <w:pPr>
              <w:jc w:val="center"/>
            </w:pPr>
          </w:p>
        </w:tc>
        <w:tc>
          <w:tcPr>
            <w:tcW w:w="617" w:type="pct"/>
            <w:vAlign w:val="center"/>
          </w:tcPr>
          <w:p w14:paraId="5C79B414" w14:textId="77777777" w:rsidR="00241E88" w:rsidRPr="00A251FD" w:rsidRDefault="00241E88" w:rsidP="006B40E1">
            <w:pPr>
              <w:pStyle w:val="mbullet1"/>
              <w:numPr>
                <w:ilvl w:val="0"/>
                <w:numId w:val="0"/>
              </w:numPr>
              <w:tabs>
                <w:tab w:val="left" w:pos="720"/>
              </w:tabs>
              <w:spacing w:before="120" w:line="240" w:lineRule="auto"/>
              <w:ind w:left="360" w:hanging="360"/>
              <w:jc w:val="center"/>
              <w:rPr>
                <w:rFonts w:cs="Calibri"/>
                <w:lang w:eastAsia="en-US"/>
              </w:rPr>
            </w:pPr>
            <w:r w:rsidRPr="00A251FD">
              <w:rPr>
                <w:rFonts w:cs="Calibri"/>
                <w:lang w:eastAsia="en-US"/>
              </w:rPr>
              <w:t>N/A</w:t>
            </w:r>
          </w:p>
          <w:p w14:paraId="43FE4F63" w14:textId="77777777" w:rsidR="0058762E" w:rsidRPr="00A251FD" w:rsidRDefault="0058762E" w:rsidP="006B40E1">
            <w:pPr>
              <w:jc w:val="center"/>
            </w:pPr>
          </w:p>
        </w:tc>
      </w:tr>
      <w:tr w:rsidR="0058762E" w:rsidRPr="00A251FD" w14:paraId="6FB253ED" w14:textId="77777777" w:rsidTr="006B40E1">
        <w:trPr>
          <w:trHeight w:val="260"/>
          <w:jc w:val="center"/>
        </w:trPr>
        <w:tc>
          <w:tcPr>
            <w:tcW w:w="1061" w:type="pct"/>
            <w:vAlign w:val="center"/>
          </w:tcPr>
          <w:p w14:paraId="24D16366" w14:textId="77777777" w:rsidR="00241E88" w:rsidRPr="00A251FD" w:rsidRDefault="00241E88" w:rsidP="00241E88">
            <w:pPr>
              <w:spacing w:after="120" w:line="240" w:lineRule="auto"/>
              <w:rPr>
                <w:lang w:eastAsia="en-US"/>
              </w:rPr>
            </w:pPr>
            <w:r w:rsidRPr="00A251FD">
              <w:rPr>
                <w:lang w:eastAsia="en-US"/>
              </w:rPr>
              <w:t>Salary setting</w:t>
            </w:r>
          </w:p>
          <w:p w14:paraId="0FDEF69B" w14:textId="77777777" w:rsidR="0058762E" w:rsidRPr="00A251FD" w:rsidRDefault="0058762E" w:rsidP="004940D8"/>
        </w:tc>
        <w:tc>
          <w:tcPr>
            <w:tcW w:w="2705" w:type="pct"/>
            <w:vAlign w:val="center"/>
          </w:tcPr>
          <w:p w14:paraId="4A3D5C05" w14:textId="77777777" w:rsidR="007E2C1E" w:rsidRPr="00A251FD" w:rsidRDefault="00385D62" w:rsidP="007E2C1E">
            <w:pPr>
              <w:spacing w:after="120" w:line="240" w:lineRule="auto"/>
              <w:rPr>
                <w:lang w:eastAsia="en-US"/>
              </w:rPr>
            </w:pPr>
            <w:r w:rsidRPr="00A251FD">
              <w:rPr>
                <w:lang w:eastAsia="en-US"/>
              </w:rPr>
              <w:t xml:space="preserve">The 2024 EA provides a greater list of considerations that the Commissioner will have regard to in setting salary above the minimum pay point in the salary range on engagement, movement, or promotion (including an employee's previous non-ongoing and casual employment with the Commission).  </w:t>
            </w:r>
            <w:r w:rsidR="007E2C1E" w:rsidRPr="00A251FD">
              <w:rPr>
                <w:lang w:eastAsia="en-US"/>
              </w:rPr>
              <w:t xml:space="preserve">The 2024 EA also provides for the Commissioner to correct the salary of an employee whose salary was incorrectly set (which the 2019 EA did not contemplate).  </w:t>
            </w:r>
          </w:p>
          <w:p w14:paraId="77A754C6" w14:textId="77777777" w:rsidR="00385D62" w:rsidRPr="00A251FD" w:rsidRDefault="00385D62" w:rsidP="00385D62">
            <w:pPr>
              <w:spacing w:after="120" w:line="240" w:lineRule="auto"/>
              <w:rPr>
                <w:lang w:eastAsia="en-US"/>
              </w:rPr>
            </w:pPr>
          </w:p>
          <w:p w14:paraId="741B15B8" w14:textId="762717BB" w:rsidR="0058762E" w:rsidRPr="00A251FD" w:rsidRDefault="00385D62" w:rsidP="007E2C1E">
            <w:pPr>
              <w:spacing w:before="0" w:after="0" w:line="240" w:lineRule="auto"/>
            </w:pPr>
            <w:r w:rsidRPr="00A251FD">
              <w:rPr>
                <w:lang w:eastAsia="en-US"/>
              </w:rPr>
              <w:t>The 2024 EA also provides that the Commissioner may determine the payment of salary at a higher value within the salary range of a classification at any time. This is not expressly recognised in the 2019 EA</w:t>
            </w:r>
            <w:r w:rsidRPr="00A251FD">
              <w:rPr>
                <w:rFonts w:eastAsiaTheme="minorHAnsi"/>
                <w:spacing w:val="0"/>
              </w:rPr>
              <w:t xml:space="preserve"> </w:t>
            </w:r>
          </w:p>
        </w:tc>
        <w:tc>
          <w:tcPr>
            <w:tcW w:w="617" w:type="pct"/>
            <w:vAlign w:val="center"/>
          </w:tcPr>
          <w:p w14:paraId="4E1D1699" w14:textId="2A9CA1EA" w:rsidR="00385D62" w:rsidRPr="00A251FD" w:rsidRDefault="00385D62" w:rsidP="006B40E1">
            <w:pPr>
              <w:pStyle w:val="mbullet1"/>
              <w:numPr>
                <w:ilvl w:val="0"/>
                <w:numId w:val="0"/>
              </w:numPr>
              <w:tabs>
                <w:tab w:val="left" w:pos="720"/>
              </w:tabs>
              <w:spacing w:before="120" w:line="240" w:lineRule="auto"/>
              <w:ind w:left="360" w:hanging="360"/>
              <w:jc w:val="center"/>
              <w:rPr>
                <w:rFonts w:cs="Calibri"/>
                <w:lang w:eastAsia="en-US"/>
              </w:rPr>
            </w:pPr>
            <w:r w:rsidRPr="00A251FD">
              <w:rPr>
                <w:rFonts w:cs="Calibri"/>
                <w:lang w:eastAsia="en-US"/>
              </w:rPr>
              <w:t>3.8</w:t>
            </w:r>
            <w:r w:rsidR="007E2C1E" w:rsidRPr="00A251FD">
              <w:rPr>
                <w:rFonts w:cs="Calibri"/>
                <w:lang w:eastAsia="en-US"/>
              </w:rPr>
              <w:t>– 3.15</w:t>
            </w:r>
          </w:p>
          <w:p w14:paraId="4CF8D501" w14:textId="77777777" w:rsidR="0058762E" w:rsidRPr="00A251FD" w:rsidRDefault="0058762E" w:rsidP="006B40E1">
            <w:pPr>
              <w:jc w:val="center"/>
            </w:pPr>
          </w:p>
        </w:tc>
        <w:tc>
          <w:tcPr>
            <w:tcW w:w="617" w:type="pct"/>
            <w:vAlign w:val="center"/>
          </w:tcPr>
          <w:p w14:paraId="7111C106" w14:textId="77777777" w:rsidR="0058762E" w:rsidRDefault="007E2C1E" w:rsidP="006B40E1">
            <w:pPr>
              <w:jc w:val="center"/>
              <w:rPr>
                <w:lang w:eastAsia="en-US"/>
              </w:rPr>
            </w:pPr>
            <w:r w:rsidRPr="00A251FD">
              <w:rPr>
                <w:lang w:eastAsia="en-US"/>
              </w:rPr>
              <w:t>3.19 – 3.20</w:t>
            </w:r>
          </w:p>
          <w:p w14:paraId="01107703" w14:textId="73E3466D" w:rsidR="00D8718C" w:rsidRPr="00A251FD" w:rsidRDefault="00D8718C" w:rsidP="006B40E1">
            <w:pPr>
              <w:jc w:val="center"/>
            </w:pPr>
          </w:p>
        </w:tc>
      </w:tr>
      <w:tr w:rsidR="0058762E" w:rsidRPr="00A251FD" w14:paraId="5DE2E80E" w14:textId="77777777" w:rsidTr="006B40E1">
        <w:trPr>
          <w:trHeight w:val="260"/>
          <w:jc w:val="center"/>
        </w:trPr>
        <w:tc>
          <w:tcPr>
            <w:tcW w:w="1061" w:type="pct"/>
            <w:vAlign w:val="center"/>
          </w:tcPr>
          <w:p w14:paraId="274AA0E3" w14:textId="77777777" w:rsidR="0058762E" w:rsidRPr="00A251FD" w:rsidRDefault="00385D62" w:rsidP="004940D8">
            <w:r w:rsidRPr="00A251FD">
              <w:rPr>
                <w:lang w:eastAsia="en-US"/>
              </w:rPr>
              <w:t>Overpayments</w:t>
            </w:r>
          </w:p>
        </w:tc>
        <w:tc>
          <w:tcPr>
            <w:tcW w:w="2705" w:type="pct"/>
            <w:vAlign w:val="center"/>
          </w:tcPr>
          <w:p w14:paraId="750AF828" w14:textId="77777777" w:rsidR="00385D62" w:rsidRPr="00A251FD" w:rsidRDefault="00385D62" w:rsidP="00385D62">
            <w:pPr>
              <w:spacing w:after="120" w:line="240" w:lineRule="auto"/>
              <w:rPr>
                <w:lang w:eastAsia="en-US"/>
              </w:rPr>
            </w:pPr>
            <w:r w:rsidRPr="00A251FD">
              <w:rPr>
                <w:lang w:eastAsia="en-US"/>
              </w:rPr>
              <w:t>The 2024 EA contains more detailed provisions relating to the recovery of overpayments, including:</w:t>
            </w:r>
          </w:p>
          <w:p w14:paraId="40DF129D" w14:textId="214721B1" w:rsidR="00385D62" w:rsidRPr="00A251FD" w:rsidRDefault="00385D62" w:rsidP="006D7502">
            <w:pPr>
              <w:pStyle w:val="ListParagraph"/>
              <w:numPr>
                <w:ilvl w:val="0"/>
                <w:numId w:val="12"/>
              </w:numPr>
              <w:spacing w:before="120" w:after="120" w:line="240" w:lineRule="auto"/>
              <w:rPr>
                <w:lang w:eastAsia="en-US"/>
              </w:rPr>
            </w:pPr>
            <w:r w:rsidRPr="00A251FD">
              <w:rPr>
                <w:lang w:eastAsia="en-US"/>
              </w:rPr>
              <w:t>a process by which the Commissioner will notify the employee of an overpayment and provide an employee with an opportunity to respond before confirming an overpayment</w:t>
            </w:r>
            <w:r w:rsidR="00BA66BE" w:rsidRPr="00A251FD">
              <w:rPr>
                <w:lang w:eastAsia="en-US"/>
              </w:rPr>
              <w:t>; and</w:t>
            </w:r>
          </w:p>
          <w:p w14:paraId="48D9E315" w14:textId="77777777" w:rsidR="00385D62" w:rsidRPr="00A251FD" w:rsidRDefault="00385D62" w:rsidP="006D7502">
            <w:pPr>
              <w:pStyle w:val="ListParagraph"/>
              <w:numPr>
                <w:ilvl w:val="0"/>
                <w:numId w:val="12"/>
              </w:numPr>
              <w:spacing w:before="120" w:after="120" w:line="240" w:lineRule="auto"/>
              <w:rPr>
                <w:lang w:eastAsia="en-US"/>
              </w:rPr>
            </w:pPr>
            <w:r w:rsidRPr="00A251FD">
              <w:rPr>
                <w:lang w:eastAsia="en-US"/>
              </w:rPr>
              <w:t>the making of recovery arrangements between the Commissioner and the employee.</w:t>
            </w:r>
          </w:p>
          <w:p w14:paraId="69E9727F" w14:textId="77777777" w:rsidR="00385D62" w:rsidRPr="00A251FD" w:rsidRDefault="00385D62" w:rsidP="00385D62">
            <w:pPr>
              <w:spacing w:after="120" w:line="240" w:lineRule="auto"/>
              <w:rPr>
                <w:lang w:eastAsia="en-US"/>
              </w:rPr>
            </w:pPr>
            <w:r w:rsidRPr="00A251FD">
              <w:rPr>
                <w:lang w:eastAsia="en-US"/>
              </w:rPr>
              <w:t xml:space="preserve">The 2024 EA makes clear that these arrangements do not prevent the Commission from pursuing recovery through other means or prevent either </w:t>
            </w:r>
            <w:r w:rsidRPr="00A251FD">
              <w:rPr>
                <w:lang w:eastAsia="en-US"/>
              </w:rPr>
              <w:lastRenderedPageBreak/>
              <w:t xml:space="preserve">party from seeking a waiver of a debt under the </w:t>
            </w:r>
            <w:r w:rsidRPr="00A251FD">
              <w:rPr>
                <w:i/>
                <w:iCs/>
                <w:lang w:eastAsia="en-US"/>
              </w:rPr>
              <w:t xml:space="preserve">Public Governance, Performance and Accountability Act 2013 (Cth) </w:t>
            </w:r>
            <w:r w:rsidRPr="00A251FD">
              <w:rPr>
                <w:lang w:eastAsia="en-US"/>
              </w:rPr>
              <w:t>(</w:t>
            </w:r>
            <w:r w:rsidRPr="00A251FD">
              <w:rPr>
                <w:b/>
                <w:bCs/>
                <w:lang w:eastAsia="en-US"/>
              </w:rPr>
              <w:t>PGPA Act</w:t>
            </w:r>
            <w:r w:rsidRPr="00A251FD">
              <w:rPr>
                <w:lang w:eastAsia="en-US"/>
              </w:rPr>
              <w:t xml:space="preserve">). </w:t>
            </w:r>
          </w:p>
          <w:p w14:paraId="3BDA521F" w14:textId="2A82452E" w:rsidR="0058762E" w:rsidRPr="00A251FD" w:rsidRDefault="00385D62" w:rsidP="00385D62">
            <w:r w:rsidRPr="00A251FD">
              <w:rPr>
                <w:lang w:eastAsia="en-US"/>
              </w:rPr>
              <w:t>The 2019 EA only states that debts that an employee owed to the Commission would be recovered in accordance with the Commissioner's instructions</w:t>
            </w:r>
            <w:r w:rsidR="00BA66BE" w:rsidRPr="00A251FD">
              <w:rPr>
                <w:lang w:eastAsia="en-US"/>
              </w:rPr>
              <w:t xml:space="preserve"> and s</w:t>
            </w:r>
            <w:r w:rsidR="009B1C26">
              <w:rPr>
                <w:lang w:eastAsia="en-US"/>
              </w:rPr>
              <w:t>ection</w:t>
            </w:r>
            <w:r w:rsidR="00BA66BE" w:rsidRPr="00A251FD">
              <w:rPr>
                <w:lang w:eastAsia="en-US"/>
              </w:rPr>
              <w:t xml:space="preserve"> 324 of the FW Act</w:t>
            </w:r>
            <w:r w:rsidRPr="00A251FD">
              <w:rPr>
                <w:lang w:eastAsia="en-US"/>
              </w:rPr>
              <w:t>.</w:t>
            </w:r>
          </w:p>
        </w:tc>
        <w:tc>
          <w:tcPr>
            <w:tcW w:w="617" w:type="pct"/>
            <w:vAlign w:val="center"/>
          </w:tcPr>
          <w:p w14:paraId="418D3CE3" w14:textId="77777777" w:rsidR="00385D62" w:rsidRPr="00A251FD" w:rsidRDefault="00385D62" w:rsidP="006B40E1">
            <w:pPr>
              <w:spacing w:after="120" w:line="240" w:lineRule="auto"/>
              <w:jc w:val="center"/>
              <w:rPr>
                <w:lang w:eastAsia="en-US"/>
              </w:rPr>
            </w:pPr>
            <w:r w:rsidRPr="00A251FD">
              <w:rPr>
                <w:lang w:eastAsia="en-US"/>
              </w:rPr>
              <w:lastRenderedPageBreak/>
              <w:t>3.16 – 3.23</w:t>
            </w:r>
          </w:p>
          <w:p w14:paraId="6265B132" w14:textId="77777777" w:rsidR="0058762E" w:rsidRPr="00A251FD" w:rsidRDefault="0058762E" w:rsidP="006B40E1">
            <w:pPr>
              <w:jc w:val="center"/>
            </w:pPr>
          </w:p>
        </w:tc>
        <w:tc>
          <w:tcPr>
            <w:tcW w:w="617" w:type="pct"/>
            <w:vAlign w:val="center"/>
          </w:tcPr>
          <w:p w14:paraId="137D95C4" w14:textId="339FF52E" w:rsidR="00B35281" w:rsidRPr="00A251FD" w:rsidRDefault="00B35281" w:rsidP="006B40E1">
            <w:pPr>
              <w:spacing w:after="120" w:line="240" w:lineRule="auto"/>
              <w:jc w:val="center"/>
              <w:rPr>
                <w:lang w:eastAsia="en-US"/>
              </w:rPr>
            </w:pPr>
            <w:r w:rsidRPr="00A251FD">
              <w:rPr>
                <w:lang w:eastAsia="en-US"/>
              </w:rPr>
              <w:t>3.13</w:t>
            </w:r>
          </w:p>
          <w:p w14:paraId="724BB81B" w14:textId="77777777" w:rsidR="0058762E" w:rsidRPr="00A251FD" w:rsidRDefault="0058762E" w:rsidP="006B40E1">
            <w:pPr>
              <w:jc w:val="center"/>
            </w:pPr>
          </w:p>
        </w:tc>
      </w:tr>
      <w:tr w:rsidR="00BA66BE" w:rsidRPr="00A251FD" w14:paraId="05A860B8" w14:textId="77777777" w:rsidTr="006B40E1">
        <w:trPr>
          <w:trHeight w:val="260"/>
          <w:jc w:val="center"/>
        </w:trPr>
        <w:tc>
          <w:tcPr>
            <w:tcW w:w="1061" w:type="pct"/>
            <w:vAlign w:val="center"/>
          </w:tcPr>
          <w:p w14:paraId="64ED51DA" w14:textId="77777777" w:rsidR="00BA66BE" w:rsidRPr="00A251FD" w:rsidRDefault="00BA66BE" w:rsidP="00BA66BE">
            <w:pPr>
              <w:spacing w:after="120" w:line="240" w:lineRule="auto"/>
              <w:rPr>
                <w:lang w:eastAsia="en-US"/>
              </w:rPr>
            </w:pPr>
            <w:r w:rsidRPr="00A251FD">
              <w:rPr>
                <w:lang w:eastAsia="en-US"/>
              </w:rPr>
              <w:t>Salary advancement (on-going and non-ongoing employees)</w:t>
            </w:r>
          </w:p>
          <w:p w14:paraId="7F6A0031" w14:textId="77777777" w:rsidR="00BA66BE" w:rsidRPr="00A251FD" w:rsidRDefault="00BA66BE" w:rsidP="00BA66BE"/>
        </w:tc>
        <w:tc>
          <w:tcPr>
            <w:tcW w:w="2705" w:type="pct"/>
            <w:vAlign w:val="center"/>
          </w:tcPr>
          <w:p w14:paraId="20965C80" w14:textId="77777777" w:rsidR="00BA66BE" w:rsidRPr="00A251FD" w:rsidRDefault="00BA66BE" w:rsidP="00BA66BE">
            <w:pPr>
              <w:spacing w:after="120" w:line="240" w:lineRule="auto"/>
              <w:rPr>
                <w:lang w:eastAsia="en-US"/>
              </w:rPr>
            </w:pPr>
            <w:r w:rsidRPr="00A251FD">
              <w:rPr>
                <w:lang w:eastAsia="en-US"/>
              </w:rPr>
              <w:t xml:space="preserve">The 2024 EA aligns the conditions for salary advancement for ongoing and non-ongoing employees. </w:t>
            </w:r>
          </w:p>
          <w:p w14:paraId="0C93F2ED" w14:textId="42B85068" w:rsidR="00BA66BE" w:rsidRPr="00A251FD" w:rsidRDefault="00BA66BE" w:rsidP="00BA66BE">
            <w:pPr>
              <w:spacing w:after="120" w:line="240" w:lineRule="auto"/>
              <w:rPr>
                <w:lang w:eastAsia="en-US"/>
              </w:rPr>
            </w:pPr>
            <w:r w:rsidRPr="00A251FD">
              <w:rPr>
                <w:lang w:eastAsia="en-US"/>
              </w:rPr>
              <w:t>The minimum period of service to be eligible for salary advancement under the 2024 EA has been reduced to 6 months of aggregate service during the performance cycle for ongoing employees and non-ongoing employees. The 2019 EA requires 6 months' continuous service for ongoing employees and a 12 months' service for non-ongoing employees.</w:t>
            </w:r>
          </w:p>
          <w:p w14:paraId="4367685A" w14:textId="33F1852B" w:rsidR="00BA66BE" w:rsidRPr="00A251FD" w:rsidRDefault="00BA66BE" w:rsidP="00BA66BE">
            <w:pPr>
              <w:spacing w:after="120" w:line="240" w:lineRule="auto"/>
              <w:rPr>
                <w:lang w:eastAsia="en-US"/>
              </w:rPr>
            </w:pPr>
            <w:r w:rsidRPr="00A251FD">
              <w:rPr>
                <w:lang w:eastAsia="en-US"/>
              </w:rPr>
              <w:t>Unlike the 2019 EA, the 2024 EA provides that periods of paid leave, unpaid leave that counts as service and paid and unpaid parental leave count towards an employee's service for advancement purposes (although an employee on unpaid parental leave can only receive advancement by one pay point during unpaid parental leave).</w:t>
            </w:r>
          </w:p>
          <w:p w14:paraId="621958EE" w14:textId="1618EA2C" w:rsidR="00BA66BE" w:rsidRPr="00A251FD" w:rsidRDefault="00BA66BE" w:rsidP="00BA66BE"/>
        </w:tc>
        <w:tc>
          <w:tcPr>
            <w:tcW w:w="617" w:type="pct"/>
            <w:vAlign w:val="center"/>
          </w:tcPr>
          <w:p w14:paraId="16112669" w14:textId="26EAD018" w:rsidR="00BA66BE" w:rsidRPr="00A251FD" w:rsidRDefault="00BA66BE" w:rsidP="006B40E1">
            <w:pPr>
              <w:jc w:val="center"/>
            </w:pPr>
            <w:r w:rsidRPr="00A251FD">
              <w:t xml:space="preserve">3.24 </w:t>
            </w:r>
            <w:r w:rsidR="006B40E1">
              <w:t>and</w:t>
            </w:r>
            <w:r w:rsidRPr="00A251FD">
              <w:t xml:space="preserve"> 3.26 – 3.28</w:t>
            </w:r>
          </w:p>
        </w:tc>
        <w:tc>
          <w:tcPr>
            <w:tcW w:w="617" w:type="pct"/>
            <w:vAlign w:val="center"/>
          </w:tcPr>
          <w:p w14:paraId="2AFB4C3C" w14:textId="48B4B9D0" w:rsidR="00BA66BE" w:rsidRPr="00A251FD" w:rsidRDefault="00BA66BE" w:rsidP="006B40E1">
            <w:pPr>
              <w:jc w:val="center"/>
            </w:pPr>
            <w:r w:rsidRPr="00A251FD">
              <w:t>3.14 and 3.18</w:t>
            </w:r>
          </w:p>
        </w:tc>
      </w:tr>
      <w:tr w:rsidR="00385D62" w:rsidRPr="00A251FD" w14:paraId="7DBBD890" w14:textId="77777777" w:rsidTr="006B40E1">
        <w:trPr>
          <w:trHeight w:val="260"/>
          <w:jc w:val="center"/>
        </w:trPr>
        <w:tc>
          <w:tcPr>
            <w:tcW w:w="1061" w:type="pct"/>
            <w:vAlign w:val="center"/>
          </w:tcPr>
          <w:p w14:paraId="2793368B" w14:textId="77777777" w:rsidR="00385D62" w:rsidRPr="00A251FD" w:rsidRDefault="00385D62" w:rsidP="00385D62">
            <w:pPr>
              <w:spacing w:after="120" w:line="240" w:lineRule="auto"/>
              <w:rPr>
                <w:lang w:eastAsia="en-US"/>
              </w:rPr>
            </w:pPr>
            <w:r w:rsidRPr="00A251FD">
              <w:rPr>
                <w:lang w:eastAsia="en-US"/>
              </w:rPr>
              <w:t xml:space="preserve">Salary advancement (temporary assignment of duties to a higher classification (TPA)) </w:t>
            </w:r>
          </w:p>
          <w:p w14:paraId="55A03D76" w14:textId="77777777" w:rsidR="00385D62" w:rsidRPr="00A251FD" w:rsidRDefault="00385D62" w:rsidP="00385D62">
            <w:pPr>
              <w:spacing w:after="120" w:line="240" w:lineRule="auto"/>
              <w:rPr>
                <w:lang w:eastAsia="en-US"/>
              </w:rPr>
            </w:pPr>
          </w:p>
        </w:tc>
        <w:tc>
          <w:tcPr>
            <w:tcW w:w="2705" w:type="pct"/>
            <w:vAlign w:val="center"/>
          </w:tcPr>
          <w:p w14:paraId="7F62BA95" w14:textId="77777777" w:rsidR="00385D62" w:rsidRPr="00A251FD" w:rsidRDefault="00385D62" w:rsidP="00385D62">
            <w:pPr>
              <w:spacing w:after="120" w:line="240" w:lineRule="auto"/>
              <w:rPr>
                <w:lang w:eastAsia="en-US"/>
              </w:rPr>
            </w:pPr>
            <w:r w:rsidRPr="00A251FD">
              <w:rPr>
                <w:lang w:eastAsia="en-US"/>
              </w:rPr>
              <w:t xml:space="preserve">The minimum period of service to be eligible for salary advancement when an employee is acting in a higher classification has been reduced under the 2024 EA. </w:t>
            </w:r>
          </w:p>
          <w:p w14:paraId="099CDF11" w14:textId="77777777" w:rsidR="00385D62" w:rsidRPr="00A251FD" w:rsidRDefault="00385D62" w:rsidP="00385D62">
            <w:pPr>
              <w:spacing w:after="120" w:line="240" w:lineRule="auto"/>
              <w:rPr>
                <w:lang w:eastAsia="en-US"/>
              </w:rPr>
            </w:pPr>
            <w:r w:rsidRPr="00A251FD">
              <w:rPr>
                <w:lang w:eastAsia="en-US"/>
              </w:rPr>
              <w:t xml:space="preserve">An employee will be eligible to receive advancement at their temporary higher classification if they have 6 months of aggregate service at that level during the </w:t>
            </w:r>
            <w:r w:rsidRPr="00A251FD">
              <w:rPr>
                <w:lang w:eastAsia="en-US"/>
              </w:rPr>
              <w:lastRenderedPageBreak/>
              <w:t>performance cycle (and they are assessed as having performed at a satisfactory level or higher at that classification).</w:t>
            </w:r>
          </w:p>
          <w:p w14:paraId="6226493E" w14:textId="77777777" w:rsidR="00385D62" w:rsidRPr="00A251FD" w:rsidRDefault="00385D62" w:rsidP="00385D62">
            <w:pPr>
              <w:spacing w:after="120" w:line="240" w:lineRule="auto"/>
              <w:rPr>
                <w:lang w:eastAsia="en-US"/>
              </w:rPr>
            </w:pPr>
            <w:r w:rsidRPr="00A251FD">
              <w:rPr>
                <w:lang w:eastAsia="en-US"/>
              </w:rPr>
              <w:t>Under the 2019 EA, an employee is eligible for advancement at the temporary higher classification if they have performed duties at the higher classification:</w:t>
            </w:r>
          </w:p>
          <w:p w14:paraId="71D4C6F5" w14:textId="77777777" w:rsidR="00385D62" w:rsidRPr="00A251FD" w:rsidRDefault="00385D62" w:rsidP="006D7502">
            <w:pPr>
              <w:pStyle w:val="ListParagraph"/>
              <w:numPr>
                <w:ilvl w:val="0"/>
                <w:numId w:val="14"/>
              </w:numPr>
              <w:spacing w:before="120" w:after="120" w:line="240" w:lineRule="auto"/>
              <w:ind w:left="462" w:hanging="284"/>
              <w:rPr>
                <w:lang w:eastAsia="en-US"/>
              </w:rPr>
            </w:pPr>
            <w:r w:rsidRPr="00A251FD">
              <w:rPr>
                <w:lang w:eastAsia="en-US"/>
              </w:rPr>
              <w:t>for a continuous period of 12 months; or</w:t>
            </w:r>
          </w:p>
          <w:p w14:paraId="0AE19360" w14:textId="77777777" w:rsidR="00385D62" w:rsidRPr="00A251FD" w:rsidRDefault="00385D62" w:rsidP="006D7502">
            <w:pPr>
              <w:pStyle w:val="ListParagraph"/>
              <w:numPr>
                <w:ilvl w:val="0"/>
                <w:numId w:val="14"/>
              </w:numPr>
              <w:spacing w:before="120" w:after="120" w:line="240" w:lineRule="auto"/>
              <w:ind w:left="460" w:hanging="284"/>
              <w:rPr>
                <w:lang w:eastAsia="en-US"/>
              </w:rPr>
            </w:pPr>
            <w:r w:rsidRPr="00A251FD">
              <w:rPr>
                <w:lang w:eastAsia="en-US"/>
              </w:rPr>
              <w:t>for 12 months within a 24 month period.</w:t>
            </w:r>
          </w:p>
          <w:p w14:paraId="0ADF92C9" w14:textId="77777777" w:rsidR="00385D62" w:rsidRPr="00A251FD" w:rsidRDefault="00385D62" w:rsidP="00385D62">
            <w:pPr>
              <w:spacing w:after="120" w:line="240" w:lineRule="auto"/>
              <w:rPr>
                <w:lang w:eastAsia="en-US"/>
              </w:rPr>
            </w:pPr>
            <w:r w:rsidRPr="00A251FD">
              <w:rPr>
                <w:lang w:eastAsia="en-US"/>
              </w:rPr>
              <w:t>Under the 2024 EA, an employee who receives advancement at a temporary higher classification will retain that higher level for all periods of acting, regardless of elapsed time.</w:t>
            </w:r>
          </w:p>
          <w:p w14:paraId="3E0ED261" w14:textId="77777777" w:rsidR="00385D62" w:rsidRPr="00A251FD" w:rsidRDefault="00385D62" w:rsidP="00385D62">
            <w:pPr>
              <w:spacing w:after="120" w:line="240" w:lineRule="auto"/>
              <w:rPr>
                <w:lang w:eastAsia="en-US"/>
              </w:rPr>
            </w:pPr>
            <w:r w:rsidRPr="00A251FD">
              <w:rPr>
                <w:lang w:eastAsia="en-US"/>
              </w:rPr>
              <w:t>Under the 2019 EA, this advancement is not retained if an employee has not performed higher duties within 24 months.</w:t>
            </w:r>
          </w:p>
        </w:tc>
        <w:tc>
          <w:tcPr>
            <w:tcW w:w="617" w:type="pct"/>
            <w:vAlign w:val="center"/>
          </w:tcPr>
          <w:p w14:paraId="59A9B744" w14:textId="0478072A" w:rsidR="00385D62" w:rsidRPr="00A251FD" w:rsidRDefault="00385D62" w:rsidP="006B40E1">
            <w:pPr>
              <w:spacing w:after="120" w:line="240" w:lineRule="auto"/>
              <w:jc w:val="center"/>
              <w:rPr>
                <w:lang w:eastAsia="en-US"/>
              </w:rPr>
            </w:pPr>
            <w:r w:rsidRPr="00A251FD">
              <w:rPr>
                <w:lang w:eastAsia="en-US"/>
              </w:rPr>
              <w:lastRenderedPageBreak/>
              <w:t xml:space="preserve">3.25 </w:t>
            </w:r>
            <w:r w:rsidR="006B40E1">
              <w:rPr>
                <w:lang w:eastAsia="en-US"/>
              </w:rPr>
              <w:t>and</w:t>
            </w:r>
            <w:r w:rsidRPr="00A251FD">
              <w:rPr>
                <w:lang w:eastAsia="en-US"/>
              </w:rPr>
              <w:t xml:space="preserve"> 3.26</w:t>
            </w:r>
          </w:p>
          <w:p w14:paraId="5EE89859" w14:textId="77777777" w:rsidR="00385D62" w:rsidRPr="00A251FD" w:rsidRDefault="00385D62" w:rsidP="006B40E1">
            <w:pPr>
              <w:spacing w:after="120" w:line="240" w:lineRule="auto"/>
              <w:jc w:val="center"/>
              <w:rPr>
                <w:lang w:eastAsia="en-US"/>
              </w:rPr>
            </w:pPr>
          </w:p>
        </w:tc>
        <w:tc>
          <w:tcPr>
            <w:tcW w:w="617" w:type="pct"/>
            <w:vAlign w:val="center"/>
          </w:tcPr>
          <w:p w14:paraId="72B92E44" w14:textId="691B1447" w:rsidR="00DB0697" w:rsidRPr="00A251FD" w:rsidRDefault="00D8718C" w:rsidP="006B40E1">
            <w:pPr>
              <w:spacing w:after="120" w:line="240" w:lineRule="auto"/>
              <w:jc w:val="center"/>
              <w:rPr>
                <w:lang w:eastAsia="en-US"/>
              </w:rPr>
            </w:pPr>
            <w:r>
              <w:rPr>
                <w:lang w:eastAsia="en-US"/>
              </w:rPr>
              <w:t xml:space="preserve">3.15 – </w:t>
            </w:r>
            <w:r w:rsidR="00DB0697" w:rsidRPr="00A251FD">
              <w:rPr>
                <w:lang w:eastAsia="en-US"/>
              </w:rPr>
              <w:t>3.18</w:t>
            </w:r>
          </w:p>
          <w:p w14:paraId="1C2976B6" w14:textId="77777777" w:rsidR="00385D62" w:rsidRPr="00A251FD" w:rsidRDefault="00385D62" w:rsidP="006B40E1">
            <w:pPr>
              <w:jc w:val="center"/>
            </w:pPr>
          </w:p>
        </w:tc>
      </w:tr>
      <w:tr w:rsidR="00385D62" w:rsidRPr="00A251FD" w14:paraId="51527E15" w14:textId="77777777" w:rsidTr="006B40E1">
        <w:trPr>
          <w:trHeight w:val="260"/>
          <w:jc w:val="center"/>
        </w:trPr>
        <w:tc>
          <w:tcPr>
            <w:tcW w:w="1061" w:type="pct"/>
            <w:vAlign w:val="center"/>
          </w:tcPr>
          <w:p w14:paraId="62AE4802" w14:textId="0C69A047" w:rsidR="00BA66BE" w:rsidRPr="00A251FD" w:rsidRDefault="00385D62" w:rsidP="00BA66BE">
            <w:pPr>
              <w:spacing w:after="120" w:line="240" w:lineRule="auto"/>
            </w:pPr>
            <w:r w:rsidRPr="00A251FD">
              <w:t xml:space="preserve">Higher duties allowance </w:t>
            </w:r>
            <w:r w:rsidR="00BA66BE" w:rsidRPr="00A251FD">
              <w:t>(Temporary re-assignment to a higher classification)</w:t>
            </w:r>
          </w:p>
          <w:p w14:paraId="1275A97B" w14:textId="77777777" w:rsidR="00BA66BE" w:rsidRPr="00A251FD" w:rsidRDefault="00BA66BE" w:rsidP="00385D62">
            <w:pPr>
              <w:spacing w:after="120" w:line="240" w:lineRule="auto"/>
            </w:pPr>
          </w:p>
          <w:p w14:paraId="28776BDF" w14:textId="77777777" w:rsidR="00385D62" w:rsidRPr="00A251FD" w:rsidRDefault="00385D62" w:rsidP="00385D62">
            <w:pPr>
              <w:spacing w:after="120" w:line="240" w:lineRule="auto"/>
              <w:rPr>
                <w:lang w:eastAsia="en-US"/>
              </w:rPr>
            </w:pPr>
          </w:p>
        </w:tc>
        <w:tc>
          <w:tcPr>
            <w:tcW w:w="2705" w:type="pct"/>
            <w:vAlign w:val="center"/>
          </w:tcPr>
          <w:p w14:paraId="08722414" w14:textId="77777777" w:rsidR="00385D62" w:rsidRPr="00A251FD" w:rsidRDefault="00385D62" w:rsidP="00385D62">
            <w:pPr>
              <w:spacing w:after="120" w:line="240" w:lineRule="auto"/>
              <w:rPr>
                <w:lang w:eastAsia="en-US"/>
              </w:rPr>
            </w:pPr>
            <w:r w:rsidRPr="00A251FD">
              <w:rPr>
                <w:lang w:eastAsia="en-US"/>
              </w:rPr>
              <w:t xml:space="preserve">The 2024 EA provides that where a role needs to be filled for 2 or more working weeks, higher duties allowance will be paid to any employee occupying the role at a classification higher than their substantive classification. </w:t>
            </w:r>
          </w:p>
          <w:p w14:paraId="27C861BD" w14:textId="77777777" w:rsidR="00BA66BE" w:rsidRPr="00A251FD" w:rsidRDefault="00BA66BE" w:rsidP="00BA66BE">
            <w:pPr>
              <w:spacing w:after="120" w:line="240" w:lineRule="auto"/>
            </w:pPr>
            <w:r w:rsidRPr="00A251FD">
              <w:t xml:space="preserve">The 2019 EA requires an employee to be performing higher duties for a minimum period of two weeks to receive higher duties allowance, unless the Commissioner determines a shorter period. The 2024 EA retains the ability for the Commissioner to determine a shorter period. </w:t>
            </w:r>
          </w:p>
          <w:p w14:paraId="7AFD2F77" w14:textId="447B23CF" w:rsidR="00385D62" w:rsidRPr="00A251FD" w:rsidRDefault="00385D62" w:rsidP="00BA66BE">
            <w:pPr>
              <w:spacing w:after="120" w:line="240" w:lineRule="auto"/>
              <w:rPr>
                <w:lang w:eastAsia="en-US"/>
              </w:rPr>
            </w:pPr>
            <w:r w:rsidRPr="00A251FD">
              <w:rPr>
                <w:lang w:eastAsia="en-US"/>
              </w:rPr>
              <w:t xml:space="preserve">The 2024 EA also </w:t>
            </w:r>
            <w:r w:rsidR="00BA66BE" w:rsidRPr="00A251FD">
              <w:rPr>
                <w:lang w:eastAsia="en-US"/>
              </w:rPr>
              <w:t>provides higher</w:t>
            </w:r>
            <w:r w:rsidRPr="00A251FD">
              <w:rPr>
                <w:lang w:eastAsia="en-US"/>
              </w:rPr>
              <w:t xml:space="preserve"> duties allowance is payable where an employee is acting in higher duties as part of a job share arrangement for at least two working weeks</w:t>
            </w:r>
            <w:r w:rsidR="00BA66BE" w:rsidRPr="00A251FD">
              <w:rPr>
                <w:lang w:eastAsia="en-US"/>
              </w:rPr>
              <w:t>.</w:t>
            </w:r>
          </w:p>
          <w:p w14:paraId="12BA06B2" w14:textId="77777777" w:rsidR="00385D62" w:rsidRPr="00A251FD" w:rsidRDefault="00385D62" w:rsidP="00385D62">
            <w:pPr>
              <w:spacing w:after="120" w:line="240" w:lineRule="auto"/>
              <w:rPr>
                <w:lang w:eastAsia="en-US"/>
              </w:rPr>
            </w:pPr>
            <w:r w:rsidRPr="00A251FD">
              <w:rPr>
                <w:lang w:eastAsia="en-US"/>
              </w:rPr>
              <w:t xml:space="preserve">This is not set out in the 2019 EA. </w:t>
            </w:r>
          </w:p>
          <w:p w14:paraId="059FA8BE" w14:textId="4F0112D2" w:rsidR="00385D62" w:rsidRPr="00A251FD" w:rsidRDefault="00385D62" w:rsidP="00385D62">
            <w:pPr>
              <w:spacing w:after="120" w:line="240" w:lineRule="auto"/>
              <w:rPr>
                <w:lang w:eastAsia="en-US"/>
              </w:rPr>
            </w:pPr>
          </w:p>
        </w:tc>
        <w:tc>
          <w:tcPr>
            <w:tcW w:w="617" w:type="pct"/>
            <w:vAlign w:val="center"/>
          </w:tcPr>
          <w:p w14:paraId="15A86749" w14:textId="77777777" w:rsidR="00495ACB" w:rsidRPr="00A251FD" w:rsidRDefault="00495ACB" w:rsidP="006B40E1">
            <w:pPr>
              <w:spacing w:after="120" w:line="240" w:lineRule="auto"/>
              <w:jc w:val="center"/>
              <w:rPr>
                <w:lang w:eastAsia="en-US"/>
              </w:rPr>
            </w:pPr>
          </w:p>
          <w:p w14:paraId="59193ED7" w14:textId="15FFE95E" w:rsidR="00385D62" w:rsidRPr="00A251FD" w:rsidRDefault="00385D62" w:rsidP="006B40E1">
            <w:pPr>
              <w:spacing w:after="120" w:line="240" w:lineRule="auto"/>
              <w:jc w:val="center"/>
              <w:rPr>
                <w:lang w:eastAsia="en-US"/>
              </w:rPr>
            </w:pPr>
            <w:r w:rsidRPr="00A251FD">
              <w:rPr>
                <w:lang w:eastAsia="en-US"/>
              </w:rPr>
              <w:t>3.29 – 3.34</w:t>
            </w:r>
          </w:p>
          <w:p w14:paraId="388C9253" w14:textId="77777777" w:rsidR="00385D62" w:rsidRPr="00A251FD" w:rsidRDefault="00385D62" w:rsidP="006B40E1">
            <w:pPr>
              <w:spacing w:after="120" w:line="240" w:lineRule="auto"/>
              <w:jc w:val="center"/>
              <w:rPr>
                <w:lang w:eastAsia="en-US"/>
              </w:rPr>
            </w:pPr>
          </w:p>
        </w:tc>
        <w:tc>
          <w:tcPr>
            <w:tcW w:w="617" w:type="pct"/>
            <w:vAlign w:val="center"/>
          </w:tcPr>
          <w:p w14:paraId="03D65A4A" w14:textId="773BE4BE" w:rsidR="00385D62" w:rsidRPr="00A251FD" w:rsidRDefault="00BA66BE" w:rsidP="006B40E1">
            <w:pPr>
              <w:jc w:val="center"/>
            </w:pPr>
            <w:r w:rsidRPr="00A251FD">
              <w:t>3.21 – 3.24</w:t>
            </w:r>
          </w:p>
        </w:tc>
      </w:tr>
    </w:tbl>
    <w:p w14:paraId="64BBC41E" w14:textId="77777777" w:rsidR="00385D62" w:rsidRPr="00A251FD" w:rsidRDefault="00385D62" w:rsidP="00385D62">
      <w:pPr>
        <w:pStyle w:val="Heading2"/>
      </w:pPr>
      <w:r w:rsidRPr="00A251FD">
        <w:lastRenderedPageBreak/>
        <w:t>Part 4 – Allowances and reimbursements</w:t>
      </w:r>
    </w:p>
    <w:tbl>
      <w:tblPr>
        <w:tblStyle w:val="TableGrid"/>
        <w:tblW w:w="5000" w:type="pct"/>
        <w:jc w:val="center"/>
        <w:tblLook w:val="04A0" w:firstRow="1" w:lastRow="0" w:firstColumn="1" w:lastColumn="0" w:noHBand="0" w:noVBand="1"/>
        <w:tblCaption w:val="EA Fact Sheet - Key Features"/>
        <w:tblDescription w:val="EA Fact Sheet - Key Features"/>
      </w:tblPr>
      <w:tblGrid>
        <w:gridCol w:w="3029"/>
        <w:gridCol w:w="7723"/>
        <w:gridCol w:w="1762"/>
        <w:gridCol w:w="1762"/>
      </w:tblGrid>
      <w:tr w:rsidR="00A251FD" w:rsidRPr="00A251FD" w14:paraId="348D2587" w14:textId="77777777" w:rsidTr="006B40E1">
        <w:trPr>
          <w:trHeight w:val="416"/>
          <w:tblHeader/>
          <w:jc w:val="center"/>
        </w:trPr>
        <w:tc>
          <w:tcPr>
            <w:tcW w:w="1061" w:type="pct"/>
            <w:shd w:val="clear" w:color="auto" w:fill="943C84"/>
            <w:vAlign w:val="center"/>
          </w:tcPr>
          <w:p w14:paraId="79A0BE0F" w14:textId="23F2E8CF" w:rsidR="00385D62" w:rsidRPr="00A251FD" w:rsidRDefault="00385D62" w:rsidP="006B40E1">
            <w:pPr>
              <w:spacing w:after="120" w:line="240" w:lineRule="auto"/>
              <w:rPr>
                <w:b/>
                <w:color w:val="FFFFFF" w:themeColor="background1"/>
                <w:lang w:eastAsia="en-US"/>
              </w:rPr>
            </w:pPr>
            <w:r w:rsidRPr="00A251FD">
              <w:rPr>
                <w:b/>
                <w:color w:val="FFFFFF" w:themeColor="background1"/>
                <w:lang w:eastAsia="en-US"/>
              </w:rPr>
              <w:t>Employment Condition</w:t>
            </w:r>
          </w:p>
        </w:tc>
        <w:tc>
          <w:tcPr>
            <w:tcW w:w="2705" w:type="pct"/>
            <w:shd w:val="clear" w:color="auto" w:fill="943C84"/>
            <w:vAlign w:val="center"/>
          </w:tcPr>
          <w:p w14:paraId="1DC4A92D" w14:textId="4454D69A" w:rsidR="00385D62" w:rsidRPr="00A251FD" w:rsidRDefault="00385D62" w:rsidP="006B40E1">
            <w:pPr>
              <w:spacing w:after="120" w:line="240" w:lineRule="auto"/>
              <w:rPr>
                <w:b/>
                <w:color w:val="FFFFFF" w:themeColor="background1"/>
                <w:lang w:eastAsia="en-US"/>
              </w:rPr>
            </w:pPr>
            <w:r w:rsidRPr="00A251FD">
              <w:rPr>
                <w:b/>
                <w:color w:val="FFFFFF" w:themeColor="background1"/>
                <w:lang w:eastAsia="en-US"/>
              </w:rPr>
              <w:t xml:space="preserve">Explanation of key changes from 2019 EA  </w:t>
            </w:r>
          </w:p>
        </w:tc>
        <w:tc>
          <w:tcPr>
            <w:tcW w:w="617" w:type="pct"/>
            <w:shd w:val="clear" w:color="auto" w:fill="943C84"/>
            <w:vAlign w:val="center"/>
          </w:tcPr>
          <w:p w14:paraId="7F0A21F6" w14:textId="4082F937" w:rsidR="00385D62" w:rsidRPr="00A251FD" w:rsidRDefault="00385D62" w:rsidP="006B40E1">
            <w:pPr>
              <w:spacing w:after="120" w:line="240" w:lineRule="auto"/>
              <w:jc w:val="center"/>
              <w:rPr>
                <w:b/>
                <w:color w:val="FFFFFF" w:themeColor="background1"/>
                <w:lang w:eastAsia="en-US"/>
              </w:rPr>
            </w:pPr>
            <w:r w:rsidRPr="00A251FD">
              <w:rPr>
                <w:b/>
                <w:color w:val="FFFFFF" w:themeColor="background1"/>
                <w:lang w:eastAsia="en-US"/>
              </w:rPr>
              <w:t>2024 EA clause</w:t>
            </w:r>
          </w:p>
        </w:tc>
        <w:tc>
          <w:tcPr>
            <w:tcW w:w="617" w:type="pct"/>
            <w:shd w:val="clear" w:color="auto" w:fill="943C84"/>
            <w:vAlign w:val="center"/>
          </w:tcPr>
          <w:p w14:paraId="3C30BB45" w14:textId="122A9452" w:rsidR="00385D62" w:rsidRPr="00A251FD" w:rsidRDefault="00385D62" w:rsidP="006B40E1">
            <w:pPr>
              <w:spacing w:after="120" w:line="240" w:lineRule="auto"/>
              <w:jc w:val="center"/>
              <w:rPr>
                <w:b/>
                <w:color w:val="FFFFFF" w:themeColor="background1"/>
                <w:lang w:eastAsia="en-US"/>
              </w:rPr>
            </w:pPr>
            <w:r w:rsidRPr="00A251FD">
              <w:rPr>
                <w:b/>
                <w:color w:val="FFFFFF" w:themeColor="background1"/>
                <w:lang w:eastAsia="en-US"/>
              </w:rPr>
              <w:t>2019 EA clause</w:t>
            </w:r>
          </w:p>
        </w:tc>
      </w:tr>
      <w:tr w:rsidR="00385D62" w:rsidRPr="00A251FD" w14:paraId="5F761AA3" w14:textId="77777777" w:rsidTr="006B40E1">
        <w:trPr>
          <w:trHeight w:val="260"/>
          <w:jc w:val="center"/>
        </w:trPr>
        <w:tc>
          <w:tcPr>
            <w:tcW w:w="1061" w:type="pct"/>
            <w:vAlign w:val="center"/>
          </w:tcPr>
          <w:p w14:paraId="25E56F41" w14:textId="77777777" w:rsidR="00385D62" w:rsidRPr="00A251FD" w:rsidRDefault="00385D62" w:rsidP="00385D62">
            <w:pPr>
              <w:spacing w:after="120" w:line="240" w:lineRule="auto"/>
            </w:pPr>
            <w:r w:rsidRPr="00A251FD">
              <w:t>Workplace responsibility allowance</w:t>
            </w:r>
          </w:p>
          <w:p w14:paraId="416F9A57" w14:textId="77777777" w:rsidR="00385D62" w:rsidRPr="00A251FD" w:rsidRDefault="00385D62" w:rsidP="004940D8"/>
        </w:tc>
        <w:tc>
          <w:tcPr>
            <w:tcW w:w="2705" w:type="pct"/>
            <w:vAlign w:val="center"/>
          </w:tcPr>
          <w:p w14:paraId="7180CBDA" w14:textId="77777777" w:rsidR="00385D62" w:rsidRPr="00A251FD" w:rsidRDefault="00385D62" w:rsidP="00385D62">
            <w:pPr>
              <w:spacing w:after="120" w:line="240" w:lineRule="auto"/>
            </w:pPr>
            <w:r w:rsidRPr="00A251FD">
              <w:t xml:space="preserve">The 2024 EA: </w:t>
            </w:r>
          </w:p>
          <w:p w14:paraId="751958A3" w14:textId="22EB75F7" w:rsidR="00385D62" w:rsidRPr="00A251FD" w:rsidRDefault="00385D62" w:rsidP="00BA66BE">
            <w:pPr>
              <w:pStyle w:val="ListParagraph"/>
              <w:numPr>
                <w:ilvl w:val="0"/>
                <w:numId w:val="16"/>
              </w:numPr>
              <w:spacing w:before="120" w:after="120" w:line="240" w:lineRule="auto"/>
            </w:pPr>
            <w:r w:rsidRPr="00A251FD">
              <w:t xml:space="preserve">includes a fortnightly allowance for employees appointed/elected to the role of First Aid Officer, Emergency Warden, Health and Safety Representative, </w:t>
            </w:r>
            <w:r w:rsidR="00BA66BE" w:rsidRPr="00A251FD">
              <w:t xml:space="preserve">Mental Health First Aid Officer and/or </w:t>
            </w:r>
            <w:r w:rsidRPr="00A251FD">
              <w:t>Harassment Contact Officer</w:t>
            </w:r>
            <w:r w:rsidR="00BA66BE" w:rsidRPr="00A251FD">
              <w:t>.</w:t>
            </w:r>
            <w:r w:rsidRPr="00A251FD">
              <w:t xml:space="preserve"> </w:t>
            </w:r>
            <w:r w:rsidR="00BA66BE" w:rsidRPr="00A251FD">
              <w:t>T</w:t>
            </w:r>
            <w:r w:rsidRPr="00A251FD">
              <w:t>he 2019 EA</w:t>
            </w:r>
            <w:r w:rsidR="00BA66BE" w:rsidRPr="00A251FD">
              <w:t xml:space="preserve"> provided an allowance for each of these roles except the Mental Health First Aid Officer role</w:t>
            </w:r>
          </w:p>
          <w:p w14:paraId="53461CB0" w14:textId="40A53BEF" w:rsidR="00E06FC3" w:rsidRPr="00A251FD" w:rsidRDefault="00385D62" w:rsidP="009B1C26">
            <w:pPr>
              <w:pStyle w:val="ListParagraph"/>
              <w:numPr>
                <w:ilvl w:val="0"/>
                <w:numId w:val="16"/>
              </w:numPr>
              <w:spacing w:before="120" w:after="120" w:line="240" w:lineRule="auto"/>
            </w:pPr>
            <w:r w:rsidRPr="00A251FD">
              <w:t>makes clear that the full amount of the fortnightly allowance is payable irrespective of flexible working, part-time or casual</w:t>
            </w:r>
            <w:r w:rsidR="009B1C26">
              <w:t xml:space="preserve"> </w:t>
            </w:r>
            <w:r w:rsidR="00E06FC3" w:rsidRPr="00A251FD">
              <w:t>employment arrangements (provided a casual employee works during a fortnight)</w:t>
            </w:r>
            <w:r w:rsidR="00BA66BE" w:rsidRPr="00A251FD">
              <w:t>. The 2019 EA provides the allowance is pro-rated for part-time employees; and</w:t>
            </w:r>
          </w:p>
          <w:p w14:paraId="43C77330" w14:textId="77777777" w:rsidR="00E06FC3" w:rsidRPr="00A251FD" w:rsidRDefault="00E06FC3" w:rsidP="006D7502">
            <w:pPr>
              <w:pStyle w:val="ListParagraph"/>
              <w:numPr>
                <w:ilvl w:val="0"/>
                <w:numId w:val="16"/>
              </w:numPr>
              <w:spacing w:before="120" w:after="120" w:line="240" w:lineRule="auto"/>
            </w:pPr>
            <w:r w:rsidRPr="00A251FD">
              <w:t xml:space="preserve">contains an increased rate of allowance. </w:t>
            </w:r>
          </w:p>
          <w:p w14:paraId="6B7C7C41" w14:textId="6D9E8099" w:rsidR="00BA66BE" w:rsidRPr="00A251FD" w:rsidRDefault="00BA66BE" w:rsidP="00BA66BE">
            <w:r w:rsidRPr="00A251FD">
              <w:t>The 2024 EA provides that a</w:t>
            </w:r>
            <w:r w:rsidR="00E06FC3" w:rsidRPr="00A251FD">
              <w:t>n employee’s physical availability to undertake the role will be considered by the Commissioner when appointing and reappointing an employee to a workplace responsibility role</w:t>
            </w:r>
            <w:r w:rsidRPr="00A251FD">
              <w:t>, which was not provided for by the 2019 EA.</w:t>
            </w:r>
          </w:p>
          <w:p w14:paraId="559ADDD1" w14:textId="3EDC02F2" w:rsidR="00E06FC3" w:rsidRPr="00A251FD" w:rsidRDefault="00BA66BE" w:rsidP="00BA66BE">
            <w:r w:rsidRPr="00A251FD">
              <w:t>Unlike the 2019 EA, the 2024 EA does not provide that the allowance ceases to be payable during periods of leave greater than 4 weeks.</w:t>
            </w:r>
          </w:p>
        </w:tc>
        <w:tc>
          <w:tcPr>
            <w:tcW w:w="617" w:type="pct"/>
            <w:vAlign w:val="center"/>
          </w:tcPr>
          <w:p w14:paraId="313C6B8D" w14:textId="77777777" w:rsidR="00385D62" w:rsidRPr="00A251FD" w:rsidRDefault="00385D62" w:rsidP="006B40E1">
            <w:pPr>
              <w:spacing w:after="120" w:line="240" w:lineRule="auto"/>
              <w:jc w:val="center"/>
              <w:rPr>
                <w:lang w:eastAsia="en-US"/>
              </w:rPr>
            </w:pPr>
            <w:r w:rsidRPr="00A251FD">
              <w:rPr>
                <w:lang w:eastAsia="en-US"/>
              </w:rPr>
              <w:t>4.1 – 4.5</w:t>
            </w:r>
          </w:p>
          <w:p w14:paraId="75F6C4C7" w14:textId="77777777" w:rsidR="00385D62" w:rsidRPr="00A251FD" w:rsidRDefault="00385D62" w:rsidP="006B40E1">
            <w:pPr>
              <w:jc w:val="center"/>
            </w:pPr>
          </w:p>
        </w:tc>
        <w:tc>
          <w:tcPr>
            <w:tcW w:w="617" w:type="pct"/>
            <w:vAlign w:val="center"/>
          </w:tcPr>
          <w:p w14:paraId="54BD7ECE" w14:textId="0F4ACDDE" w:rsidR="00871479" w:rsidRPr="00A251FD" w:rsidRDefault="005C3B99" w:rsidP="006B40E1">
            <w:pPr>
              <w:spacing w:after="120" w:line="240" w:lineRule="auto"/>
              <w:jc w:val="center"/>
              <w:rPr>
                <w:lang w:eastAsia="en-US"/>
              </w:rPr>
            </w:pPr>
            <w:r>
              <w:rPr>
                <w:lang w:eastAsia="en-US"/>
              </w:rPr>
              <w:t xml:space="preserve">4.1 – </w:t>
            </w:r>
            <w:r w:rsidR="00871479" w:rsidRPr="00A251FD">
              <w:rPr>
                <w:lang w:eastAsia="en-US"/>
              </w:rPr>
              <w:t>4.3</w:t>
            </w:r>
          </w:p>
          <w:p w14:paraId="16E80E37" w14:textId="77777777" w:rsidR="00385D62" w:rsidRPr="00A251FD" w:rsidRDefault="00385D62" w:rsidP="006B40E1">
            <w:pPr>
              <w:jc w:val="center"/>
            </w:pPr>
          </w:p>
        </w:tc>
      </w:tr>
      <w:tr w:rsidR="00B34804" w:rsidRPr="00A251FD" w14:paraId="60C2CED5" w14:textId="77777777" w:rsidTr="006B40E1">
        <w:trPr>
          <w:trHeight w:val="260"/>
          <w:jc w:val="center"/>
        </w:trPr>
        <w:tc>
          <w:tcPr>
            <w:tcW w:w="1061" w:type="pct"/>
            <w:vAlign w:val="center"/>
          </w:tcPr>
          <w:p w14:paraId="1CA50A77" w14:textId="77777777" w:rsidR="00B34804" w:rsidRPr="00A251FD" w:rsidRDefault="00B34804" w:rsidP="00B34804">
            <w:pPr>
              <w:spacing w:after="120" w:line="240" w:lineRule="auto"/>
              <w:rPr>
                <w:lang w:eastAsia="en-US"/>
              </w:rPr>
            </w:pPr>
            <w:r w:rsidRPr="00A251FD">
              <w:rPr>
                <w:lang w:eastAsia="en-US"/>
              </w:rPr>
              <w:t>Community language allowance</w:t>
            </w:r>
          </w:p>
          <w:p w14:paraId="50FF1C84" w14:textId="77777777" w:rsidR="00B34804" w:rsidRPr="00A251FD" w:rsidRDefault="00B34804" w:rsidP="00385D62">
            <w:pPr>
              <w:spacing w:after="120" w:line="240" w:lineRule="auto"/>
            </w:pPr>
          </w:p>
        </w:tc>
        <w:tc>
          <w:tcPr>
            <w:tcW w:w="2705" w:type="pct"/>
            <w:vAlign w:val="center"/>
          </w:tcPr>
          <w:p w14:paraId="2B818912" w14:textId="77777777" w:rsidR="00B34804" w:rsidRPr="00A251FD" w:rsidRDefault="00B34804" w:rsidP="00B34804">
            <w:pPr>
              <w:spacing w:after="120" w:line="240" w:lineRule="auto"/>
            </w:pPr>
            <w:r w:rsidRPr="00A251FD">
              <w:t>The 2024 EA provides for a community language allowance to be paid where the Commissioner determines an employee is "regularly required to use their ability to communicate in Braille or a language other than English (including First Nations languages) in the course of their work" (and where the employee meets the required level of competency).</w:t>
            </w:r>
          </w:p>
          <w:p w14:paraId="23744458" w14:textId="77777777" w:rsidR="00B34804" w:rsidRPr="00A251FD" w:rsidRDefault="00B34804" w:rsidP="00B34804">
            <w:pPr>
              <w:spacing w:after="120" w:line="240" w:lineRule="auto"/>
            </w:pPr>
            <w:r w:rsidRPr="00A251FD">
              <w:lastRenderedPageBreak/>
              <w:t>The 2024 EA also clarifies:</w:t>
            </w:r>
          </w:p>
          <w:p w14:paraId="3E6E9E6A" w14:textId="5FB50815" w:rsidR="00B34804" w:rsidRPr="00A251FD" w:rsidRDefault="00BA66BE" w:rsidP="006D7502">
            <w:pPr>
              <w:pStyle w:val="ListParagraph"/>
              <w:numPr>
                <w:ilvl w:val="0"/>
                <w:numId w:val="16"/>
              </w:numPr>
              <w:spacing w:before="120" w:after="120" w:line="240" w:lineRule="auto"/>
            </w:pPr>
            <w:r w:rsidRPr="00A251FD">
              <w:t>t</w:t>
            </w:r>
            <w:r w:rsidR="00B34804" w:rsidRPr="00A251FD">
              <w:t>he full allowance is payable regardless of flexible work and part-time arrangements</w:t>
            </w:r>
            <w:r w:rsidRPr="00A251FD">
              <w:t>; and</w:t>
            </w:r>
            <w:r w:rsidR="00B34804" w:rsidRPr="00A251FD">
              <w:t xml:space="preserve"> </w:t>
            </w:r>
          </w:p>
          <w:p w14:paraId="65F5CA32" w14:textId="6D5284F8" w:rsidR="00B34804" w:rsidRPr="00A251FD" w:rsidRDefault="00BA66BE" w:rsidP="00BA66BE">
            <w:pPr>
              <w:pStyle w:val="ListParagraph"/>
              <w:spacing w:before="120" w:after="120" w:line="240" w:lineRule="auto"/>
              <w:ind w:left="780"/>
            </w:pPr>
            <w:r w:rsidRPr="00A251FD">
              <w:t>t</w:t>
            </w:r>
            <w:r w:rsidR="00B34804" w:rsidRPr="00A251FD">
              <w:t>he allowance counts as salary for superannuation purposes and for calculating retirement and redundancy entitlements.</w:t>
            </w:r>
          </w:p>
        </w:tc>
        <w:tc>
          <w:tcPr>
            <w:tcW w:w="617" w:type="pct"/>
            <w:vAlign w:val="center"/>
          </w:tcPr>
          <w:p w14:paraId="7B56AC5D" w14:textId="77777777" w:rsidR="00B34804" w:rsidRPr="00A251FD" w:rsidRDefault="00B34804" w:rsidP="006B40E1">
            <w:pPr>
              <w:spacing w:after="120" w:line="240" w:lineRule="auto"/>
              <w:jc w:val="center"/>
              <w:rPr>
                <w:lang w:eastAsia="en-US"/>
              </w:rPr>
            </w:pPr>
            <w:r w:rsidRPr="00A251FD">
              <w:rPr>
                <w:lang w:eastAsia="en-US"/>
              </w:rPr>
              <w:lastRenderedPageBreak/>
              <w:t>4.6 – 4.11</w:t>
            </w:r>
          </w:p>
          <w:p w14:paraId="215ABCA1" w14:textId="77777777" w:rsidR="00B34804" w:rsidRPr="00A251FD" w:rsidRDefault="00B34804" w:rsidP="006B40E1">
            <w:pPr>
              <w:spacing w:after="120" w:line="240" w:lineRule="auto"/>
              <w:jc w:val="center"/>
              <w:rPr>
                <w:lang w:eastAsia="en-US"/>
              </w:rPr>
            </w:pPr>
          </w:p>
        </w:tc>
        <w:tc>
          <w:tcPr>
            <w:tcW w:w="617" w:type="pct"/>
            <w:vAlign w:val="center"/>
          </w:tcPr>
          <w:p w14:paraId="0134FC4B" w14:textId="77777777" w:rsidR="00277DE7" w:rsidRPr="00A251FD" w:rsidRDefault="00277DE7" w:rsidP="006B40E1">
            <w:pPr>
              <w:spacing w:after="120" w:line="240" w:lineRule="auto"/>
              <w:jc w:val="center"/>
              <w:rPr>
                <w:lang w:eastAsia="en-US"/>
              </w:rPr>
            </w:pPr>
            <w:r w:rsidRPr="00A251FD">
              <w:rPr>
                <w:lang w:eastAsia="en-US"/>
              </w:rPr>
              <w:t>4.4</w:t>
            </w:r>
          </w:p>
          <w:p w14:paraId="31032583" w14:textId="77777777" w:rsidR="00B34804" w:rsidRPr="00A251FD" w:rsidRDefault="00B34804" w:rsidP="006B40E1">
            <w:pPr>
              <w:jc w:val="center"/>
            </w:pPr>
          </w:p>
        </w:tc>
      </w:tr>
    </w:tbl>
    <w:p w14:paraId="6E61D8DA" w14:textId="77777777" w:rsidR="00B34804" w:rsidRPr="00A251FD" w:rsidRDefault="00B34804" w:rsidP="00B34804">
      <w:pPr>
        <w:pStyle w:val="Heading2"/>
      </w:pPr>
      <w:r w:rsidRPr="00A251FD">
        <w:t>Part 5: HOURS OF WORK AND WORKING ARRANGEMENTS</w:t>
      </w:r>
    </w:p>
    <w:tbl>
      <w:tblPr>
        <w:tblStyle w:val="TableGrid"/>
        <w:tblW w:w="5000" w:type="pct"/>
        <w:jc w:val="center"/>
        <w:tblLook w:val="04A0" w:firstRow="1" w:lastRow="0" w:firstColumn="1" w:lastColumn="0" w:noHBand="0" w:noVBand="1"/>
        <w:tblCaption w:val="EA Fact Sheet - Key Features"/>
        <w:tblDescription w:val="EA Fact Sheet - Key Features"/>
      </w:tblPr>
      <w:tblGrid>
        <w:gridCol w:w="3029"/>
        <w:gridCol w:w="7723"/>
        <w:gridCol w:w="1762"/>
        <w:gridCol w:w="1762"/>
      </w:tblGrid>
      <w:tr w:rsidR="00A251FD" w:rsidRPr="00A251FD" w14:paraId="17E3B05F" w14:textId="6EC6357C" w:rsidTr="006B40E1">
        <w:trPr>
          <w:trHeight w:val="416"/>
          <w:tblHeader/>
          <w:jc w:val="center"/>
        </w:trPr>
        <w:tc>
          <w:tcPr>
            <w:tcW w:w="1061" w:type="pct"/>
            <w:shd w:val="clear" w:color="auto" w:fill="943C84"/>
            <w:vAlign w:val="center"/>
          </w:tcPr>
          <w:p w14:paraId="0CB6ACC0" w14:textId="4FB82364" w:rsidR="00B34804" w:rsidRPr="00A251FD" w:rsidRDefault="00B34804" w:rsidP="006B40E1">
            <w:pPr>
              <w:spacing w:after="120" w:line="240" w:lineRule="auto"/>
              <w:rPr>
                <w:b/>
                <w:color w:val="FFFFFF" w:themeColor="background1"/>
                <w:lang w:eastAsia="en-US"/>
              </w:rPr>
            </w:pPr>
            <w:r w:rsidRPr="00A251FD">
              <w:rPr>
                <w:b/>
                <w:color w:val="FFFFFF" w:themeColor="background1"/>
                <w:lang w:eastAsia="en-US"/>
              </w:rPr>
              <w:t>Employment Condition</w:t>
            </w:r>
          </w:p>
        </w:tc>
        <w:tc>
          <w:tcPr>
            <w:tcW w:w="2705" w:type="pct"/>
            <w:shd w:val="clear" w:color="auto" w:fill="943C84"/>
            <w:vAlign w:val="center"/>
          </w:tcPr>
          <w:p w14:paraId="570DFCCB" w14:textId="41B10E2A" w:rsidR="00B34804" w:rsidRPr="00A251FD" w:rsidRDefault="00B34804" w:rsidP="006B40E1">
            <w:pPr>
              <w:spacing w:after="120" w:line="240" w:lineRule="auto"/>
              <w:rPr>
                <w:b/>
                <w:color w:val="FFFFFF" w:themeColor="background1"/>
                <w:lang w:eastAsia="en-US"/>
              </w:rPr>
            </w:pPr>
            <w:r w:rsidRPr="00A251FD">
              <w:rPr>
                <w:b/>
                <w:color w:val="FFFFFF" w:themeColor="background1"/>
                <w:lang w:eastAsia="en-US"/>
              </w:rPr>
              <w:t xml:space="preserve">Explanation of key changes from 2019 EA  </w:t>
            </w:r>
          </w:p>
        </w:tc>
        <w:tc>
          <w:tcPr>
            <w:tcW w:w="617" w:type="pct"/>
            <w:shd w:val="clear" w:color="auto" w:fill="943C84"/>
            <w:vAlign w:val="center"/>
          </w:tcPr>
          <w:p w14:paraId="4EA7D6AE" w14:textId="0BD553E6" w:rsidR="00B34804" w:rsidRPr="00A251FD" w:rsidRDefault="00B34804" w:rsidP="006B40E1">
            <w:pPr>
              <w:spacing w:after="120" w:line="240" w:lineRule="auto"/>
              <w:jc w:val="center"/>
              <w:rPr>
                <w:b/>
                <w:color w:val="FFFFFF" w:themeColor="background1"/>
                <w:lang w:eastAsia="en-US"/>
              </w:rPr>
            </w:pPr>
            <w:r w:rsidRPr="00A251FD">
              <w:rPr>
                <w:b/>
                <w:color w:val="FFFFFF" w:themeColor="background1"/>
                <w:lang w:eastAsia="en-US"/>
              </w:rPr>
              <w:t>2024 EA clause</w:t>
            </w:r>
          </w:p>
        </w:tc>
        <w:tc>
          <w:tcPr>
            <w:tcW w:w="617" w:type="pct"/>
            <w:shd w:val="clear" w:color="auto" w:fill="943C84"/>
            <w:vAlign w:val="center"/>
          </w:tcPr>
          <w:p w14:paraId="44FED427" w14:textId="74F0496B" w:rsidR="00B34804" w:rsidRPr="00A251FD" w:rsidRDefault="00B34804" w:rsidP="006B40E1">
            <w:pPr>
              <w:spacing w:after="120" w:line="240" w:lineRule="auto"/>
              <w:jc w:val="center"/>
              <w:rPr>
                <w:b/>
                <w:color w:val="FFFFFF" w:themeColor="background1"/>
                <w:lang w:eastAsia="en-US"/>
              </w:rPr>
            </w:pPr>
            <w:r w:rsidRPr="00A251FD">
              <w:rPr>
                <w:b/>
                <w:color w:val="FFFFFF" w:themeColor="background1"/>
                <w:lang w:eastAsia="en-US"/>
              </w:rPr>
              <w:t>2019 EA clause</w:t>
            </w:r>
          </w:p>
        </w:tc>
      </w:tr>
      <w:tr w:rsidR="00B34804" w:rsidRPr="00A251FD" w14:paraId="7E3F2E02" w14:textId="7F1DAA9D" w:rsidTr="006B40E1">
        <w:trPr>
          <w:trHeight w:val="260"/>
          <w:jc w:val="center"/>
        </w:trPr>
        <w:tc>
          <w:tcPr>
            <w:tcW w:w="1061" w:type="pct"/>
            <w:vAlign w:val="center"/>
          </w:tcPr>
          <w:p w14:paraId="50301775" w14:textId="77777777" w:rsidR="00B34804" w:rsidRPr="00A251FD" w:rsidRDefault="00B34804" w:rsidP="00B34804">
            <w:pPr>
              <w:spacing w:after="120" w:line="240" w:lineRule="auto"/>
              <w:rPr>
                <w:lang w:eastAsia="en-US"/>
              </w:rPr>
            </w:pPr>
            <w:r w:rsidRPr="00A251FD">
              <w:rPr>
                <w:lang w:eastAsia="en-US"/>
              </w:rPr>
              <w:t>Work level standards</w:t>
            </w:r>
          </w:p>
          <w:p w14:paraId="14F1FA37" w14:textId="46BB38B5" w:rsidR="00B34804" w:rsidRPr="00A251FD" w:rsidRDefault="00B34804" w:rsidP="004940D8"/>
        </w:tc>
        <w:tc>
          <w:tcPr>
            <w:tcW w:w="2705" w:type="pct"/>
            <w:vAlign w:val="center"/>
          </w:tcPr>
          <w:p w14:paraId="7766D5B0" w14:textId="77777777" w:rsidR="00B34804" w:rsidRPr="00A251FD" w:rsidRDefault="00B34804" w:rsidP="00B34804">
            <w:pPr>
              <w:spacing w:after="120" w:line="240" w:lineRule="auto"/>
            </w:pPr>
            <w:r w:rsidRPr="00A251FD">
              <w:t xml:space="preserve">The 2024 EA includes a clause which makes clear that the APS Work Level Standards continue to operate and describe work at each classification level. </w:t>
            </w:r>
          </w:p>
          <w:p w14:paraId="50F16A65" w14:textId="3F20C6AF" w:rsidR="00B34804" w:rsidRPr="00A251FD" w:rsidRDefault="00B34804" w:rsidP="00B34804">
            <w:r w:rsidRPr="00A251FD">
              <w:t>This is not expressly set out in the 2019 EA.</w:t>
            </w:r>
          </w:p>
        </w:tc>
        <w:tc>
          <w:tcPr>
            <w:tcW w:w="617" w:type="pct"/>
            <w:vAlign w:val="center"/>
          </w:tcPr>
          <w:p w14:paraId="73DA1557" w14:textId="77777777" w:rsidR="00B34804" w:rsidRPr="00A251FD" w:rsidRDefault="00B34804" w:rsidP="006B40E1">
            <w:pPr>
              <w:spacing w:after="120" w:line="240" w:lineRule="auto"/>
              <w:jc w:val="center"/>
              <w:rPr>
                <w:lang w:eastAsia="en-US"/>
              </w:rPr>
            </w:pPr>
            <w:r w:rsidRPr="00A251FD">
              <w:rPr>
                <w:lang w:eastAsia="en-US"/>
              </w:rPr>
              <w:t>5.1</w:t>
            </w:r>
          </w:p>
          <w:p w14:paraId="588B977B" w14:textId="1D46FD13" w:rsidR="00B34804" w:rsidRPr="00A251FD" w:rsidRDefault="00B34804" w:rsidP="006B40E1">
            <w:pPr>
              <w:jc w:val="center"/>
            </w:pPr>
          </w:p>
        </w:tc>
        <w:tc>
          <w:tcPr>
            <w:tcW w:w="617" w:type="pct"/>
            <w:vAlign w:val="center"/>
          </w:tcPr>
          <w:p w14:paraId="1E389385" w14:textId="77777777" w:rsidR="00B34804" w:rsidRPr="00A251FD" w:rsidRDefault="00B34804" w:rsidP="006B40E1">
            <w:pPr>
              <w:spacing w:after="120" w:line="240" w:lineRule="auto"/>
              <w:jc w:val="center"/>
              <w:rPr>
                <w:lang w:eastAsia="en-US"/>
              </w:rPr>
            </w:pPr>
            <w:r w:rsidRPr="00A251FD">
              <w:rPr>
                <w:lang w:eastAsia="en-US"/>
              </w:rPr>
              <w:t>N/A</w:t>
            </w:r>
          </w:p>
          <w:p w14:paraId="3027500F" w14:textId="77777777" w:rsidR="00B34804" w:rsidRPr="00A251FD" w:rsidRDefault="00B34804" w:rsidP="006B40E1">
            <w:pPr>
              <w:jc w:val="center"/>
            </w:pPr>
          </w:p>
        </w:tc>
      </w:tr>
      <w:tr w:rsidR="00B34804" w:rsidRPr="00A251FD" w14:paraId="72CECED5" w14:textId="6F370F36" w:rsidTr="006B40E1">
        <w:trPr>
          <w:trHeight w:val="260"/>
          <w:jc w:val="center"/>
        </w:trPr>
        <w:tc>
          <w:tcPr>
            <w:tcW w:w="1061" w:type="pct"/>
            <w:vAlign w:val="center"/>
          </w:tcPr>
          <w:p w14:paraId="53059CBC" w14:textId="77777777" w:rsidR="00B34804" w:rsidRPr="00A251FD" w:rsidRDefault="00B34804" w:rsidP="00B34804">
            <w:pPr>
              <w:spacing w:after="120" w:line="240" w:lineRule="auto"/>
              <w:rPr>
                <w:lang w:eastAsia="en-US"/>
              </w:rPr>
            </w:pPr>
            <w:r w:rsidRPr="00A251FD">
              <w:rPr>
                <w:lang w:eastAsia="en-US"/>
              </w:rPr>
              <w:t xml:space="preserve">Job security </w:t>
            </w:r>
          </w:p>
          <w:p w14:paraId="58D50B3F" w14:textId="178BCCAA" w:rsidR="00B34804" w:rsidRPr="00A251FD" w:rsidRDefault="00B34804" w:rsidP="004940D8"/>
        </w:tc>
        <w:tc>
          <w:tcPr>
            <w:tcW w:w="2705" w:type="pct"/>
            <w:vAlign w:val="center"/>
          </w:tcPr>
          <w:p w14:paraId="0109DC85" w14:textId="77777777" w:rsidR="00B34804" w:rsidRPr="00A251FD" w:rsidRDefault="00B34804" w:rsidP="00B34804">
            <w:pPr>
              <w:spacing w:after="120" w:line="240" w:lineRule="auto"/>
              <w:rPr>
                <w:lang w:eastAsia="en-US"/>
              </w:rPr>
            </w:pPr>
            <w:r w:rsidRPr="00A251FD">
              <w:rPr>
                <w:lang w:eastAsia="en-US"/>
              </w:rPr>
              <w:t xml:space="preserve">The 2024 EA includes new clauses which: </w:t>
            </w:r>
          </w:p>
          <w:p w14:paraId="725D7FC7" w14:textId="7C957002" w:rsidR="00B34804" w:rsidRPr="00A251FD" w:rsidRDefault="00B34804" w:rsidP="006D7502">
            <w:pPr>
              <w:pStyle w:val="ListParagraph"/>
              <w:numPr>
                <w:ilvl w:val="0"/>
                <w:numId w:val="17"/>
              </w:numPr>
              <w:spacing w:before="120" w:after="120" w:line="240" w:lineRule="auto"/>
              <w:rPr>
                <w:lang w:eastAsia="en-US"/>
              </w:rPr>
            </w:pPr>
            <w:r w:rsidRPr="00A251FD">
              <w:rPr>
                <w:lang w:eastAsia="en-US"/>
              </w:rPr>
              <w:t>recognise the APS is a career-based public service and that in its engagement decisions, the usual basis for engagement is as an ongoing employee</w:t>
            </w:r>
            <w:r w:rsidR="00BA66BE" w:rsidRPr="00A251FD">
              <w:rPr>
                <w:lang w:eastAsia="en-US"/>
              </w:rPr>
              <w:t>;</w:t>
            </w:r>
          </w:p>
          <w:p w14:paraId="07FBEE9B" w14:textId="665870AA" w:rsidR="00B34804" w:rsidRPr="00A251FD" w:rsidRDefault="00B34804" w:rsidP="006D7502">
            <w:pPr>
              <w:pStyle w:val="ListParagraph"/>
              <w:numPr>
                <w:ilvl w:val="0"/>
                <w:numId w:val="17"/>
              </w:numPr>
              <w:spacing w:before="120" w:after="120" w:line="240" w:lineRule="auto"/>
              <w:rPr>
                <w:lang w:eastAsia="en-US"/>
              </w:rPr>
            </w:pPr>
            <w:r w:rsidRPr="00A251FD">
              <w:rPr>
                <w:lang w:eastAsia="en-US"/>
              </w:rPr>
              <w:t>require the Commission to report to the Workplace Consultative Forum on an annual basis on a breakdown of employee classification, location and engagement type</w:t>
            </w:r>
            <w:r w:rsidR="00BA66BE" w:rsidRPr="00A251FD">
              <w:rPr>
                <w:lang w:eastAsia="en-US"/>
              </w:rPr>
              <w:t>; and</w:t>
            </w:r>
          </w:p>
          <w:p w14:paraId="683DEBBB" w14:textId="31998346" w:rsidR="00B34804" w:rsidRPr="00A251FD" w:rsidRDefault="00B34804" w:rsidP="009B1C26">
            <w:pPr>
              <w:pStyle w:val="ListParagraph"/>
              <w:numPr>
                <w:ilvl w:val="0"/>
                <w:numId w:val="17"/>
              </w:numPr>
              <w:spacing w:before="120" w:after="120" w:line="240" w:lineRule="auto"/>
              <w:rPr>
                <w:lang w:eastAsia="en-US"/>
              </w:rPr>
            </w:pPr>
            <w:r w:rsidRPr="00A251FD">
              <w:rPr>
                <w:lang w:eastAsia="en-US"/>
              </w:rPr>
              <w:t xml:space="preserve">provide that the Commission will comply with the casual conversion provisions of the FW Act and recognises a proactive approach, including regular review of casual and non-ongoing arrangements, is a fair and efficient approach to supporting ongoing engagement as the usual basis of employment.  </w:t>
            </w:r>
          </w:p>
        </w:tc>
        <w:tc>
          <w:tcPr>
            <w:tcW w:w="617" w:type="pct"/>
            <w:vAlign w:val="center"/>
          </w:tcPr>
          <w:p w14:paraId="48D41404" w14:textId="77777777" w:rsidR="00B34804" w:rsidRPr="00A251FD" w:rsidRDefault="00B34804" w:rsidP="006B40E1">
            <w:pPr>
              <w:spacing w:after="120" w:line="240" w:lineRule="auto"/>
              <w:jc w:val="center"/>
              <w:rPr>
                <w:lang w:eastAsia="en-US"/>
              </w:rPr>
            </w:pPr>
            <w:r w:rsidRPr="00A251FD">
              <w:rPr>
                <w:lang w:eastAsia="en-US"/>
              </w:rPr>
              <w:t>5.3 – 5.5</w:t>
            </w:r>
          </w:p>
          <w:p w14:paraId="2A895D58" w14:textId="5E8E3512" w:rsidR="00B34804" w:rsidRPr="00A251FD" w:rsidRDefault="00B34804" w:rsidP="006B40E1">
            <w:pPr>
              <w:jc w:val="center"/>
            </w:pPr>
          </w:p>
        </w:tc>
        <w:tc>
          <w:tcPr>
            <w:tcW w:w="617" w:type="pct"/>
            <w:vAlign w:val="center"/>
          </w:tcPr>
          <w:p w14:paraId="5E154D32" w14:textId="77777777" w:rsidR="00277DE7" w:rsidRPr="00A251FD" w:rsidRDefault="00277DE7" w:rsidP="006B40E1">
            <w:pPr>
              <w:spacing w:after="120" w:line="240" w:lineRule="auto"/>
              <w:jc w:val="center"/>
              <w:rPr>
                <w:lang w:eastAsia="en-US"/>
              </w:rPr>
            </w:pPr>
            <w:r w:rsidRPr="00A251FD">
              <w:rPr>
                <w:lang w:eastAsia="en-US"/>
              </w:rPr>
              <w:t>N/A</w:t>
            </w:r>
          </w:p>
          <w:p w14:paraId="2E4F7A90" w14:textId="77777777" w:rsidR="00B34804" w:rsidRPr="00A251FD" w:rsidRDefault="00B34804" w:rsidP="006B40E1">
            <w:pPr>
              <w:jc w:val="center"/>
            </w:pPr>
          </w:p>
        </w:tc>
      </w:tr>
      <w:tr w:rsidR="00B34804" w:rsidRPr="00A251FD" w14:paraId="30A499D2" w14:textId="3A1DA82D" w:rsidTr="006B40E1">
        <w:trPr>
          <w:trHeight w:val="260"/>
          <w:jc w:val="center"/>
        </w:trPr>
        <w:tc>
          <w:tcPr>
            <w:tcW w:w="1061" w:type="pct"/>
            <w:vAlign w:val="center"/>
          </w:tcPr>
          <w:p w14:paraId="02E1C7BB" w14:textId="77777777" w:rsidR="00B34804" w:rsidRPr="00A251FD" w:rsidRDefault="00B34804" w:rsidP="004940D8">
            <w:r w:rsidRPr="00A251FD">
              <w:lastRenderedPageBreak/>
              <w:t>Non-ongoing employment</w:t>
            </w:r>
          </w:p>
        </w:tc>
        <w:tc>
          <w:tcPr>
            <w:tcW w:w="2705" w:type="pct"/>
            <w:vAlign w:val="center"/>
          </w:tcPr>
          <w:p w14:paraId="2AB7F846" w14:textId="11C41947" w:rsidR="00B34804" w:rsidRPr="00A251FD" w:rsidRDefault="00B34804" w:rsidP="004940D8">
            <w:r w:rsidRPr="00A251FD">
              <w:t>The 2024 EA contains new clause</w:t>
            </w:r>
            <w:r w:rsidR="00BA66BE" w:rsidRPr="00A251FD">
              <w:t>s</w:t>
            </w:r>
            <w:r w:rsidRPr="00A251FD">
              <w:t xml:space="preserve"> which:</w:t>
            </w:r>
          </w:p>
          <w:p w14:paraId="6EBC56C4" w14:textId="77777777" w:rsidR="00B34804" w:rsidRPr="00A251FD" w:rsidRDefault="00B34804" w:rsidP="006D7502">
            <w:pPr>
              <w:pStyle w:val="ListParagraph"/>
              <w:numPr>
                <w:ilvl w:val="0"/>
                <w:numId w:val="2"/>
              </w:numPr>
            </w:pPr>
            <w:r w:rsidRPr="00A251FD">
              <w:t>recognises that non-ongoing employees have the same terms and conditions under the agreement as ongoing employees, with the exception of personal/carer's leave and redundancy</w:t>
            </w:r>
          </w:p>
          <w:p w14:paraId="4A599D08" w14:textId="77777777" w:rsidR="00B34804" w:rsidRPr="00A251FD" w:rsidRDefault="00B34804" w:rsidP="006D7502">
            <w:pPr>
              <w:pStyle w:val="ListParagraph"/>
              <w:numPr>
                <w:ilvl w:val="0"/>
                <w:numId w:val="2"/>
              </w:numPr>
            </w:pPr>
            <w:r w:rsidRPr="00A251FD">
              <w:t xml:space="preserve">recognises the consequence of a non-ongoing employment contract not being permitted by the FW Act. </w:t>
            </w:r>
          </w:p>
        </w:tc>
        <w:tc>
          <w:tcPr>
            <w:tcW w:w="617" w:type="pct"/>
            <w:vAlign w:val="center"/>
          </w:tcPr>
          <w:p w14:paraId="19E00153" w14:textId="77777777" w:rsidR="001E42ED" w:rsidRPr="00A251FD" w:rsidRDefault="001E42ED" w:rsidP="006B40E1">
            <w:pPr>
              <w:spacing w:after="120" w:line="240" w:lineRule="auto"/>
              <w:jc w:val="center"/>
              <w:rPr>
                <w:lang w:eastAsia="en-US"/>
              </w:rPr>
            </w:pPr>
            <w:r w:rsidRPr="00A251FD">
              <w:rPr>
                <w:lang w:eastAsia="en-US"/>
              </w:rPr>
              <w:t>5.6 – 5.9</w:t>
            </w:r>
          </w:p>
          <w:p w14:paraId="6AEA113F" w14:textId="40DE2634" w:rsidR="00B34804" w:rsidRPr="00A251FD" w:rsidRDefault="00B34804" w:rsidP="006B40E1">
            <w:pPr>
              <w:jc w:val="center"/>
            </w:pPr>
          </w:p>
        </w:tc>
        <w:tc>
          <w:tcPr>
            <w:tcW w:w="617" w:type="pct"/>
            <w:vAlign w:val="center"/>
          </w:tcPr>
          <w:p w14:paraId="5D198B4C" w14:textId="77777777" w:rsidR="00B34804" w:rsidRDefault="00BA66BE" w:rsidP="006B40E1">
            <w:pPr>
              <w:jc w:val="center"/>
            </w:pPr>
            <w:r w:rsidRPr="00A251FD">
              <w:t>N/A</w:t>
            </w:r>
          </w:p>
          <w:p w14:paraId="1EC9933A" w14:textId="75E13E22" w:rsidR="00D8718C" w:rsidRPr="00A251FD" w:rsidRDefault="00D8718C" w:rsidP="006B40E1">
            <w:pPr>
              <w:jc w:val="center"/>
            </w:pPr>
          </w:p>
        </w:tc>
      </w:tr>
      <w:tr w:rsidR="00B34804" w:rsidRPr="00A251FD" w14:paraId="157D4CDA" w14:textId="3621D97C" w:rsidTr="006B40E1">
        <w:trPr>
          <w:trHeight w:val="260"/>
          <w:jc w:val="center"/>
        </w:trPr>
        <w:tc>
          <w:tcPr>
            <w:tcW w:w="1061" w:type="pct"/>
            <w:vAlign w:val="center"/>
          </w:tcPr>
          <w:p w14:paraId="4E77F50B" w14:textId="77777777" w:rsidR="001E42ED" w:rsidRPr="00A251FD" w:rsidRDefault="001E42ED" w:rsidP="001E42ED">
            <w:pPr>
              <w:spacing w:after="120" w:line="240" w:lineRule="auto"/>
              <w:rPr>
                <w:lang w:eastAsia="en-US"/>
              </w:rPr>
            </w:pPr>
            <w:r w:rsidRPr="00A251FD">
              <w:rPr>
                <w:lang w:eastAsia="en-US"/>
              </w:rPr>
              <w:t>Casual (irregular or intermittent) employment</w:t>
            </w:r>
          </w:p>
          <w:p w14:paraId="35ADD18D" w14:textId="0A6A113E" w:rsidR="00B34804" w:rsidRPr="00A251FD" w:rsidRDefault="00B34804" w:rsidP="004940D8"/>
        </w:tc>
        <w:tc>
          <w:tcPr>
            <w:tcW w:w="2705" w:type="pct"/>
            <w:vAlign w:val="center"/>
          </w:tcPr>
          <w:p w14:paraId="786B814E" w14:textId="77777777" w:rsidR="001E42ED" w:rsidRPr="00A251FD" w:rsidRDefault="001E42ED" w:rsidP="001E42ED">
            <w:pPr>
              <w:spacing w:after="120" w:line="240" w:lineRule="auto"/>
              <w:rPr>
                <w:lang w:eastAsia="en-US"/>
              </w:rPr>
            </w:pPr>
            <w:r w:rsidRPr="00A251FD">
              <w:rPr>
                <w:lang w:eastAsia="en-US"/>
              </w:rPr>
              <w:t>The casual loading will increase from 20% (under the 2019 EA) to 25% under the 2024 EA.</w:t>
            </w:r>
          </w:p>
          <w:p w14:paraId="4F4C7423" w14:textId="77777777" w:rsidR="001E42ED" w:rsidRPr="00A251FD" w:rsidRDefault="001E42ED" w:rsidP="001E42ED">
            <w:pPr>
              <w:spacing w:after="120" w:line="240" w:lineRule="auto"/>
              <w:rPr>
                <w:lang w:eastAsia="en-US"/>
              </w:rPr>
            </w:pPr>
            <w:r w:rsidRPr="00A251FD">
              <w:rPr>
                <w:lang w:eastAsia="en-US"/>
              </w:rPr>
              <w:t xml:space="preserve">The 2024 EA also includes new provisions with respect to casual employees which provide: </w:t>
            </w:r>
          </w:p>
          <w:p w14:paraId="431044A5" w14:textId="167E7310" w:rsidR="001E42ED" w:rsidRPr="00A251FD" w:rsidRDefault="001E42ED" w:rsidP="006D7502">
            <w:pPr>
              <w:pStyle w:val="ListParagraph"/>
              <w:numPr>
                <w:ilvl w:val="0"/>
                <w:numId w:val="17"/>
              </w:numPr>
              <w:spacing w:before="120" w:after="120" w:line="240" w:lineRule="auto"/>
              <w:rPr>
                <w:lang w:eastAsia="en-US"/>
              </w:rPr>
            </w:pPr>
            <w:r w:rsidRPr="00A251FD">
              <w:rPr>
                <w:lang w:eastAsia="en-US"/>
              </w:rPr>
              <w:t>for a minimum engagement of 3 hours (or payment for a minimum of 3 hours)</w:t>
            </w:r>
            <w:r w:rsidR="00BA66BE" w:rsidRPr="00A251FD">
              <w:rPr>
                <w:lang w:eastAsia="en-US"/>
              </w:rPr>
              <w:t>;</w:t>
            </w:r>
          </w:p>
          <w:p w14:paraId="6226574A" w14:textId="7113C232" w:rsidR="001E42ED" w:rsidRPr="00A251FD" w:rsidRDefault="001E42ED" w:rsidP="006D7502">
            <w:pPr>
              <w:pStyle w:val="ListParagraph"/>
              <w:numPr>
                <w:ilvl w:val="0"/>
                <w:numId w:val="17"/>
              </w:numPr>
              <w:spacing w:before="120" w:after="120" w:line="240" w:lineRule="auto"/>
              <w:rPr>
                <w:lang w:eastAsia="en-US"/>
              </w:rPr>
            </w:pPr>
            <w:r w:rsidRPr="00A251FD">
              <w:rPr>
                <w:lang w:eastAsia="en-US"/>
              </w:rPr>
              <w:t>that a decision to expand the use of casual employees will be subject to consultation in accordance with the consultation obligations in the agreement</w:t>
            </w:r>
            <w:r w:rsidR="00BA66BE" w:rsidRPr="00A251FD">
              <w:rPr>
                <w:lang w:eastAsia="en-US"/>
              </w:rPr>
              <w:t>;</w:t>
            </w:r>
          </w:p>
          <w:p w14:paraId="684CD3E7" w14:textId="2B0A83F3" w:rsidR="00B34804" w:rsidRPr="00A251FD" w:rsidRDefault="00BA66BE" w:rsidP="00BA66BE">
            <w:pPr>
              <w:pStyle w:val="ListParagraph"/>
              <w:numPr>
                <w:ilvl w:val="0"/>
                <w:numId w:val="17"/>
              </w:numPr>
            </w:pPr>
            <w:r w:rsidRPr="00A251FD">
              <w:rPr>
                <w:lang w:eastAsia="en-US"/>
              </w:rPr>
              <w:t>t</w:t>
            </w:r>
            <w:r w:rsidR="001E42ED" w:rsidRPr="00A251FD">
              <w:rPr>
                <w:lang w:eastAsia="en-US"/>
              </w:rPr>
              <w:t>he Commission will regularly review the working arrangements of causal employees to assess if they are genuinely performing irregular or intermittent duties, and report de-identified outcomes to the Workplace Consultative Forum.</w:t>
            </w:r>
          </w:p>
        </w:tc>
        <w:tc>
          <w:tcPr>
            <w:tcW w:w="617" w:type="pct"/>
            <w:vAlign w:val="center"/>
          </w:tcPr>
          <w:p w14:paraId="77CAF903" w14:textId="77777777" w:rsidR="001E42ED" w:rsidRPr="00A251FD" w:rsidRDefault="001E42ED" w:rsidP="006B40E1">
            <w:pPr>
              <w:spacing w:after="120" w:line="240" w:lineRule="auto"/>
              <w:jc w:val="center"/>
              <w:rPr>
                <w:lang w:eastAsia="en-US"/>
              </w:rPr>
            </w:pPr>
            <w:r w:rsidRPr="00A251FD">
              <w:rPr>
                <w:lang w:eastAsia="en-US"/>
              </w:rPr>
              <w:t>5.10 – 5.16</w:t>
            </w:r>
          </w:p>
          <w:p w14:paraId="666A4245" w14:textId="0A90B8D9" w:rsidR="00B34804" w:rsidRPr="00A251FD" w:rsidRDefault="00B34804" w:rsidP="006B40E1">
            <w:pPr>
              <w:jc w:val="center"/>
            </w:pPr>
          </w:p>
        </w:tc>
        <w:tc>
          <w:tcPr>
            <w:tcW w:w="617" w:type="pct"/>
            <w:vAlign w:val="center"/>
          </w:tcPr>
          <w:p w14:paraId="79022A94" w14:textId="77777777" w:rsidR="00BF7774" w:rsidRPr="00A251FD" w:rsidRDefault="00BF7774" w:rsidP="006B40E1">
            <w:pPr>
              <w:spacing w:after="120" w:line="240" w:lineRule="auto"/>
              <w:jc w:val="center"/>
              <w:rPr>
                <w:lang w:eastAsia="en-US"/>
              </w:rPr>
            </w:pPr>
            <w:r w:rsidRPr="00A251FD">
              <w:rPr>
                <w:lang w:eastAsia="en-US"/>
              </w:rPr>
              <w:t>3.33</w:t>
            </w:r>
          </w:p>
          <w:p w14:paraId="4BA1337A" w14:textId="77777777" w:rsidR="00B34804" w:rsidRPr="00A251FD" w:rsidRDefault="00B34804" w:rsidP="006B40E1">
            <w:pPr>
              <w:jc w:val="center"/>
            </w:pPr>
          </w:p>
        </w:tc>
      </w:tr>
      <w:tr w:rsidR="00DC5231" w:rsidRPr="00A251FD" w14:paraId="74C0D346" w14:textId="77777777" w:rsidTr="006B40E1">
        <w:trPr>
          <w:trHeight w:val="260"/>
          <w:jc w:val="center"/>
        </w:trPr>
        <w:tc>
          <w:tcPr>
            <w:tcW w:w="1061" w:type="pct"/>
          </w:tcPr>
          <w:p w14:paraId="2F5A84CF" w14:textId="4C7B8E05" w:rsidR="00DC5231" w:rsidRPr="00A251FD" w:rsidRDefault="00DC5231" w:rsidP="00DC5231">
            <w:pPr>
              <w:spacing w:after="120" w:line="240" w:lineRule="auto"/>
              <w:rPr>
                <w:lang w:eastAsia="en-US"/>
              </w:rPr>
            </w:pPr>
            <w:r w:rsidRPr="00A251FD">
              <w:t>Definition of shift worker</w:t>
            </w:r>
          </w:p>
        </w:tc>
        <w:tc>
          <w:tcPr>
            <w:tcW w:w="2705" w:type="pct"/>
          </w:tcPr>
          <w:p w14:paraId="3EA5B2AB" w14:textId="3B042504" w:rsidR="00DC5231" w:rsidRPr="00A251FD" w:rsidRDefault="00DC5231" w:rsidP="00DC5231">
            <w:r w:rsidRPr="00A251FD">
              <w:t xml:space="preserve">The 2024 EA clarifies the definition of shift worker to make clear that it is an employee rostered to perform "ordinary hours" outside the bandwidth for an ongoing or fixed period.  The 2019 EA provided only that a shift worker was an employee rostered to perform "duty" outside the bandwidth. </w:t>
            </w:r>
          </w:p>
        </w:tc>
        <w:tc>
          <w:tcPr>
            <w:tcW w:w="617" w:type="pct"/>
            <w:vAlign w:val="center"/>
          </w:tcPr>
          <w:p w14:paraId="75C4302C" w14:textId="136BCAEF" w:rsidR="00DC5231" w:rsidRPr="00A251FD" w:rsidRDefault="00DC5231" w:rsidP="006B40E1">
            <w:pPr>
              <w:jc w:val="center"/>
            </w:pPr>
            <w:r w:rsidRPr="00A251FD">
              <w:t>13.1 – Definitions</w:t>
            </w:r>
          </w:p>
        </w:tc>
        <w:tc>
          <w:tcPr>
            <w:tcW w:w="617" w:type="pct"/>
            <w:vAlign w:val="center"/>
          </w:tcPr>
          <w:p w14:paraId="0278F0F7" w14:textId="2954ED32" w:rsidR="00DC5231" w:rsidRPr="00A251FD" w:rsidRDefault="00DC5231" w:rsidP="006B40E1">
            <w:pPr>
              <w:jc w:val="center"/>
            </w:pPr>
            <w:r w:rsidRPr="00A251FD">
              <w:t>12.1 – Definitions</w:t>
            </w:r>
          </w:p>
        </w:tc>
      </w:tr>
      <w:tr w:rsidR="00B34804" w:rsidRPr="00A251FD" w14:paraId="5364DF43" w14:textId="0240A977" w:rsidTr="006B40E1">
        <w:trPr>
          <w:trHeight w:val="260"/>
          <w:jc w:val="center"/>
        </w:trPr>
        <w:tc>
          <w:tcPr>
            <w:tcW w:w="1061" w:type="pct"/>
            <w:vAlign w:val="center"/>
          </w:tcPr>
          <w:p w14:paraId="7465DF27" w14:textId="6467119C" w:rsidR="00F925CB" w:rsidRPr="00A251FD" w:rsidRDefault="00F925CB" w:rsidP="00F925CB">
            <w:pPr>
              <w:spacing w:after="120" w:line="240" w:lineRule="auto"/>
              <w:rPr>
                <w:lang w:eastAsia="en-US"/>
              </w:rPr>
            </w:pPr>
            <w:r w:rsidRPr="00A251FD">
              <w:rPr>
                <w:lang w:eastAsia="en-US"/>
              </w:rPr>
              <w:lastRenderedPageBreak/>
              <w:t>Recording Hours Worked</w:t>
            </w:r>
            <w:r w:rsidR="00DC5231" w:rsidRPr="00A251FD">
              <w:rPr>
                <w:lang w:eastAsia="en-US"/>
              </w:rPr>
              <w:t xml:space="preserve"> and Hours of Work</w:t>
            </w:r>
            <w:r w:rsidRPr="00A251FD">
              <w:rPr>
                <w:lang w:eastAsia="en-US"/>
              </w:rPr>
              <w:t xml:space="preserve"> </w:t>
            </w:r>
          </w:p>
          <w:p w14:paraId="02F9FD5F" w14:textId="16EC816A" w:rsidR="00B34804" w:rsidRPr="00A251FD" w:rsidRDefault="00B34804" w:rsidP="004940D8"/>
        </w:tc>
        <w:tc>
          <w:tcPr>
            <w:tcW w:w="2705" w:type="pct"/>
            <w:vAlign w:val="center"/>
          </w:tcPr>
          <w:p w14:paraId="04FD4C4C" w14:textId="77777777" w:rsidR="00DC5231" w:rsidRPr="00A251FD" w:rsidRDefault="00DC5231" w:rsidP="00DC5231">
            <w:r w:rsidRPr="00A251FD">
              <w:t>These clauses are substantively the same under the 2024 EA as the 2019 EA.</w:t>
            </w:r>
          </w:p>
          <w:p w14:paraId="4B79E580" w14:textId="47104EA2" w:rsidR="00B34804" w:rsidRPr="00A251FD" w:rsidRDefault="00DC5231" w:rsidP="00DC5231">
            <w:r w:rsidRPr="00A251FD">
              <w:t>The clause of the 2019 EA which dealt with the setting of ordinary hours on a day for salary calculations has been removed, as an employee's ordinary hours on a day will depend on their working arrangements.</w:t>
            </w:r>
          </w:p>
        </w:tc>
        <w:tc>
          <w:tcPr>
            <w:tcW w:w="617" w:type="pct"/>
            <w:vAlign w:val="center"/>
          </w:tcPr>
          <w:p w14:paraId="1E663DFD" w14:textId="57A57351" w:rsidR="00B34804" w:rsidRPr="00A251FD" w:rsidRDefault="00B34804" w:rsidP="006B40E1">
            <w:pPr>
              <w:jc w:val="center"/>
            </w:pPr>
          </w:p>
        </w:tc>
        <w:tc>
          <w:tcPr>
            <w:tcW w:w="617" w:type="pct"/>
            <w:vAlign w:val="center"/>
          </w:tcPr>
          <w:p w14:paraId="05B1DB0E" w14:textId="77777777" w:rsidR="00B34804" w:rsidRPr="00A251FD" w:rsidRDefault="00B34804" w:rsidP="006B40E1">
            <w:pPr>
              <w:jc w:val="center"/>
            </w:pPr>
          </w:p>
        </w:tc>
      </w:tr>
      <w:tr w:rsidR="00DC5231" w:rsidRPr="00A251FD" w14:paraId="3C8BBF0B" w14:textId="77777777" w:rsidTr="006B40E1">
        <w:trPr>
          <w:trHeight w:val="260"/>
          <w:jc w:val="center"/>
        </w:trPr>
        <w:tc>
          <w:tcPr>
            <w:tcW w:w="1061" w:type="pct"/>
            <w:vAlign w:val="center"/>
          </w:tcPr>
          <w:p w14:paraId="17A9C349" w14:textId="096BBBB6" w:rsidR="00DC5231" w:rsidRPr="00A251FD" w:rsidRDefault="00DC5231" w:rsidP="00DC5231">
            <w:pPr>
              <w:spacing w:after="120" w:line="240" w:lineRule="auto"/>
              <w:rPr>
                <w:lang w:eastAsia="en-US"/>
              </w:rPr>
            </w:pPr>
            <w:r w:rsidRPr="00A251FD">
              <w:rPr>
                <w:lang w:eastAsia="en-US"/>
              </w:rPr>
              <w:t>Flextime</w:t>
            </w:r>
          </w:p>
        </w:tc>
        <w:tc>
          <w:tcPr>
            <w:tcW w:w="2705" w:type="pct"/>
            <w:vAlign w:val="center"/>
          </w:tcPr>
          <w:p w14:paraId="050CF961" w14:textId="77777777" w:rsidR="00DC5231" w:rsidRPr="00A251FD" w:rsidRDefault="00DC5231" w:rsidP="00DC5231">
            <w:pPr>
              <w:spacing w:after="120" w:line="240" w:lineRule="auto"/>
              <w:rPr>
                <w:lang w:eastAsia="en-US"/>
              </w:rPr>
            </w:pPr>
            <w:r w:rsidRPr="00A251FD">
              <w:rPr>
                <w:lang w:eastAsia="en-US"/>
              </w:rPr>
              <w:t xml:space="preserve">The flextime clause in the 2024 EA do not deal with requests by employees to work outside the bandwidth, which is dealt with in the flextime clause in the 2019 EA.  The ability to work ordinary hours outside the bandwidth is now dealt with in the flexible working arrangement clauses of the 2024 EA.  </w:t>
            </w:r>
          </w:p>
          <w:p w14:paraId="66B57CA4" w14:textId="5DC7C3EC" w:rsidR="00DC5231" w:rsidRPr="00A251FD" w:rsidRDefault="00DC5231" w:rsidP="00DC5231">
            <w:pPr>
              <w:spacing w:after="120" w:line="240" w:lineRule="auto"/>
              <w:rPr>
                <w:lang w:eastAsia="en-US"/>
              </w:rPr>
            </w:pPr>
            <w:r w:rsidRPr="00A251FD">
              <w:rPr>
                <w:lang w:eastAsia="en-US"/>
              </w:rPr>
              <w:t>The 2024 EA clarifies that flextime is not available to casual employees or shiftworkers.</w:t>
            </w:r>
          </w:p>
        </w:tc>
        <w:tc>
          <w:tcPr>
            <w:tcW w:w="617" w:type="pct"/>
            <w:vAlign w:val="center"/>
          </w:tcPr>
          <w:p w14:paraId="5B7B9776" w14:textId="24656B58" w:rsidR="00DC5231" w:rsidRPr="00A251FD" w:rsidRDefault="00DC5231" w:rsidP="006B40E1">
            <w:pPr>
              <w:spacing w:after="120" w:line="240" w:lineRule="auto"/>
              <w:jc w:val="center"/>
              <w:rPr>
                <w:lang w:eastAsia="en-US"/>
              </w:rPr>
            </w:pPr>
            <w:r w:rsidRPr="00A251FD">
              <w:rPr>
                <w:lang w:eastAsia="en-US"/>
              </w:rPr>
              <w:t xml:space="preserve">5.27 – 5.34 </w:t>
            </w:r>
            <w:r w:rsidR="006B40E1">
              <w:rPr>
                <w:lang w:eastAsia="en-US"/>
              </w:rPr>
              <w:t>and</w:t>
            </w:r>
            <w:r w:rsidRPr="00A251FD">
              <w:rPr>
                <w:lang w:eastAsia="en-US"/>
              </w:rPr>
              <w:t xml:space="preserve"> 5.97</w:t>
            </w:r>
          </w:p>
        </w:tc>
        <w:tc>
          <w:tcPr>
            <w:tcW w:w="617" w:type="pct"/>
            <w:vAlign w:val="center"/>
          </w:tcPr>
          <w:p w14:paraId="2F6E7BAF" w14:textId="7EFE82AB" w:rsidR="00DC5231" w:rsidRPr="00A251FD" w:rsidRDefault="00DC5231" w:rsidP="006B40E1">
            <w:pPr>
              <w:spacing w:after="120" w:line="240" w:lineRule="auto"/>
              <w:jc w:val="center"/>
              <w:rPr>
                <w:lang w:eastAsia="en-US"/>
              </w:rPr>
            </w:pPr>
            <w:r w:rsidRPr="00A251FD">
              <w:rPr>
                <w:lang w:eastAsia="en-US"/>
              </w:rPr>
              <w:t>5.12 – 5.19</w:t>
            </w:r>
          </w:p>
        </w:tc>
      </w:tr>
      <w:tr w:rsidR="00B34804" w:rsidRPr="00A251FD" w14:paraId="1FE36908" w14:textId="132D4AA2" w:rsidTr="006B40E1">
        <w:trPr>
          <w:trHeight w:val="260"/>
          <w:jc w:val="center"/>
        </w:trPr>
        <w:tc>
          <w:tcPr>
            <w:tcW w:w="1061" w:type="pct"/>
            <w:vAlign w:val="center"/>
          </w:tcPr>
          <w:p w14:paraId="76FC72CC" w14:textId="77777777" w:rsidR="00F925CB" w:rsidRPr="00A251FD" w:rsidRDefault="00F925CB" w:rsidP="00F925CB">
            <w:pPr>
              <w:spacing w:after="120" w:line="240" w:lineRule="auto"/>
              <w:rPr>
                <w:lang w:eastAsia="en-US"/>
              </w:rPr>
            </w:pPr>
            <w:r w:rsidRPr="00A251FD">
              <w:rPr>
                <w:lang w:eastAsia="en-US"/>
              </w:rPr>
              <w:t>EL TOIL</w:t>
            </w:r>
          </w:p>
          <w:p w14:paraId="5FD5EAB3" w14:textId="20171B2B" w:rsidR="00B34804" w:rsidRPr="00A251FD" w:rsidRDefault="00B34804" w:rsidP="004940D8"/>
        </w:tc>
        <w:tc>
          <w:tcPr>
            <w:tcW w:w="2705" w:type="pct"/>
            <w:vAlign w:val="center"/>
          </w:tcPr>
          <w:p w14:paraId="104303DF" w14:textId="69C69C08" w:rsidR="00F925CB" w:rsidRPr="00A251FD" w:rsidRDefault="00F925CB" w:rsidP="00F925CB">
            <w:pPr>
              <w:spacing w:after="120" w:line="240" w:lineRule="auto"/>
              <w:rPr>
                <w:lang w:eastAsia="en-US"/>
              </w:rPr>
            </w:pPr>
            <w:r w:rsidRPr="00A251FD">
              <w:rPr>
                <w:lang w:eastAsia="en-US"/>
              </w:rPr>
              <w:t xml:space="preserve">The 2024 EA provides that a manager is to grant TOIL to an EL employee in recognition of additional hours worked, whereas the 2019 EA provides </w:t>
            </w:r>
            <w:r w:rsidR="00DC5231" w:rsidRPr="00A251FD">
              <w:rPr>
                <w:lang w:eastAsia="en-US"/>
              </w:rPr>
              <w:t xml:space="preserve">that </w:t>
            </w:r>
            <w:r w:rsidRPr="00A251FD">
              <w:rPr>
                <w:lang w:eastAsia="en-US"/>
              </w:rPr>
              <w:t xml:space="preserve">the Commissioner </w:t>
            </w:r>
            <w:r w:rsidR="00DC5231" w:rsidRPr="00A251FD">
              <w:rPr>
                <w:lang w:eastAsia="en-US"/>
              </w:rPr>
              <w:t xml:space="preserve">may </w:t>
            </w:r>
            <w:r w:rsidRPr="00A251FD">
              <w:rPr>
                <w:lang w:eastAsia="en-US"/>
              </w:rPr>
              <w:t>grant</w:t>
            </w:r>
            <w:r w:rsidR="00DC5231" w:rsidRPr="00A251FD">
              <w:rPr>
                <w:lang w:eastAsia="en-US"/>
              </w:rPr>
              <w:t xml:space="preserve"> access to</w:t>
            </w:r>
            <w:r w:rsidRPr="00A251FD">
              <w:rPr>
                <w:lang w:eastAsia="en-US"/>
              </w:rPr>
              <w:t xml:space="preserve"> TOIL.  </w:t>
            </w:r>
          </w:p>
          <w:p w14:paraId="75F84C1D" w14:textId="3B735367" w:rsidR="00F925CB" w:rsidRPr="00A251FD" w:rsidRDefault="00DC5231" w:rsidP="00F925CB">
            <w:pPr>
              <w:spacing w:after="120" w:line="240" w:lineRule="auto"/>
              <w:rPr>
                <w:lang w:eastAsia="en-US"/>
              </w:rPr>
            </w:pPr>
            <w:r w:rsidRPr="00A251FD">
              <w:rPr>
                <w:lang w:eastAsia="en-US"/>
              </w:rPr>
              <w:t xml:space="preserve">The 2024 EA does not state expressly that </w:t>
            </w:r>
            <w:r w:rsidR="00F925CB" w:rsidRPr="00A251FD">
              <w:rPr>
                <w:lang w:eastAsia="en-US"/>
              </w:rPr>
              <w:t xml:space="preserve">EL TOIL is not </w:t>
            </w:r>
            <w:r w:rsidRPr="00A251FD">
              <w:rPr>
                <w:lang w:eastAsia="en-US"/>
              </w:rPr>
              <w:t xml:space="preserve">on </w:t>
            </w:r>
            <w:r w:rsidR="00F925CB" w:rsidRPr="00A251FD">
              <w:rPr>
                <w:lang w:eastAsia="en-US"/>
              </w:rPr>
              <w:t xml:space="preserve">an hour for hour basis, however consistent with the 2019 EA, EL TOIL is not intended to be an "hour for hour" arrangement. </w:t>
            </w:r>
          </w:p>
          <w:p w14:paraId="6A8FA978" w14:textId="77777777" w:rsidR="00B34804" w:rsidRPr="00A251FD" w:rsidRDefault="00F925CB" w:rsidP="00F925CB">
            <w:pPr>
              <w:rPr>
                <w:lang w:eastAsia="en-US"/>
              </w:rPr>
            </w:pPr>
            <w:r w:rsidRPr="00A251FD">
              <w:rPr>
                <w:lang w:eastAsia="en-US"/>
              </w:rPr>
              <w:t>The 2024 EA also provides for more structured discussion between employees and managers in regard to workloads, and notes that EL working arrangements and actual hours should be discussed on at least a quarterly basis.</w:t>
            </w:r>
          </w:p>
          <w:p w14:paraId="2C99BB4E" w14:textId="1E5DBE4D" w:rsidR="00DC5231" w:rsidRPr="00A251FD" w:rsidRDefault="00DC5231" w:rsidP="00F925CB">
            <w:r w:rsidRPr="00A251FD">
              <w:t>The 2019 EA provides that a maximum amount of 37.5 hours of EL TOIL may be carried over from month to month. The 2024 EA does not include this limit.</w:t>
            </w:r>
          </w:p>
        </w:tc>
        <w:tc>
          <w:tcPr>
            <w:tcW w:w="617" w:type="pct"/>
            <w:vAlign w:val="center"/>
          </w:tcPr>
          <w:p w14:paraId="20B376DB" w14:textId="6F0AB606" w:rsidR="00B34804" w:rsidRPr="00A251FD" w:rsidRDefault="00F925CB" w:rsidP="006B40E1">
            <w:pPr>
              <w:spacing w:after="120" w:line="240" w:lineRule="auto"/>
              <w:jc w:val="center"/>
              <w:rPr>
                <w:lang w:eastAsia="en-US"/>
              </w:rPr>
            </w:pPr>
            <w:r w:rsidRPr="00A251FD">
              <w:rPr>
                <w:lang w:eastAsia="en-US"/>
              </w:rPr>
              <w:t>5.35 – 5.41</w:t>
            </w:r>
          </w:p>
        </w:tc>
        <w:tc>
          <w:tcPr>
            <w:tcW w:w="617" w:type="pct"/>
            <w:vAlign w:val="center"/>
          </w:tcPr>
          <w:p w14:paraId="4B94E935" w14:textId="64298502" w:rsidR="00B34804" w:rsidRPr="00A251FD" w:rsidRDefault="00897B92" w:rsidP="006B40E1">
            <w:pPr>
              <w:spacing w:after="120" w:line="240" w:lineRule="auto"/>
              <w:jc w:val="center"/>
              <w:rPr>
                <w:lang w:eastAsia="en-US"/>
              </w:rPr>
            </w:pPr>
            <w:r w:rsidRPr="00A251FD">
              <w:rPr>
                <w:lang w:eastAsia="en-US"/>
              </w:rPr>
              <w:t>5.2</w:t>
            </w:r>
            <w:r w:rsidR="005C3B99">
              <w:rPr>
                <w:lang w:eastAsia="en-US"/>
              </w:rPr>
              <w:t xml:space="preserve">0 – </w:t>
            </w:r>
            <w:r w:rsidR="00DC5231" w:rsidRPr="00A251FD">
              <w:rPr>
                <w:lang w:eastAsia="en-US"/>
              </w:rPr>
              <w:t>5.23</w:t>
            </w:r>
          </w:p>
        </w:tc>
      </w:tr>
      <w:tr w:rsidR="00DC5231" w:rsidRPr="00A251FD" w14:paraId="75B6F56F" w14:textId="2AC361F8" w:rsidTr="006B40E1">
        <w:trPr>
          <w:trHeight w:val="260"/>
          <w:jc w:val="center"/>
        </w:trPr>
        <w:tc>
          <w:tcPr>
            <w:tcW w:w="1061" w:type="pct"/>
            <w:vAlign w:val="center"/>
          </w:tcPr>
          <w:p w14:paraId="6054199F" w14:textId="77777777" w:rsidR="00DC5231" w:rsidRPr="00A251FD" w:rsidRDefault="00DC5231" w:rsidP="00DC5231">
            <w:pPr>
              <w:spacing w:after="120" w:line="240" w:lineRule="auto"/>
              <w:rPr>
                <w:lang w:eastAsia="en-US"/>
              </w:rPr>
            </w:pPr>
            <w:r w:rsidRPr="00A251FD">
              <w:rPr>
                <w:lang w:eastAsia="en-US"/>
              </w:rPr>
              <w:lastRenderedPageBreak/>
              <w:t>Part-time work</w:t>
            </w:r>
          </w:p>
          <w:p w14:paraId="72411798" w14:textId="69AF1108" w:rsidR="00DC5231" w:rsidRPr="00A251FD" w:rsidRDefault="00DC5231" w:rsidP="00DC5231"/>
        </w:tc>
        <w:tc>
          <w:tcPr>
            <w:tcW w:w="2705" w:type="pct"/>
            <w:vAlign w:val="center"/>
          </w:tcPr>
          <w:p w14:paraId="7B337876" w14:textId="16D6C309" w:rsidR="00DC5231" w:rsidRPr="00A251FD" w:rsidRDefault="00DC5231" w:rsidP="00DC5231">
            <w:pPr>
              <w:spacing w:after="120" w:line="240" w:lineRule="auto"/>
              <w:rPr>
                <w:lang w:eastAsia="en-US"/>
              </w:rPr>
            </w:pPr>
            <w:r w:rsidRPr="00A251FD">
              <w:rPr>
                <w:lang w:eastAsia="en-US"/>
              </w:rPr>
              <w:t>The 2024 EA make clear that:</w:t>
            </w:r>
          </w:p>
          <w:p w14:paraId="42FE3589" w14:textId="229B906B" w:rsidR="00DC5231" w:rsidRPr="00A251FD" w:rsidRDefault="00DC5231" w:rsidP="00DC5231">
            <w:pPr>
              <w:pStyle w:val="ListParagraph"/>
              <w:numPr>
                <w:ilvl w:val="0"/>
                <w:numId w:val="43"/>
              </w:numPr>
              <w:spacing w:after="120" w:line="240" w:lineRule="auto"/>
              <w:rPr>
                <w:lang w:eastAsia="en-US"/>
              </w:rPr>
            </w:pPr>
            <w:r w:rsidRPr="00A251FD">
              <w:rPr>
                <w:lang w:eastAsia="en-US"/>
              </w:rPr>
              <w:t>employees engaged on a part-time basis will not be compelled to convert to full time;</w:t>
            </w:r>
            <w:r w:rsidR="009B1C26">
              <w:rPr>
                <w:lang w:eastAsia="en-US"/>
              </w:rPr>
              <w:t xml:space="preserve"> and</w:t>
            </w:r>
          </w:p>
          <w:p w14:paraId="3940E135" w14:textId="60097BF8" w:rsidR="00DC5231" w:rsidRPr="00A251FD" w:rsidRDefault="00DC5231" w:rsidP="00DC5231">
            <w:pPr>
              <w:pStyle w:val="ListParagraph"/>
              <w:numPr>
                <w:ilvl w:val="0"/>
                <w:numId w:val="43"/>
              </w:numPr>
              <w:spacing w:after="120" w:line="240" w:lineRule="auto"/>
              <w:rPr>
                <w:lang w:eastAsia="en-US"/>
              </w:rPr>
            </w:pPr>
            <w:r w:rsidRPr="00A251FD">
              <w:t>the agreed hours of a part-time employee will be set out in a part-time work agreement.</w:t>
            </w:r>
          </w:p>
          <w:p w14:paraId="46330B31" w14:textId="228AE2B6" w:rsidR="00DC5231" w:rsidRPr="00A251FD" w:rsidRDefault="00DC5231" w:rsidP="00DC5231">
            <w:r w:rsidRPr="00A251FD">
              <w:t>The 2024 EA also extends the right to access part-time employment for a period of three years after parental leave to both primary and secondary caregivers (the 2019 EA provided this right to only primary caregivers).</w:t>
            </w:r>
          </w:p>
        </w:tc>
        <w:tc>
          <w:tcPr>
            <w:tcW w:w="617" w:type="pct"/>
            <w:vAlign w:val="center"/>
          </w:tcPr>
          <w:p w14:paraId="2F414313" w14:textId="02C54DFD" w:rsidR="00DC5231" w:rsidRPr="00A251FD" w:rsidRDefault="00DC5231" w:rsidP="006B40E1">
            <w:pPr>
              <w:jc w:val="center"/>
            </w:pPr>
            <w:r w:rsidRPr="00A251FD">
              <w:t>5.43 – 5.48</w:t>
            </w:r>
          </w:p>
        </w:tc>
        <w:tc>
          <w:tcPr>
            <w:tcW w:w="617" w:type="pct"/>
            <w:vAlign w:val="center"/>
          </w:tcPr>
          <w:p w14:paraId="249242CF" w14:textId="25CF9D11" w:rsidR="00DC5231" w:rsidRPr="00A251FD" w:rsidRDefault="00DC5231" w:rsidP="006B40E1">
            <w:pPr>
              <w:jc w:val="center"/>
            </w:pPr>
            <w:r w:rsidRPr="00A251FD">
              <w:t>5.24 – 5.26</w:t>
            </w:r>
          </w:p>
        </w:tc>
      </w:tr>
      <w:tr w:rsidR="00B34804" w:rsidRPr="00A251FD" w14:paraId="7255E998" w14:textId="1A19BF44" w:rsidTr="006B40E1">
        <w:trPr>
          <w:trHeight w:val="260"/>
          <w:jc w:val="center"/>
        </w:trPr>
        <w:tc>
          <w:tcPr>
            <w:tcW w:w="1061" w:type="pct"/>
            <w:vAlign w:val="center"/>
          </w:tcPr>
          <w:p w14:paraId="2704883B" w14:textId="77777777" w:rsidR="00335E11" w:rsidRPr="00A251FD" w:rsidRDefault="00335E11" w:rsidP="00335E11">
            <w:pPr>
              <w:spacing w:after="120" w:line="240" w:lineRule="auto"/>
              <w:rPr>
                <w:lang w:eastAsia="en-US"/>
              </w:rPr>
            </w:pPr>
            <w:r w:rsidRPr="00A251FD">
              <w:rPr>
                <w:lang w:eastAsia="en-US"/>
              </w:rPr>
              <w:t>Shift work</w:t>
            </w:r>
          </w:p>
          <w:p w14:paraId="06F292BF" w14:textId="3BF75A89" w:rsidR="00B34804" w:rsidRPr="00A251FD" w:rsidRDefault="00B34804" w:rsidP="004940D8"/>
        </w:tc>
        <w:tc>
          <w:tcPr>
            <w:tcW w:w="2705" w:type="pct"/>
            <w:vAlign w:val="center"/>
          </w:tcPr>
          <w:p w14:paraId="1A13A12E" w14:textId="7BD834FB" w:rsidR="00B34804" w:rsidRPr="00A251FD" w:rsidRDefault="00897B92" w:rsidP="00B45A9B">
            <w:pPr>
              <w:spacing w:after="120" w:line="240" w:lineRule="auto"/>
            </w:pPr>
            <w:r w:rsidRPr="00A251FD">
              <w:t xml:space="preserve">The 2024 EA clarifies that casual employees are also entitled to shift work penalties </w:t>
            </w:r>
            <w:r w:rsidR="00B45A9B" w:rsidRPr="00A251FD">
              <w:t xml:space="preserve">and casual </w:t>
            </w:r>
            <w:r w:rsidRPr="00A251FD">
              <w:t xml:space="preserve">loading. </w:t>
            </w:r>
          </w:p>
        </w:tc>
        <w:tc>
          <w:tcPr>
            <w:tcW w:w="617" w:type="pct"/>
            <w:vAlign w:val="center"/>
          </w:tcPr>
          <w:p w14:paraId="7E1B248B" w14:textId="30758DAD" w:rsidR="00B34804" w:rsidRPr="00A251FD" w:rsidRDefault="00B45A9B" w:rsidP="006B40E1">
            <w:pPr>
              <w:spacing w:after="120" w:line="240" w:lineRule="auto"/>
              <w:jc w:val="center"/>
              <w:rPr>
                <w:lang w:eastAsia="en-US"/>
              </w:rPr>
            </w:pPr>
            <w:r w:rsidRPr="00A251FD">
              <w:rPr>
                <w:lang w:eastAsia="en-US"/>
              </w:rPr>
              <w:t>5.49 – 5.54</w:t>
            </w:r>
          </w:p>
        </w:tc>
        <w:tc>
          <w:tcPr>
            <w:tcW w:w="617" w:type="pct"/>
            <w:vAlign w:val="center"/>
          </w:tcPr>
          <w:p w14:paraId="68CB52CA" w14:textId="504C94A6" w:rsidR="00B34804" w:rsidRPr="00A251FD" w:rsidRDefault="005C3B99" w:rsidP="006B40E1">
            <w:pPr>
              <w:spacing w:after="120" w:line="240" w:lineRule="auto"/>
              <w:jc w:val="center"/>
              <w:rPr>
                <w:lang w:eastAsia="en-US"/>
              </w:rPr>
            </w:pPr>
            <w:r>
              <w:rPr>
                <w:lang w:eastAsia="en-US"/>
              </w:rPr>
              <w:t xml:space="preserve">5.28 – </w:t>
            </w:r>
            <w:r w:rsidR="00897B92" w:rsidRPr="00A251FD">
              <w:rPr>
                <w:lang w:eastAsia="en-US"/>
              </w:rPr>
              <w:t>5.32</w:t>
            </w:r>
          </w:p>
        </w:tc>
      </w:tr>
      <w:tr w:rsidR="00B34804" w:rsidRPr="00A251FD" w14:paraId="0214205C" w14:textId="5B340D56" w:rsidTr="006B40E1">
        <w:trPr>
          <w:trHeight w:val="260"/>
          <w:jc w:val="center"/>
        </w:trPr>
        <w:tc>
          <w:tcPr>
            <w:tcW w:w="1061" w:type="pct"/>
            <w:vAlign w:val="center"/>
          </w:tcPr>
          <w:p w14:paraId="64EF6B38" w14:textId="7DCE8BA7" w:rsidR="00B34804" w:rsidRPr="00A251FD" w:rsidRDefault="00335E11" w:rsidP="004940D8">
            <w:r w:rsidRPr="00A251FD">
              <w:t>Overtime</w:t>
            </w:r>
          </w:p>
        </w:tc>
        <w:tc>
          <w:tcPr>
            <w:tcW w:w="2705" w:type="pct"/>
            <w:vAlign w:val="center"/>
          </w:tcPr>
          <w:p w14:paraId="4FF13F0D" w14:textId="28C8EF81" w:rsidR="00B34804" w:rsidRPr="00A251FD" w:rsidRDefault="00335E11" w:rsidP="004940D8">
            <w:r w:rsidRPr="00A251FD">
              <w:t xml:space="preserve">The 2024 EA </w:t>
            </w:r>
            <w:r w:rsidR="00B45A9B" w:rsidRPr="00A251FD">
              <w:t>clarifies that overtime is only to be worked where an employee is required to work hours in addition to their ordinary hours. It also provides that casual employees are entitled to overtime if they are required to work outside the bandwidth or in excess of 37.5 hours in a week but that the casual loading is not paid for overtime.</w:t>
            </w:r>
          </w:p>
        </w:tc>
        <w:tc>
          <w:tcPr>
            <w:tcW w:w="617" w:type="pct"/>
            <w:vAlign w:val="center"/>
          </w:tcPr>
          <w:p w14:paraId="7DAE7D8D" w14:textId="77777777" w:rsidR="00335E11" w:rsidRPr="00A251FD" w:rsidRDefault="00335E11" w:rsidP="006B40E1">
            <w:pPr>
              <w:spacing w:after="120" w:line="240" w:lineRule="auto"/>
              <w:jc w:val="center"/>
              <w:rPr>
                <w:lang w:eastAsia="en-US"/>
              </w:rPr>
            </w:pPr>
            <w:r w:rsidRPr="00A251FD">
              <w:rPr>
                <w:lang w:eastAsia="en-US"/>
              </w:rPr>
              <w:t>5.55 – 5.61</w:t>
            </w:r>
          </w:p>
          <w:p w14:paraId="750CAB4A" w14:textId="1705043E" w:rsidR="00B34804" w:rsidRPr="00A251FD" w:rsidRDefault="00B34804" w:rsidP="006B40E1">
            <w:pPr>
              <w:jc w:val="center"/>
            </w:pPr>
          </w:p>
        </w:tc>
        <w:tc>
          <w:tcPr>
            <w:tcW w:w="617" w:type="pct"/>
            <w:vAlign w:val="center"/>
          </w:tcPr>
          <w:p w14:paraId="4625F742" w14:textId="26CC9739" w:rsidR="00897B92" w:rsidRPr="00A251FD" w:rsidRDefault="005C3B99" w:rsidP="006B40E1">
            <w:pPr>
              <w:spacing w:after="120" w:line="240" w:lineRule="auto"/>
              <w:jc w:val="center"/>
              <w:rPr>
                <w:lang w:eastAsia="en-US"/>
              </w:rPr>
            </w:pPr>
            <w:r>
              <w:rPr>
                <w:lang w:eastAsia="en-US"/>
              </w:rPr>
              <w:t xml:space="preserve">5.34 – </w:t>
            </w:r>
            <w:r w:rsidR="00897B92" w:rsidRPr="00A251FD">
              <w:rPr>
                <w:lang w:eastAsia="en-US"/>
              </w:rPr>
              <w:t>5.41</w:t>
            </w:r>
          </w:p>
          <w:p w14:paraId="76F0830A" w14:textId="77777777" w:rsidR="00B34804" w:rsidRPr="00A251FD" w:rsidRDefault="00B34804" w:rsidP="006B40E1">
            <w:pPr>
              <w:jc w:val="center"/>
            </w:pPr>
          </w:p>
        </w:tc>
      </w:tr>
      <w:tr w:rsidR="00B45A9B" w:rsidRPr="00A251FD" w14:paraId="35A713C3" w14:textId="77777777" w:rsidTr="006B40E1">
        <w:trPr>
          <w:trHeight w:val="260"/>
          <w:jc w:val="center"/>
        </w:trPr>
        <w:tc>
          <w:tcPr>
            <w:tcW w:w="1061" w:type="pct"/>
          </w:tcPr>
          <w:p w14:paraId="56E5774A" w14:textId="6BA00399" w:rsidR="00B45A9B" w:rsidRPr="00A251FD" w:rsidRDefault="00B45A9B" w:rsidP="00B45A9B">
            <w:pPr>
              <w:spacing w:after="120" w:line="240" w:lineRule="auto"/>
              <w:rPr>
                <w:lang w:eastAsia="en-US"/>
              </w:rPr>
            </w:pPr>
            <w:r w:rsidRPr="00A251FD">
              <w:t>Restriction duty</w:t>
            </w:r>
          </w:p>
        </w:tc>
        <w:tc>
          <w:tcPr>
            <w:tcW w:w="2705" w:type="pct"/>
          </w:tcPr>
          <w:p w14:paraId="3C1E456C" w14:textId="74B6EC5B" w:rsidR="00B45A9B" w:rsidRPr="00A251FD" w:rsidRDefault="00B45A9B" w:rsidP="00B45A9B">
            <w:pPr>
              <w:spacing w:after="120" w:line="240" w:lineRule="auto"/>
            </w:pPr>
            <w:r w:rsidRPr="00A251FD">
              <w:t>The 2024 EA increases the rate of restriction allowance from $45 to $46.80 on weekdays and from $55 to $57.20 on Saturdays, Sundays, public holidays and days falling within the closedown periods. The allowance rates will be index on 13 March 2025.</w:t>
            </w:r>
          </w:p>
        </w:tc>
        <w:tc>
          <w:tcPr>
            <w:tcW w:w="617" w:type="pct"/>
            <w:vAlign w:val="center"/>
          </w:tcPr>
          <w:p w14:paraId="705A1D84" w14:textId="28964EEE" w:rsidR="00B45A9B" w:rsidRPr="00A251FD" w:rsidRDefault="00B45A9B" w:rsidP="006B40E1">
            <w:pPr>
              <w:spacing w:after="120" w:line="240" w:lineRule="auto"/>
              <w:jc w:val="center"/>
              <w:rPr>
                <w:lang w:eastAsia="en-US"/>
              </w:rPr>
            </w:pPr>
            <w:r w:rsidRPr="00A251FD">
              <w:t>5.64 – 5.67</w:t>
            </w:r>
          </w:p>
        </w:tc>
        <w:tc>
          <w:tcPr>
            <w:tcW w:w="617" w:type="pct"/>
            <w:vAlign w:val="center"/>
          </w:tcPr>
          <w:p w14:paraId="4C2B56A0" w14:textId="295EBB48" w:rsidR="00B45A9B" w:rsidRPr="00A251FD" w:rsidRDefault="00B45A9B" w:rsidP="006B40E1">
            <w:pPr>
              <w:spacing w:after="120" w:line="240" w:lineRule="auto"/>
              <w:jc w:val="center"/>
              <w:rPr>
                <w:lang w:eastAsia="en-US"/>
              </w:rPr>
            </w:pPr>
            <w:r w:rsidRPr="00A251FD">
              <w:t>5.44 – 5.47</w:t>
            </w:r>
          </w:p>
        </w:tc>
      </w:tr>
      <w:tr w:rsidR="00B34804" w:rsidRPr="00A251FD" w14:paraId="49CB404B" w14:textId="03E01EEE" w:rsidTr="006B40E1">
        <w:trPr>
          <w:trHeight w:val="260"/>
          <w:jc w:val="center"/>
        </w:trPr>
        <w:tc>
          <w:tcPr>
            <w:tcW w:w="1061" w:type="pct"/>
            <w:vAlign w:val="center"/>
          </w:tcPr>
          <w:p w14:paraId="7AFCD759" w14:textId="77777777" w:rsidR="00335E11" w:rsidRPr="00A251FD" w:rsidRDefault="00335E11" w:rsidP="00335E11">
            <w:pPr>
              <w:spacing w:after="120" w:line="240" w:lineRule="auto"/>
              <w:rPr>
                <w:lang w:eastAsia="en-US"/>
              </w:rPr>
            </w:pPr>
            <w:r w:rsidRPr="00A251FD">
              <w:rPr>
                <w:lang w:eastAsia="en-US"/>
              </w:rPr>
              <w:t>Flexible working arrangements</w:t>
            </w:r>
          </w:p>
          <w:p w14:paraId="592A213E" w14:textId="277B665E" w:rsidR="00B34804" w:rsidRPr="00A251FD" w:rsidRDefault="00B34804" w:rsidP="004940D8"/>
        </w:tc>
        <w:tc>
          <w:tcPr>
            <w:tcW w:w="2705" w:type="pct"/>
            <w:vAlign w:val="center"/>
          </w:tcPr>
          <w:p w14:paraId="4E934930" w14:textId="77777777" w:rsidR="00335E11" w:rsidRPr="00A251FD" w:rsidRDefault="00335E11" w:rsidP="00335E11">
            <w:pPr>
              <w:spacing w:after="120" w:line="240" w:lineRule="auto"/>
            </w:pPr>
            <w:r w:rsidRPr="00A251FD">
              <w:lastRenderedPageBreak/>
              <w:t xml:space="preserve">The 2024 EA introduces detailed flexible working arrangement provisions which: </w:t>
            </w:r>
          </w:p>
          <w:p w14:paraId="3D1BAE5F" w14:textId="5F880E3D" w:rsidR="00335E11" w:rsidRPr="00A251FD" w:rsidRDefault="00335E11" w:rsidP="006D7502">
            <w:pPr>
              <w:pStyle w:val="ListParagraph"/>
              <w:numPr>
                <w:ilvl w:val="0"/>
                <w:numId w:val="18"/>
              </w:numPr>
              <w:spacing w:before="120" w:after="120" w:line="240" w:lineRule="auto"/>
            </w:pPr>
            <w:r w:rsidRPr="00A251FD">
              <w:lastRenderedPageBreak/>
              <w:t>recognise the benefits of flexible working arrangements and set out how requests for flexible working arrangements are to be approached</w:t>
            </w:r>
            <w:r w:rsidR="00B45A9B" w:rsidRPr="00A251FD">
              <w:t>;</w:t>
            </w:r>
          </w:p>
          <w:p w14:paraId="69FD4575" w14:textId="77777777" w:rsidR="00335E11" w:rsidRPr="00A251FD" w:rsidRDefault="00335E11" w:rsidP="006D7502">
            <w:pPr>
              <w:pStyle w:val="ListParagraph"/>
              <w:numPr>
                <w:ilvl w:val="0"/>
                <w:numId w:val="18"/>
              </w:numPr>
              <w:spacing w:before="120" w:after="120" w:line="240" w:lineRule="auto"/>
            </w:pPr>
            <w:r w:rsidRPr="00A251FD">
              <w:t>provide a right for all employees to make requests for flexible working arrangements</w:t>
            </w:r>
          </w:p>
          <w:p w14:paraId="345E7644" w14:textId="77777777" w:rsidR="00335E11" w:rsidRPr="00A251FD" w:rsidRDefault="00335E11" w:rsidP="006D7502">
            <w:pPr>
              <w:pStyle w:val="ListParagraph"/>
              <w:numPr>
                <w:ilvl w:val="0"/>
                <w:numId w:val="18"/>
              </w:numPr>
              <w:spacing w:before="120" w:after="120" w:line="240" w:lineRule="auto"/>
            </w:pPr>
            <w:r w:rsidRPr="00A251FD">
              <w:t xml:space="preserve">set out a process by which requests flexible working arrangements are to be made, considered responded to and documented;  </w:t>
            </w:r>
          </w:p>
          <w:p w14:paraId="26EBE399" w14:textId="77777777" w:rsidR="00335E11" w:rsidRPr="00A251FD" w:rsidRDefault="00335E11" w:rsidP="006D7502">
            <w:pPr>
              <w:pStyle w:val="ListParagraph"/>
              <w:numPr>
                <w:ilvl w:val="0"/>
                <w:numId w:val="18"/>
              </w:numPr>
              <w:spacing w:before="120" w:after="120" w:line="240" w:lineRule="auto"/>
            </w:pPr>
            <w:r w:rsidRPr="00A251FD">
              <w:t>set out how a flexible working arrangement may be varied, paused or terminated</w:t>
            </w:r>
          </w:p>
          <w:p w14:paraId="428736B4" w14:textId="537CDD76" w:rsidR="00335E11" w:rsidRPr="00A251FD" w:rsidRDefault="00335E11" w:rsidP="006D7502">
            <w:pPr>
              <w:pStyle w:val="ListParagraph"/>
              <w:numPr>
                <w:ilvl w:val="0"/>
                <w:numId w:val="18"/>
              </w:numPr>
              <w:spacing w:before="120" w:after="120" w:line="240" w:lineRule="auto"/>
            </w:pPr>
            <w:r w:rsidRPr="00A251FD">
              <w:t>deal with working from home requests</w:t>
            </w:r>
            <w:r w:rsidR="00B45A9B" w:rsidRPr="00A251FD">
              <w:t>;</w:t>
            </w:r>
          </w:p>
          <w:p w14:paraId="584A743A" w14:textId="36995106" w:rsidR="00335E11" w:rsidRPr="00A251FD" w:rsidRDefault="00335E11" w:rsidP="006D7502">
            <w:pPr>
              <w:pStyle w:val="ListParagraph"/>
              <w:numPr>
                <w:ilvl w:val="0"/>
                <w:numId w:val="18"/>
              </w:numPr>
              <w:spacing w:before="120" w:after="120" w:line="240" w:lineRule="auto"/>
            </w:pPr>
            <w:r w:rsidRPr="00A251FD">
              <w:t>differentiate ad-hoc requests for flexibility from the need to make formal flexible working arrangements</w:t>
            </w:r>
            <w:r w:rsidR="00B45A9B" w:rsidRPr="00A251FD">
              <w:t>; and</w:t>
            </w:r>
          </w:p>
          <w:p w14:paraId="3B59B0EF" w14:textId="77777777" w:rsidR="00335E11" w:rsidRPr="00A251FD" w:rsidRDefault="00335E11" w:rsidP="006D7502">
            <w:pPr>
              <w:pStyle w:val="ListParagraph"/>
              <w:numPr>
                <w:ilvl w:val="0"/>
                <w:numId w:val="18"/>
              </w:numPr>
              <w:spacing w:before="120" w:after="120" w:line="240" w:lineRule="auto"/>
            </w:pPr>
            <w:r w:rsidRPr="00A251FD">
              <w:t xml:space="preserve">recognise that an employee may request to work an alternate span of hours, but if this arrangement is granted, they will not be entitled to overtime or shift penalties for their ordinary hours. </w:t>
            </w:r>
          </w:p>
          <w:p w14:paraId="3C97D4A1" w14:textId="1E8D7727" w:rsidR="00B34804" w:rsidRPr="00A251FD" w:rsidRDefault="00335E11" w:rsidP="00B45A9B">
            <w:r w:rsidRPr="00A251FD">
              <w:t xml:space="preserve">The 2019 EA does not contain these provisions </w:t>
            </w:r>
            <w:r w:rsidR="00B45A9B" w:rsidRPr="00A251FD">
              <w:t xml:space="preserve">It </w:t>
            </w:r>
            <w:r w:rsidRPr="00A251FD">
              <w:t>only includes a discretion for the Commissioner to agree to employees working from home on a long term or casual basis.</w:t>
            </w:r>
          </w:p>
        </w:tc>
        <w:tc>
          <w:tcPr>
            <w:tcW w:w="617" w:type="pct"/>
            <w:vAlign w:val="center"/>
          </w:tcPr>
          <w:p w14:paraId="3E78DA0E" w14:textId="5B070A94" w:rsidR="00335E11" w:rsidRPr="00A251FD" w:rsidRDefault="00335E11" w:rsidP="006B40E1">
            <w:pPr>
              <w:spacing w:after="120" w:line="240" w:lineRule="auto"/>
              <w:jc w:val="center"/>
              <w:rPr>
                <w:lang w:eastAsia="en-US"/>
              </w:rPr>
            </w:pPr>
            <w:r w:rsidRPr="00A251FD">
              <w:rPr>
                <w:lang w:eastAsia="en-US"/>
              </w:rPr>
              <w:lastRenderedPageBreak/>
              <w:t>5.7</w:t>
            </w:r>
            <w:r w:rsidR="00B45A9B" w:rsidRPr="00A251FD">
              <w:rPr>
                <w:lang w:eastAsia="en-US"/>
              </w:rPr>
              <w:t>0</w:t>
            </w:r>
            <w:r w:rsidRPr="00A251FD">
              <w:rPr>
                <w:lang w:eastAsia="en-US"/>
              </w:rPr>
              <w:t xml:space="preserve"> – 5.9</w:t>
            </w:r>
            <w:r w:rsidR="00B45A9B" w:rsidRPr="00A251FD">
              <w:rPr>
                <w:lang w:eastAsia="en-US"/>
              </w:rPr>
              <w:t>7</w:t>
            </w:r>
          </w:p>
          <w:p w14:paraId="27C4F3D7" w14:textId="6C4747BA" w:rsidR="00B34804" w:rsidRPr="00A251FD" w:rsidRDefault="00B34804" w:rsidP="006B40E1">
            <w:pPr>
              <w:jc w:val="center"/>
            </w:pPr>
          </w:p>
        </w:tc>
        <w:tc>
          <w:tcPr>
            <w:tcW w:w="617" w:type="pct"/>
            <w:vAlign w:val="center"/>
          </w:tcPr>
          <w:p w14:paraId="3F0B5658" w14:textId="3420DF13" w:rsidR="00897B92" w:rsidRPr="00A251FD" w:rsidRDefault="00B45A9B" w:rsidP="006B40E1">
            <w:pPr>
              <w:spacing w:after="120" w:line="240" w:lineRule="auto"/>
              <w:jc w:val="center"/>
              <w:rPr>
                <w:lang w:eastAsia="en-US"/>
              </w:rPr>
            </w:pPr>
            <w:r w:rsidRPr="00A251FD">
              <w:rPr>
                <w:lang w:eastAsia="en-US"/>
              </w:rPr>
              <w:lastRenderedPageBreak/>
              <w:t>5.27</w:t>
            </w:r>
          </w:p>
          <w:p w14:paraId="480F5386" w14:textId="77777777" w:rsidR="00B34804" w:rsidRPr="00A251FD" w:rsidRDefault="00B34804" w:rsidP="006B40E1">
            <w:pPr>
              <w:jc w:val="center"/>
            </w:pPr>
          </w:p>
        </w:tc>
      </w:tr>
      <w:tr w:rsidR="005D7FE1" w:rsidRPr="00A251FD" w14:paraId="6D6C3EEA" w14:textId="77777777" w:rsidTr="006B40E1">
        <w:trPr>
          <w:trHeight w:val="260"/>
          <w:jc w:val="center"/>
        </w:trPr>
        <w:tc>
          <w:tcPr>
            <w:tcW w:w="1061" w:type="pct"/>
            <w:vAlign w:val="center"/>
          </w:tcPr>
          <w:p w14:paraId="714285F9" w14:textId="77777777" w:rsidR="005D7FE1" w:rsidRPr="00A251FD" w:rsidRDefault="005D7FE1" w:rsidP="005D7FE1">
            <w:pPr>
              <w:spacing w:after="120" w:line="240" w:lineRule="auto"/>
              <w:rPr>
                <w:lang w:eastAsia="en-US"/>
              </w:rPr>
            </w:pPr>
            <w:r w:rsidRPr="00A251FD">
              <w:rPr>
                <w:lang w:eastAsia="en-US"/>
              </w:rPr>
              <w:lastRenderedPageBreak/>
              <w:t>Public holidays</w:t>
            </w:r>
          </w:p>
          <w:p w14:paraId="2EABF55A" w14:textId="77777777" w:rsidR="005D7FE1" w:rsidRPr="00A251FD" w:rsidRDefault="005D7FE1" w:rsidP="005D7FE1">
            <w:pPr>
              <w:spacing w:after="120" w:line="240" w:lineRule="auto"/>
              <w:rPr>
                <w:lang w:eastAsia="en-US"/>
              </w:rPr>
            </w:pPr>
          </w:p>
        </w:tc>
        <w:tc>
          <w:tcPr>
            <w:tcW w:w="2705" w:type="pct"/>
            <w:vAlign w:val="center"/>
          </w:tcPr>
          <w:p w14:paraId="2F0C8757" w14:textId="77777777" w:rsidR="005D7FE1" w:rsidRPr="00A251FD" w:rsidRDefault="005D7FE1" w:rsidP="005D7FE1">
            <w:pPr>
              <w:spacing w:after="120" w:line="240" w:lineRule="auto"/>
              <w:rPr>
                <w:lang w:eastAsia="en-US"/>
              </w:rPr>
            </w:pPr>
            <w:r w:rsidRPr="00A251FD">
              <w:rPr>
                <w:lang w:eastAsia="en-US"/>
              </w:rPr>
              <w:t>The 2024 EA contains more detailed provisions regarding the substitution of a public holiday, and provides:</w:t>
            </w:r>
          </w:p>
          <w:p w14:paraId="0EB0E05D" w14:textId="67C6E38C" w:rsidR="005D7FE1" w:rsidRPr="00A251FD" w:rsidRDefault="005D7FE1" w:rsidP="005D7FE1">
            <w:pPr>
              <w:pStyle w:val="ListParagraph"/>
              <w:numPr>
                <w:ilvl w:val="0"/>
                <w:numId w:val="19"/>
              </w:numPr>
              <w:spacing w:before="120" w:after="120" w:line="240" w:lineRule="auto"/>
              <w:rPr>
                <w:lang w:eastAsia="en-US"/>
              </w:rPr>
            </w:pPr>
            <w:r w:rsidRPr="00A251FD">
              <w:rPr>
                <w:lang w:eastAsia="en-US"/>
              </w:rPr>
              <w:t>that the Commissioner and an employee may agree to substitute a cultural or religious day of significance for the employee for any prescribed holiday</w:t>
            </w:r>
            <w:r w:rsidR="00B45A9B" w:rsidRPr="00A251FD">
              <w:rPr>
                <w:lang w:eastAsia="en-US"/>
              </w:rPr>
              <w:t>;</w:t>
            </w:r>
          </w:p>
          <w:p w14:paraId="329C030A" w14:textId="6C1A9AF4" w:rsidR="005D7FE1" w:rsidRPr="00A251FD" w:rsidRDefault="005D7FE1" w:rsidP="005D7FE1">
            <w:pPr>
              <w:pStyle w:val="ListParagraph"/>
              <w:numPr>
                <w:ilvl w:val="0"/>
                <w:numId w:val="19"/>
              </w:numPr>
              <w:spacing w:before="120" w:after="120" w:line="240" w:lineRule="auto"/>
              <w:rPr>
                <w:lang w:eastAsia="en-US"/>
              </w:rPr>
            </w:pPr>
            <w:r w:rsidRPr="00A251FD">
              <w:rPr>
                <w:lang w:eastAsia="en-US"/>
              </w:rPr>
              <w:t xml:space="preserve">if an employee cannot work on </w:t>
            </w:r>
            <w:r w:rsidR="00B45A9B" w:rsidRPr="00A251FD">
              <w:rPr>
                <w:lang w:eastAsia="en-US"/>
              </w:rPr>
              <w:t xml:space="preserve">the </w:t>
            </w:r>
            <w:r w:rsidRPr="00A251FD">
              <w:rPr>
                <w:lang w:eastAsia="en-US"/>
              </w:rPr>
              <w:t>prescribed holiday, they will be required to work make-up time</w:t>
            </w:r>
          </w:p>
          <w:p w14:paraId="262D5367" w14:textId="77777777" w:rsidR="005D7FE1" w:rsidRPr="00A251FD" w:rsidRDefault="005D7FE1" w:rsidP="005D7FE1">
            <w:pPr>
              <w:pStyle w:val="ListParagraph"/>
              <w:numPr>
                <w:ilvl w:val="0"/>
                <w:numId w:val="19"/>
              </w:numPr>
              <w:spacing w:before="120" w:after="120" w:line="240" w:lineRule="auto"/>
              <w:rPr>
                <w:lang w:eastAsia="en-US"/>
              </w:rPr>
            </w:pPr>
            <w:r w:rsidRPr="00A251FD">
              <w:rPr>
                <w:lang w:eastAsia="en-US"/>
              </w:rPr>
              <w:t>if an employee substitutes a public holiday for another day, they will not be paid penalty rates for their normal hours on the public holiday.</w:t>
            </w:r>
          </w:p>
          <w:p w14:paraId="15F04DCC" w14:textId="0019B34E" w:rsidR="005D7FE1" w:rsidRPr="00A251FD" w:rsidRDefault="005D7FE1" w:rsidP="005D7FE1">
            <w:pPr>
              <w:spacing w:after="120" w:line="240" w:lineRule="auto"/>
            </w:pPr>
            <w:r w:rsidRPr="00A251FD">
              <w:rPr>
                <w:lang w:eastAsia="en-US"/>
              </w:rPr>
              <w:lastRenderedPageBreak/>
              <w:t xml:space="preserve">The 2024 EA also provides that where a full-time employee (including employees working compressed hours) has a regular planned day off on a public holiday, the Commissioner may allow the employee to change their planned day off so that it does not fall on the public holiday (or if this is not possible, the employee will be credited with flex credits or EL TOIL in recognition of their planned day off). </w:t>
            </w:r>
          </w:p>
        </w:tc>
        <w:tc>
          <w:tcPr>
            <w:tcW w:w="617" w:type="pct"/>
            <w:vAlign w:val="center"/>
          </w:tcPr>
          <w:p w14:paraId="3EE54541" w14:textId="18E6C38E" w:rsidR="005D7FE1" w:rsidRPr="00A251FD" w:rsidRDefault="005D7FE1" w:rsidP="006B40E1">
            <w:pPr>
              <w:spacing w:after="120" w:line="240" w:lineRule="auto"/>
              <w:jc w:val="center"/>
              <w:rPr>
                <w:lang w:eastAsia="en-US"/>
              </w:rPr>
            </w:pPr>
            <w:r w:rsidRPr="00A251FD">
              <w:lastRenderedPageBreak/>
              <w:t>5.98</w:t>
            </w:r>
            <w:r w:rsidR="00B45A9B" w:rsidRPr="00A251FD">
              <w:t xml:space="preserve"> – 5.106</w:t>
            </w:r>
          </w:p>
        </w:tc>
        <w:tc>
          <w:tcPr>
            <w:tcW w:w="617" w:type="pct"/>
            <w:vAlign w:val="center"/>
          </w:tcPr>
          <w:p w14:paraId="7C9EA6A7" w14:textId="0E80B7A7" w:rsidR="005D7FE1" w:rsidRPr="00A251FD" w:rsidRDefault="00BB4315" w:rsidP="005C3B99">
            <w:pPr>
              <w:spacing w:after="120" w:line="240" w:lineRule="auto"/>
              <w:jc w:val="center"/>
              <w:rPr>
                <w:lang w:eastAsia="en-US"/>
              </w:rPr>
            </w:pPr>
            <w:r w:rsidRPr="00A251FD">
              <w:rPr>
                <w:lang w:eastAsia="en-US"/>
              </w:rPr>
              <w:t>5.50</w:t>
            </w:r>
            <w:r w:rsidR="005C3B99">
              <w:rPr>
                <w:lang w:eastAsia="en-US"/>
              </w:rPr>
              <w:t xml:space="preserve"> – </w:t>
            </w:r>
            <w:r w:rsidRPr="00A251FD">
              <w:rPr>
                <w:lang w:eastAsia="en-US"/>
              </w:rPr>
              <w:t>5.55</w:t>
            </w:r>
          </w:p>
        </w:tc>
      </w:tr>
    </w:tbl>
    <w:p w14:paraId="224A486C" w14:textId="77777777" w:rsidR="00350F30" w:rsidRPr="00A251FD" w:rsidRDefault="00350F30" w:rsidP="00350F30">
      <w:pPr>
        <w:pStyle w:val="Heading2"/>
      </w:pPr>
      <w:r w:rsidRPr="00A251FD">
        <w:t xml:space="preserve">Part 6: Leave </w:t>
      </w:r>
    </w:p>
    <w:tbl>
      <w:tblPr>
        <w:tblStyle w:val="TableGrid"/>
        <w:tblW w:w="5002" w:type="pct"/>
        <w:jc w:val="center"/>
        <w:tblLook w:val="04A0" w:firstRow="1" w:lastRow="0" w:firstColumn="1" w:lastColumn="0" w:noHBand="0" w:noVBand="1"/>
        <w:tblCaption w:val="EA Fact Sheet - Key Features"/>
        <w:tblDescription w:val="EA Fact Sheet - Key Features"/>
      </w:tblPr>
      <w:tblGrid>
        <w:gridCol w:w="3031"/>
        <w:gridCol w:w="7727"/>
        <w:gridCol w:w="1762"/>
        <w:gridCol w:w="1762"/>
      </w:tblGrid>
      <w:tr w:rsidR="00A251FD" w:rsidRPr="00A251FD" w14:paraId="5EFF08D3" w14:textId="693ED938" w:rsidTr="00D8718C">
        <w:trPr>
          <w:trHeight w:val="416"/>
          <w:tblHeader/>
          <w:jc w:val="center"/>
        </w:trPr>
        <w:tc>
          <w:tcPr>
            <w:tcW w:w="1061" w:type="pct"/>
            <w:shd w:val="clear" w:color="auto" w:fill="943C84"/>
            <w:vAlign w:val="center"/>
          </w:tcPr>
          <w:p w14:paraId="4537F6DA" w14:textId="57AC5FCE" w:rsidR="00350F30" w:rsidRPr="00A251FD" w:rsidRDefault="00350F30" w:rsidP="006B40E1">
            <w:pPr>
              <w:spacing w:after="120" w:line="240" w:lineRule="auto"/>
              <w:rPr>
                <w:b/>
                <w:color w:val="FFFFFF" w:themeColor="background1"/>
                <w:lang w:eastAsia="en-US"/>
              </w:rPr>
            </w:pPr>
            <w:r w:rsidRPr="00A251FD">
              <w:rPr>
                <w:b/>
                <w:color w:val="FFFFFF" w:themeColor="background1"/>
                <w:lang w:eastAsia="en-US"/>
              </w:rPr>
              <w:t>Employment Condition</w:t>
            </w:r>
          </w:p>
        </w:tc>
        <w:tc>
          <w:tcPr>
            <w:tcW w:w="2705" w:type="pct"/>
            <w:shd w:val="clear" w:color="auto" w:fill="943C84"/>
            <w:vAlign w:val="center"/>
          </w:tcPr>
          <w:p w14:paraId="0F05F59F" w14:textId="7EAA18D2" w:rsidR="00350F30" w:rsidRPr="00A251FD" w:rsidRDefault="00350F30" w:rsidP="006B40E1">
            <w:pPr>
              <w:spacing w:after="120" w:line="240" w:lineRule="auto"/>
              <w:rPr>
                <w:b/>
                <w:color w:val="FFFFFF" w:themeColor="background1"/>
                <w:lang w:eastAsia="en-US"/>
              </w:rPr>
            </w:pPr>
            <w:r w:rsidRPr="00A251FD">
              <w:rPr>
                <w:b/>
                <w:color w:val="FFFFFF" w:themeColor="background1"/>
                <w:lang w:eastAsia="en-US"/>
              </w:rPr>
              <w:t xml:space="preserve">Explanation of key changes from 2019 EA  </w:t>
            </w:r>
          </w:p>
        </w:tc>
        <w:tc>
          <w:tcPr>
            <w:tcW w:w="617" w:type="pct"/>
            <w:shd w:val="clear" w:color="auto" w:fill="943C84"/>
            <w:vAlign w:val="center"/>
          </w:tcPr>
          <w:p w14:paraId="72AC81DE" w14:textId="29F21C0B" w:rsidR="00350F30" w:rsidRPr="00A251FD" w:rsidRDefault="00350F30" w:rsidP="006B40E1">
            <w:pPr>
              <w:spacing w:after="120" w:line="240" w:lineRule="auto"/>
              <w:jc w:val="center"/>
              <w:rPr>
                <w:b/>
                <w:color w:val="FFFFFF" w:themeColor="background1"/>
                <w:lang w:eastAsia="en-US"/>
              </w:rPr>
            </w:pPr>
            <w:r w:rsidRPr="00A251FD">
              <w:rPr>
                <w:b/>
                <w:color w:val="FFFFFF" w:themeColor="background1"/>
                <w:lang w:eastAsia="en-US"/>
              </w:rPr>
              <w:t>2024 EA clause</w:t>
            </w:r>
          </w:p>
        </w:tc>
        <w:tc>
          <w:tcPr>
            <w:tcW w:w="617" w:type="pct"/>
            <w:shd w:val="clear" w:color="auto" w:fill="943C84"/>
            <w:vAlign w:val="center"/>
          </w:tcPr>
          <w:p w14:paraId="2B20240B" w14:textId="0C990068" w:rsidR="00350F30" w:rsidRPr="00A251FD" w:rsidRDefault="00350F30" w:rsidP="006B40E1">
            <w:pPr>
              <w:spacing w:after="120" w:line="240" w:lineRule="auto"/>
              <w:jc w:val="center"/>
              <w:rPr>
                <w:b/>
                <w:color w:val="FFFFFF" w:themeColor="background1"/>
                <w:lang w:eastAsia="en-US"/>
              </w:rPr>
            </w:pPr>
            <w:r w:rsidRPr="00A251FD">
              <w:rPr>
                <w:b/>
                <w:color w:val="FFFFFF" w:themeColor="background1"/>
                <w:lang w:eastAsia="en-US"/>
              </w:rPr>
              <w:t>2019 EA clause</w:t>
            </w:r>
          </w:p>
        </w:tc>
      </w:tr>
      <w:tr w:rsidR="00B45A9B" w:rsidRPr="00A251FD" w14:paraId="18FEDB99" w14:textId="77777777" w:rsidTr="00D8718C">
        <w:trPr>
          <w:trHeight w:val="260"/>
          <w:jc w:val="center"/>
        </w:trPr>
        <w:tc>
          <w:tcPr>
            <w:tcW w:w="1061" w:type="pct"/>
          </w:tcPr>
          <w:p w14:paraId="44EFA7AC" w14:textId="01F53B99" w:rsidR="00B45A9B" w:rsidRPr="00A251FD" w:rsidRDefault="00B45A9B" w:rsidP="00B45A9B">
            <w:pPr>
              <w:spacing w:after="120" w:line="240" w:lineRule="auto"/>
              <w:rPr>
                <w:lang w:eastAsia="en-US"/>
              </w:rPr>
            </w:pPr>
            <w:r w:rsidRPr="00A251FD">
              <w:t>Notification of absence</w:t>
            </w:r>
          </w:p>
        </w:tc>
        <w:tc>
          <w:tcPr>
            <w:tcW w:w="2705" w:type="pct"/>
          </w:tcPr>
          <w:p w14:paraId="3900452E" w14:textId="37FC1A79" w:rsidR="00B45A9B" w:rsidRPr="00A251FD" w:rsidRDefault="00B45A9B" w:rsidP="00B45A9B">
            <w:pPr>
              <w:spacing w:after="120" w:line="240" w:lineRule="auto"/>
              <w:rPr>
                <w:lang w:eastAsia="en-US"/>
              </w:rPr>
            </w:pPr>
            <w:r w:rsidRPr="00A251FD">
              <w:t>The 2024 EA allows employees to provide notification of an intended absence by phone call or using an alternative method of notification agreed with their manager. The 2019 EA required notification to be way of phone call only.</w:t>
            </w:r>
          </w:p>
        </w:tc>
        <w:tc>
          <w:tcPr>
            <w:tcW w:w="617" w:type="pct"/>
            <w:vAlign w:val="center"/>
          </w:tcPr>
          <w:p w14:paraId="5A6ACB6D" w14:textId="5D906F25" w:rsidR="00B45A9B" w:rsidRPr="00A251FD" w:rsidRDefault="00B45A9B" w:rsidP="006B40E1">
            <w:pPr>
              <w:spacing w:after="120" w:line="240" w:lineRule="auto"/>
              <w:jc w:val="center"/>
              <w:rPr>
                <w:lang w:eastAsia="en-US"/>
              </w:rPr>
            </w:pPr>
            <w:r w:rsidRPr="00A251FD">
              <w:t>6.1</w:t>
            </w:r>
          </w:p>
        </w:tc>
        <w:tc>
          <w:tcPr>
            <w:tcW w:w="617" w:type="pct"/>
            <w:vAlign w:val="center"/>
          </w:tcPr>
          <w:p w14:paraId="4E0B0D02" w14:textId="0904D176" w:rsidR="00B45A9B" w:rsidRPr="00A251FD" w:rsidRDefault="00B45A9B" w:rsidP="006B40E1">
            <w:pPr>
              <w:spacing w:after="120" w:line="240" w:lineRule="auto"/>
              <w:jc w:val="center"/>
              <w:rPr>
                <w:lang w:eastAsia="en-US"/>
              </w:rPr>
            </w:pPr>
            <w:r w:rsidRPr="00A251FD">
              <w:t>6.1</w:t>
            </w:r>
          </w:p>
        </w:tc>
      </w:tr>
      <w:tr w:rsidR="00350F30" w:rsidRPr="00A251FD" w14:paraId="4AF0FAB5" w14:textId="0B1386A7" w:rsidTr="00D8718C">
        <w:trPr>
          <w:trHeight w:val="260"/>
          <w:jc w:val="center"/>
        </w:trPr>
        <w:tc>
          <w:tcPr>
            <w:tcW w:w="1061" w:type="pct"/>
            <w:vAlign w:val="center"/>
          </w:tcPr>
          <w:p w14:paraId="6DB4F0B8" w14:textId="77777777" w:rsidR="00350F30" w:rsidRPr="00A251FD" w:rsidRDefault="00350F30" w:rsidP="00350F30">
            <w:pPr>
              <w:spacing w:after="120" w:line="240" w:lineRule="auto"/>
              <w:rPr>
                <w:lang w:eastAsia="en-US"/>
              </w:rPr>
            </w:pPr>
            <w:r w:rsidRPr="00A251FD">
              <w:rPr>
                <w:lang w:eastAsia="en-US"/>
              </w:rPr>
              <w:t xml:space="preserve">Portability of leave </w:t>
            </w:r>
          </w:p>
          <w:p w14:paraId="79026522" w14:textId="2F113AD2" w:rsidR="00350F30" w:rsidRPr="00A251FD" w:rsidRDefault="00350F30" w:rsidP="004940D8"/>
        </w:tc>
        <w:tc>
          <w:tcPr>
            <w:tcW w:w="2705" w:type="pct"/>
            <w:vAlign w:val="center"/>
          </w:tcPr>
          <w:p w14:paraId="61CE6FE9" w14:textId="77777777" w:rsidR="00B45A9B" w:rsidRPr="00A251FD" w:rsidRDefault="00B45A9B" w:rsidP="00B45A9B">
            <w:pPr>
              <w:spacing w:after="120" w:line="240" w:lineRule="auto"/>
              <w:rPr>
                <w:lang w:eastAsia="en-US"/>
              </w:rPr>
            </w:pPr>
            <w:r w:rsidRPr="00A251FD">
              <w:rPr>
                <w:lang w:eastAsia="en-US"/>
              </w:rPr>
              <w:t xml:space="preserve">Under the 2024 EA, the portability of leave clause has been expanded to provide that: </w:t>
            </w:r>
          </w:p>
          <w:p w14:paraId="47A8232C" w14:textId="625D9B56" w:rsidR="00B45A9B" w:rsidRPr="00A251FD" w:rsidRDefault="00B45A9B" w:rsidP="00B45A9B">
            <w:pPr>
              <w:pStyle w:val="mbullet1"/>
              <w:rPr>
                <w:rFonts w:cs="Calibri"/>
                <w:lang w:eastAsia="en-US"/>
              </w:rPr>
            </w:pPr>
            <w:r w:rsidRPr="00A251FD">
              <w:rPr>
                <w:rFonts w:cs="Calibri"/>
                <w:lang w:eastAsia="en-US"/>
              </w:rPr>
              <w:t xml:space="preserve">where an employee is engaged as an ongoing employee, and was engaged by another non-APS Commonwealth employer immediately prior to their engagement with the Commission, the Commissioner will recognise any unused accrued PCL at the employee's request. </w:t>
            </w:r>
          </w:p>
          <w:p w14:paraId="185A2D8C" w14:textId="4E50AD9B" w:rsidR="00B45A9B" w:rsidRPr="00A251FD" w:rsidRDefault="00B45A9B" w:rsidP="00B45A9B">
            <w:pPr>
              <w:pStyle w:val="mbullet1"/>
              <w:rPr>
                <w:rFonts w:cs="Calibri"/>
                <w:lang w:eastAsia="en-US"/>
              </w:rPr>
            </w:pPr>
            <w:r w:rsidRPr="00A251FD">
              <w:rPr>
                <w:rFonts w:cs="Calibri"/>
                <w:lang w:eastAsia="en-US"/>
              </w:rPr>
              <w:t>where an employee is engaged as non-ongoing APS employee, and was engaged as a non-ongoing APS employee immediately prior to their engagement with the Commission, the Commissioner will recognise any unused accrued annual leave and PCL at the employee's request; and</w:t>
            </w:r>
          </w:p>
          <w:p w14:paraId="5692102D" w14:textId="664108F9" w:rsidR="00B45A9B" w:rsidRPr="00A251FD" w:rsidRDefault="00B45A9B" w:rsidP="00B45A9B">
            <w:pPr>
              <w:pStyle w:val="mbullet1"/>
              <w:rPr>
                <w:rFonts w:cs="Calibri"/>
                <w:lang w:eastAsia="en-US"/>
              </w:rPr>
            </w:pPr>
            <w:r w:rsidRPr="00A251FD">
              <w:rPr>
                <w:rFonts w:cs="Calibri"/>
                <w:lang w:eastAsia="en-US"/>
              </w:rPr>
              <w:lastRenderedPageBreak/>
              <w:t xml:space="preserve">where an employee is engaged as an ongoing employee, and was engaged by a State or Territory government employer immediately prior to their engagement with the Commission, the Commissioner may recognise any unused accrued PCL at the employee's request.  </w:t>
            </w:r>
          </w:p>
          <w:p w14:paraId="6BEECB6D" w14:textId="654ECF4D" w:rsidR="00350F30" w:rsidRPr="00A251FD" w:rsidRDefault="00B45A9B" w:rsidP="00350F30">
            <w:r w:rsidRPr="00A251FD">
              <w:rPr>
                <w:lang w:eastAsia="en-US"/>
              </w:rPr>
              <w:t>The 2024 EA also provides that where there is a break in service of less than 2 months, an employee will be considered to have continuity of service.</w:t>
            </w:r>
          </w:p>
        </w:tc>
        <w:tc>
          <w:tcPr>
            <w:tcW w:w="617" w:type="pct"/>
            <w:vAlign w:val="center"/>
          </w:tcPr>
          <w:p w14:paraId="53FD01F2" w14:textId="681432F9" w:rsidR="00350F30" w:rsidRPr="00A251FD" w:rsidRDefault="00350F30" w:rsidP="006B40E1">
            <w:pPr>
              <w:spacing w:after="120" w:line="240" w:lineRule="auto"/>
              <w:jc w:val="center"/>
              <w:rPr>
                <w:lang w:eastAsia="en-US"/>
              </w:rPr>
            </w:pPr>
            <w:r w:rsidRPr="00A251FD">
              <w:rPr>
                <w:lang w:eastAsia="en-US"/>
              </w:rPr>
              <w:lastRenderedPageBreak/>
              <w:t>6.2</w:t>
            </w:r>
            <w:r w:rsidR="005C3B99">
              <w:rPr>
                <w:lang w:eastAsia="en-US"/>
              </w:rPr>
              <w:t xml:space="preserve"> – </w:t>
            </w:r>
            <w:r w:rsidR="00B45A9B" w:rsidRPr="00A251FD">
              <w:rPr>
                <w:lang w:eastAsia="en-US"/>
              </w:rPr>
              <w:t>6.8</w:t>
            </w:r>
          </w:p>
          <w:p w14:paraId="42FEFB06" w14:textId="117B6801" w:rsidR="00350F30" w:rsidRPr="00A251FD" w:rsidRDefault="00350F30" w:rsidP="006B40E1">
            <w:pPr>
              <w:jc w:val="center"/>
            </w:pPr>
          </w:p>
        </w:tc>
        <w:tc>
          <w:tcPr>
            <w:tcW w:w="617" w:type="pct"/>
            <w:vAlign w:val="center"/>
          </w:tcPr>
          <w:p w14:paraId="267808A4" w14:textId="490A15A8" w:rsidR="00BB4315" w:rsidRPr="00A251FD" w:rsidRDefault="005C3B99" w:rsidP="006B40E1">
            <w:pPr>
              <w:spacing w:after="120" w:line="240" w:lineRule="auto"/>
              <w:jc w:val="center"/>
              <w:rPr>
                <w:lang w:eastAsia="en-US"/>
              </w:rPr>
            </w:pPr>
            <w:r>
              <w:rPr>
                <w:lang w:eastAsia="en-US"/>
              </w:rPr>
              <w:t xml:space="preserve">6.2 – </w:t>
            </w:r>
            <w:r w:rsidR="00BB4315" w:rsidRPr="00A251FD">
              <w:rPr>
                <w:lang w:eastAsia="en-US"/>
              </w:rPr>
              <w:t>6.5</w:t>
            </w:r>
          </w:p>
          <w:p w14:paraId="0721612E" w14:textId="77777777" w:rsidR="00350F30" w:rsidRPr="00A251FD" w:rsidRDefault="00350F30" w:rsidP="006B40E1">
            <w:pPr>
              <w:jc w:val="center"/>
            </w:pPr>
          </w:p>
        </w:tc>
      </w:tr>
      <w:tr w:rsidR="0007513B" w14:paraId="2E2F45CF" w14:textId="77777777" w:rsidTr="00D8718C">
        <w:trPr>
          <w:trHeight w:val="260"/>
          <w:jc w:val="center"/>
        </w:trPr>
        <w:tc>
          <w:tcPr>
            <w:tcW w:w="1061" w:type="pct"/>
          </w:tcPr>
          <w:p w14:paraId="0CEAC3B0" w14:textId="77777777" w:rsidR="0007513B" w:rsidRPr="006F5498" w:rsidRDefault="0007513B" w:rsidP="005C3B99">
            <w:pPr>
              <w:spacing w:after="120" w:line="240" w:lineRule="auto"/>
              <w:rPr>
                <w:rFonts w:cs="Arial"/>
              </w:rPr>
            </w:pPr>
            <w:r>
              <w:rPr>
                <w:rFonts w:cs="Arial"/>
              </w:rPr>
              <w:t>Annual leave</w:t>
            </w:r>
          </w:p>
        </w:tc>
        <w:tc>
          <w:tcPr>
            <w:tcW w:w="2705" w:type="pct"/>
          </w:tcPr>
          <w:p w14:paraId="2561FE6C" w14:textId="77777777" w:rsidR="0007513B" w:rsidRPr="006F5498" w:rsidRDefault="0007513B" w:rsidP="005C3B99">
            <w:pPr>
              <w:spacing w:after="120" w:line="240" w:lineRule="auto"/>
              <w:rPr>
                <w:rFonts w:cs="Arial"/>
              </w:rPr>
            </w:pPr>
            <w:r>
              <w:rPr>
                <w:rFonts w:cs="Arial"/>
              </w:rPr>
              <w:t>The 2024 EA introduces an ability for employees to cash out annual leave  in particular circumstances and expressly records that employees will receive payment in lieu of untaken annual leave upon separation from the APS.</w:t>
            </w:r>
          </w:p>
        </w:tc>
        <w:tc>
          <w:tcPr>
            <w:tcW w:w="617" w:type="pct"/>
          </w:tcPr>
          <w:p w14:paraId="3B6A33A6" w14:textId="77777777" w:rsidR="0007513B" w:rsidRDefault="0007513B" w:rsidP="005C3B99">
            <w:pPr>
              <w:spacing w:after="120" w:line="240" w:lineRule="auto"/>
              <w:rPr>
                <w:rFonts w:cs="Arial"/>
              </w:rPr>
            </w:pPr>
            <w:r>
              <w:rPr>
                <w:rFonts w:cs="Arial"/>
              </w:rPr>
              <w:t>6.16 – 6.24</w:t>
            </w:r>
          </w:p>
        </w:tc>
        <w:tc>
          <w:tcPr>
            <w:tcW w:w="617" w:type="pct"/>
          </w:tcPr>
          <w:p w14:paraId="744C4CE8" w14:textId="77777777" w:rsidR="0007513B" w:rsidRDefault="0007513B" w:rsidP="005C3B99">
            <w:pPr>
              <w:spacing w:after="120" w:line="240" w:lineRule="auto"/>
              <w:rPr>
                <w:rFonts w:cs="Arial"/>
              </w:rPr>
            </w:pPr>
            <w:r>
              <w:rPr>
                <w:rFonts w:cs="Arial"/>
              </w:rPr>
              <w:t>6.13 – 6.18</w:t>
            </w:r>
          </w:p>
        </w:tc>
      </w:tr>
      <w:tr w:rsidR="00350F30" w:rsidRPr="00A251FD" w14:paraId="2455B258" w14:textId="2699D124" w:rsidTr="00D8718C">
        <w:trPr>
          <w:trHeight w:val="260"/>
          <w:jc w:val="center"/>
        </w:trPr>
        <w:tc>
          <w:tcPr>
            <w:tcW w:w="1061" w:type="pct"/>
            <w:vAlign w:val="center"/>
          </w:tcPr>
          <w:p w14:paraId="0AD12553" w14:textId="77777777" w:rsidR="00350F30" w:rsidRPr="00A251FD" w:rsidRDefault="00350F30" w:rsidP="00350F30">
            <w:pPr>
              <w:spacing w:after="120" w:line="240" w:lineRule="auto"/>
              <w:rPr>
                <w:lang w:eastAsia="en-US"/>
              </w:rPr>
            </w:pPr>
            <w:r w:rsidRPr="00A251FD">
              <w:rPr>
                <w:lang w:eastAsia="en-US"/>
              </w:rPr>
              <w:t>Personal/carer's leave</w:t>
            </w:r>
          </w:p>
          <w:p w14:paraId="19CED051" w14:textId="0E4BB109" w:rsidR="00350F30" w:rsidRPr="00A251FD" w:rsidRDefault="00350F30" w:rsidP="004940D8"/>
        </w:tc>
        <w:tc>
          <w:tcPr>
            <w:tcW w:w="2705" w:type="pct"/>
            <w:vAlign w:val="center"/>
          </w:tcPr>
          <w:p w14:paraId="1B978150" w14:textId="77777777" w:rsidR="00B45A9B" w:rsidRPr="00A251FD" w:rsidRDefault="00B45A9B" w:rsidP="00B45A9B">
            <w:pPr>
              <w:spacing w:after="120" w:line="240" w:lineRule="auto"/>
            </w:pPr>
            <w:r w:rsidRPr="00A251FD">
              <w:t xml:space="preserve">The 2024 EA continues to provide that ongoing and non-ongoing employees will accrue 18 days personal/carer's leave (PCL) each year (pro-rata for part-time employees), but changes the arrangements for upfront crediting of PCL. </w:t>
            </w:r>
          </w:p>
          <w:p w14:paraId="1E488E4A" w14:textId="77777777" w:rsidR="00B45A9B" w:rsidRPr="00A251FD" w:rsidRDefault="00B45A9B" w:rsidP="00B45A9B">
            <w:pPr>
              <w:spacing w:after="120" w:line="240" w:lineRule="auto"/>
            </w:pPr>
            <w:r w:rsidRPr="00A251FD">
              <w:t>Under the 2024 EA:</w:t>
            </w:r>
          </w:p>
          <w:p w14:paraId="60877782" w14:textId="1676A313" w:rsidR="00B45A9B" w:rsidRPr="00A251FD" w:rsidRDefault="00B45A9B" w:rsidP="00B45A9B">
            <w:pPr>
              <w:pStyle w:val="ListParagraph"/>
              <w:numPr>
                <w:ilvl w:val="0"/>
                <w:numId w:val="44"/>
              </w:numPr>
              <w:spacing w:after="120" w:line="240" w:lineRule="auto"/>
            </w:pPr>
            <w:r w:rsidRPr="00A251FD">
              <w:t>an ongoing employee who is new to the APS will be credited 18 days PCL upon commencement. Transitional arrangements are included for an employee who received an upfront credit of leave under the 2019 EA and is still in their first year of service;</w:t>
            </w:r>
          </w:p>
          <w:p w14:paraId="4800B322" w14:textId="7FCB9999" w:rsidR="00B45A9B" w:rsidRPr="00A251FD" w:rsidRDefault="00B45A9B" w:rsidP="00B45A9B">
            <w:pPr>
              <w:pStyle w:val="ListParagraph"/>
              <w:numPr>
                <w:ilvl w:val="0"/>
                <w:numId w:val="44"/>
              </w:numPr>
              <w:spacing w:after="120" w:line="240" w:lineRule="auto"/>
            </w:pPr>
            <w:r w:rsidRPr="00A251FD">
              <w:t>a non-ongoing employee will receive a credit of up to 18 days PCL upon commencement, which will be pro-rated based on the term of their contract period if it is less than 12 months, unless they have an existing PCL balance recognised from prior service; and</w:t>
            </w:r>
          </w:p>
          <w:p w14:paraId="5DE4F152" w14:textId="674A6885" w:rsidR="00B45A9B" w:rsidRPr="00A251FD" w:rsidRDefault="00B45A9B" w:rsidP="00B45A9B">
            <w:pPr>
              <w:pStyle w:val="ListParagraph"/>
              <w:numPr>
                <w:ilvl w:val="0"/>
                <w:numId w:val="44"/>
              </w:numPr>
              <w:spacing w:after="120" w:line="240" w:lineRule="auto"/>
            </w:pPr>
            <w:r w:rsidRPr="00A251FD">
              <w:t>an employee will not accrue PCL with respect to the period for which they have received an upfront credit.</w:t>
            </w:r>
          </w:p>
          <w:p w14:paraId="330ACC0E" w14:textId="77777777" w:rsidR="00B45A9B" w:rsidRPr="00A251FD" w:rsidRDefault="00B45A9B" w:rsidP="00B45A9B">
            <w:pPr>
              <w:spacing w:after="120" w:line="240" w:lineRule="auto"/>
            </w:pPr>
            <w:r w:rsidRPr="00A251FD">
              <w:lastRenderedPageBreak/>
              <w:t>Under the 2019 EA, ongoing employees are credited with 10 days PCL on engagement and then accrue 8 days PCL in their first year of service. Thereafter, ongoing employees accrue 18 days for each year of service. Non-ongoing employees do not receive any upfront credit of PCL but accrue 18 days PCL per year of service.</w:t>
            </w:r>
          </w:p>
          <w:p w14:paraId="4042F2D4" w14:textId="77777777" w:rsidR="00B45A9B" w:rsidRPr="00A251FD" w:rsidRDefault="00B45A9B" w:rsidP="00B45A9B">
            <w:pPr>
              <w:spacing w:after="120" w:line="240" w:lineRule="auto"/>
            </w:pPr>
            <w:r w:rsidRPr="00A251FD">
              <w:t xml:space="preserve">The 2024 EA also: </w:t>
            </w:r>
          </w:p>
          <w:p w14:paraId="636A7C44" w14:textId="4965CBCB" w:rsidR="00B45A9B" w:rsidRPr="00A251FD" w:rsidRDefault="00B45A9B" w:rsidP="00B45A9B">
            <w:pPr>
              <w:pStyle w:val="ListParagraph"/>
              <w:numPr>
                <w:ilvl w:val="0"/>
                <w:numId w:val="45"/>
              </w:numPr>
              <w:spacing w:after="120" w:line="240" w:lineRule="auto"/>
            </w:pPr>
            <w:r w:rsidRPr="00A251FD">
              <w:t>provides for casual employees to be absent without pay when not fit for work due to personal illness/injury and access 2 days' unpaid care's leave per occasion;</w:t>
            </w:r>
          </w:p>
          <w:p w14:paraId="60AD426E" w14:textId="77777777" w:rsidR="0007513B" w:rsidRDefault="00B45A9B" w:rsidP="00350F30">
            <w:pPr>
              <w:pStyle w:val="ListParagraph"/>
              <w:numPr>
                <w:ilvl w:val="0"/>
                <w:numId w:val="45"/>
              </w:numPr>
              <w:spacing w:after="120" w:line="240" w:lineRule="auto"/>
            </w:pPr>
            <w:r w:rsidRPr="00A251FD">
              <w:t>expands upon the circumstances in which PCL may be used to include the management of chronic conditions, and sets out examples of when a person will have caring responsibilities;</w:t>
            </w:r>
          </w:p>
          <w:p w14:paraId="2E1A6FBF" w14:textId="2CCD7278" w:rsidR="00350F30" w:rsidRPr="00A251FD" w:rsidRDefault="00B45A9B" w:rsidP="00350F30">
            <w:pPr>
              <w:pStyle w:val="ListParagraph"/>
              <w:numPr>
                <w:ilvl w:val="0"/>
                <w:numId w:val="45"/>
              </w:numPr>
              <w:spacing w:after="120" w:line="240" w:lineRule="auto"/>
            </w:pPr>
            <w:r w:rsidRPr="00A251FD">
              <w:t>provides that a certificate from a registered health practitioner may be used as evidence of a chronic condition for up to 12 months for PCL.</w:t>
            </w:r>
          </w:p>
        </w:tc>
        <w:tc>
          <w:tcPr>
            <w:tcW w:w="617" w:type="pct"/>
            <w:vAlign w:val="center"/>
          </w:tcPr>
          <w:p w14:paraId="0E9AA985" w14:textId="77777777" w:rsidR="00350F30" w:rsidRPr="00A251FD" w:rsidRDefault="00350F30" w:rsidP="006B40E1">
            <w:pPr>
              <w:spacing w:after="120" w:line="240" w:lineRule="auto"/>
              <w:jc w:val="center"/>
              <w:rPr>
                <w:lang w:eastAsia="en-US"/>
              </w:rPr>
            </w:pPr>
            <w:r w:rsidRPr="00A251FD">
              <w:rPr>
                <w:lang w:eastAsia="en-US"/>
              </w:rPr>
              <w:lastRenderedPageBreak/>
              <w:t>6.25</w:t>
            </w:r>
          </w:p>
          <w:p w14:paraId="473DAE54" w14:textId="3F1E4EFE" w:rsidR="00350F30" w:rsidRPr="00A251FD" w:rsidRDefault="00350F30" w:rsidP="006B40E1">
            <w:pPr>
              <w:jc w:val="center"/>
            </w:pPr>
          </w:p>
        </w:tc>
        <w:tc>
          <w:tcPr>
            <w:tcW w:w="617" w:type="pct"/>
            <w:vAlign w:val="center"/>
          </w:tcPr>
          <w:p w14:paraId="763E267A" w14:textId="7326AA33" w:rsidR="00BB4315" w:rsidRPr="00A251FD" w:rsidRDefault="00BB4315" w:rsidP="006B40E1">
            <w:pPr>
              <w:spacing w:after="120" w:line="240" w:lineRule="auto"/>
              <w:jc w:val="center"/>
              <w:rPr>
                <w:lang w:eastAsia="en-US"/>
              </w:rPr>
            </w:pPr>
            <w:r w:rsidRPr="00A251FD">
              <w:rPr>
                <w:lang w:eastAsia="en-US"/>
              </w:rPr>
              <w:t>6.19– 6.30</w:t>
            </w:r>
          </w:p>
          <w:p w14:paraId="75F92B17" w14:textId="2C05D5F4" w:rsidR="00BB4315" w:rsidRPr="00A251FD" w:rsidRDefault="00BB4315" w:rsidP="006B40E1">
            <w:pPr>
              <w:spacing w:after="120" w:line="240" w:lineRule="auto"/>
              <w:jc w:val="center"/>
            </w:pPr>
          </w:p>
        </w:tc>
      </w:tr>
      <w:tr w:rsidR="00350F30" w:rsidRPr="00A251FD" w14:paraId="50AA4EAC" w14:textId="60C71CE7" w:rsidTr="00D8718C">
        <w:trPr>
          <w:trHeight w:val="260"/>
          <w:jc w:val="center"/>
        </w:trPr>
        <w:tc>
          <w:tcPr>
            <w:tcW w:w="1061" w:type="pct"/>
            <w:vAlign w:val="center"/>
          </w:tcPr>
          <w:p w14:paraId="2B8655EE" w14:textId="77777777" w:rsidR="008E4187" w:rsidRPr="00A251FD" w:rsidRDefault="008E4187" w:rsidP="008E4187">
            <w:pPr>
              <w:spacing w:after="120" w:line="240" w:lineRule="auto"/>
              <w:rPr>
                <w:lang w:eastAsia="en-US"/>
              </w:rPr>
            </w:pPr>
            <w:r w:rsidRPr="00A251FD">
              <w:rPr>
                <w:lang w:eastAsia="en-US"/>
              </w:rPr>
              <w:t>Re-crediting of leave</w:t>
            </w:r>
          </w:p>
          <w:p w14:paraId="2E34EBD9" w14:textId="76B04DED" w:rsidR="00350F30" w:rsidRPr="00A251FD" w:rsidRDefault="00350F30" w:rsidP="004940D8"/>
        </w:tc>
        <w:tc>
          <w:tcPr>
            <w:tcW w:w="2705" w:type="pct"/>
            <w:vAlign w:val="center"/>
          </w:tcPr>
          <w:p w14:paraId="19BD1186" w14:textId="7CBB2DD1" w:rsidR="00350F30" w:rsidRPr="00A251FD" w:rsidRDefault="008E4187" w:rsidP="004940D8">
            <w:r w:rsidRPr="00A251FD">
              <w:t>The 2024 EA provides a wider range of circumstances in which an employee may be re-credited with particular types of leave if they become eligible for other forms of leave under legislation or the 2024 EA.</w:t>
            </w:r>
          </w:p>
        </w:tc>
        <w:tc>
          <w:tcPr>
            <w:tcW w:w="617" w:type="pct"/>
            <w:vAlign w:val="center"/>
          </w:tcPr>
          <w:p w14:paraId="3A7373FE" w14:textId="4398C0A0" w:rsidR="008E4187" w:rsidRPr="00A251FD" w:rsidRDefault="008E4187" w:rsidP="006B40E1">
            <w:pPr>
              <w:spacing w:after="120" w:line="240" w:lineRule="auto"/>
              <w:jc w:val="center"/>
              <w:rPr>
                <w:lang w:eastAsia="en-US"/>
              </w:rPr>
            </w:pPr>
            <w:r w:rsidRPr="00A251FD">
              <w:rPr>
                <w:lang w:eastAsia="en-US"/>
              </w:rPr>
              <w:t>6.38</w:t>
            </w:r>
            <w:r w:rsidR="005C3B99">
              <w:rPr>
                <w:lang w:eastAsia="en-US"/>
              </w:rPr>
              <w:t xml:space="preserve"> – </w:t>
            </w:r>
            <w:r w:rsidR="00B45A9B" w:rsidRPr="00A251FD">
              <w:rPr>
                <w:lang w:eastAsia="en-US"/>
              </w:rPr>
              <w:t>6.40</w:t>
            </w:r>
          </w:p>
          <w:p w14:paraId="0556092A" w14:textId="78A081D5" w:rsidR="00350F30" w:rsidRPr="00A251FD" w:rsidRDefault="00350F30" w:rsidP="006B40E1">
            <w:pPr>
              <w:jc w:val="center"/>
            </w:pPr>
          </w:p>
        </w:tc>
        <w:tc>
          <w:tcPr>
            <w:tcW w:w="617" w:type="pct"/>
            <w:vAlign w:val="center"/>
          </w:tcPr>
          <w:p w14:paraId="1E8A171B" w14:textId="77777777" w:rsidR="006C012B" w:rsidRPr="00A251FD" w:rsidRDefault="006C012B" w:rsidP="006B40E1">
            <w:pPr>
              <w:spacing w:after="120" w:line="240" w:lineRule="auto"/>
              <w:jc w:val="center"/>
              <w:rPr>
                <w:lang w:eastAsia="en-US"/>
              </w:rPr>
            </w:pPr>
            <w:r w:rsidRPr="00A251FD">
              <w:rPr>
                <w:lang w:eastAsia="en-US"/>
              </w:rPr>
              <w:t>6.28 and 6.31</w:t>
            </w:r>
          </w:p>
          <w:p w14:paraId="51ACBF41" w14:textId="77777777" w:rsidR="00350F30" w:rsidRPr="00A251FD" w:rsidRDefault="00350F30" w:rsidP="006B40E1">
            <w:pPr>
              <w:jc w:val="center"/>
            </w:pPr>
          </w:p>
        </w:tc>
      </w:tr>
      <w:tr w:rsidR="00350F30" w:rsidRPr="00A251FD" w14:paraId="39D11335" w14:textId="6B320BAF" w:rsidTr="00D8718C">
        <w:trPr>
          <w:trHeight w:val="260"/>
          <w:jc w:val="center"/>
        </w:trPr>
        <w:tc>
          <w:tcPr>
            <w:tcW w:w="1061" w:type="pct"/>
            <w:vAlign w:val="center"/>
          </w:tcPr>
          <w:p w14:paraId="1672A602" w14:textId="77777777" w:rsidR="008E4187" w:rsidRPr="00A251FD" w:rsidRDefault="008E4187" w:rsidP="008E4187">
            <w:pPr>
              <w:spacing w:after="120" w:line="240" w:lineRule="auto"/>
              <w:rPr>
                <w:lang w:eastAsia="en-US"/>
              </w:rPr>
            </w:pPr>
            <w:r w:rsidRPr="00A251FD">
              <w:rPr>
                <w:lang w:eastAsia="en-US"/>
              </w:rPr>
              <w:t xml:space="preserve">Compassionate leave / Bereavement leave </w:t>
            </w:r>
          </w:p>
          <w:p w14:paraId="30990217" w14:textId="7A4C8E45" w:rsidR="00350F30" w:rsidRPr="00A251FD" w:rsidRDefault="00350F30" w:rsidP="004940D8"/>
        </w:tc>
        <w:tc>
          <w:tcPr>
            <w:tcW w:w="2705" w:type="pct"/>
            <w:vAlign w:val="center"/>
          </w:tcPr>
          <w:p w14:paraId="14F2F84D" w14:textId="01E6ECC2" w:rsidR="008E4187" w:rsidRPr="00A251FD" w:rsidRDefault="008E4187" w:rsidP="008E4187">
            <w:pPr>
              <w:spacing w:after="120" w:line="240" w:lineRule="auto"/>
            </w:pPr>
            <w:r w:rsidRPr="00A251FD">
              <w:t xml:space="preserve">The 2024 EA separately provides for three days of compassionate leave, and three days of bereavement leave, per occasion. </w:t>
            </w:r>
            <w:r w:rsidR="00B45A9B" w:rsidRPr="00A251FD">
              <w:t>It also makes clear that this leave is available in the case of miscarriage or a stillborn child.</w:t>
            </w:r>
          </w:p>
          <w:p w14:paraId="482C5CF1" w14:textId="524DB9EC" w:rsidR="008E4187" w:rsidRPr="00A251FD" w:rsidRDefault="008E4187" w:rsidP="008E4187">
            <w:pPr>
              <w:spacing w:after="120" w:line="240" w:lineRule="auto"/>
            </w:pPr>
            <w:r w:rsidRPr="00A251FD">
              <w:t>The 2019 EA deal</w:t>
            </w:r>
            <w:r w:rsidR="00B45A9B" w:rsidRPr="00A251FD">
              <w:t>s</w:t>
            </w:r>
            <w:r w:rsidRPr="00A251FD">
              <w:t xml:space="preserve"> with these leave types together as "compassionate leave". </w:t>
            </w:r>
          </w:p>
          <w:p w14:paraId="78F1EB84" w14:textId="2D911C60" w:rsidR="00350F30" w:rsidRPr="00A251FD" w:rsidRDefault="008E4187" w:rsidP="00B45A9B">
            <w:r w:rsidRPr="00A251FD">
              <w:t xml:space="preserve">The 2024 EA provides that these types of leave may be taken as 3 consecutive days or in separate periods totalling 3 days, including part-days.  </w:t>
            </w:r>
          </w:p>
        </w:tc>
        <w:tc>
          <w:tcPr>
            <w:tcW w:w="617" w:type="pct"/>
            <w:vAlign w:val="center"/>
          </w:tcPr>
          <w:p w14:paraId="3C9DBE3E" w14:textId="17B2F7B5" w:rsidR="008E4187" w:rsidRPr="00A251FD" w:rsidRDefault="008E4187" w:rsidP="006B40E1">
            <w:pPr>
              <w:spacing w:after="120" w:line="240" w:lineRule="auto"/>
              <w:jc w:val="center"/>
              <w:rPr>
                <w:lang w:eastAsia="en-US"/>
              </w:rPr>
            </w:pPr>
            <w:r w:rsidRPr="00A251FD">
              <w:rPr>
                <w:lang w:eastAsia="en-US"/>
              </w:rPr>
              <w:t>6.41</w:t>
            </w:r>
            <w:r w:rsidR="00B45A9B" w:rsidRPr="00A251FD">
              <w:rPr>
                <w:lang w:eastAsia="en-US"/>
              </w:rPr>
              <w:t xml:space="preserve"> – 6.50</w:t>
            </w:r>
          </w:p>
          <w:p w14:paraId="73E52BE0" w14:textId="56831041" w:rsidR="00350F30" w:rsidRPr="00A251FD" w:rsidRDefault="00350F30" w:rsidP="006B40E1">
            <w:pPr>
              <w:jc w:val="center"/>
            </w:pPr>
          </w:p>
        </w:tc>
        <w:tc>
          <w:tcPr>
            <w:tcW w:w="617" w:type="pct"/>
            <w:vAlign w:val="center"/>
          </w:tcPr>
          <w:p w14:paraId="597E1934" w14:textId="78B062E2" w:rsidR="003F4E45" w:rsidRPr="00A251FD" w:rsidRDefault="003F4E45" w:rsidP="006B40E1">
            <w:pPr>
              <w:spacing w:after="120" w:line="240" w:lineRule="auto"/>
              <w:jc w:val="center"/>
              <w:rPr>
                <w:lang w:eastAsia="en-US"/>
              </w:rPr>
            </w:pPr>
            <w:r w:rsidRPr="00A251FD">
              <w:rPr>
                <w:lang w:eastAsia="en-US"/>
              </w:rPr>
              <w:t>6.29</w:t>
            </w:r>
            <w:r w:rsidR="00B45A9B" w:rsidRPr="00A251FD">
              <w:rPr>
                <w:lang w:eastAsia="en-US"/>
              </w:rPr>
              <w:t xml:space="preserve"> </w:t>
            </w:r>
            <w:r w:rsidR="005C3B99">
              <w:rPr>
                <w:lang w:eastAsia="en-US"/>
              </w:rPr>
              <w:t>–</w:t>
            </w:r>
            <w:r w:rsidR="00B45A9B" w:rsidRPr="00A251FD">
              <w:rPr>
                <w:lang w:eastAsia="en-US"/>
              </w:rPr>
              <w:t xml:space="preserve"> </w:t>
            </w:r>
            <w:r w:rsidRPr="00A251FD">
              <w:rPr>
                <w:lang w:eastAsia="en-US"/>
              </w:rPr>
              <w:t>6.32</w:t>
            </w:r>
          </w:p>
          <w:p w14:paraId="79F72810" w14:textId="77777777" w:rsidR="00350F30" w:rsidRPr="00A251FD" w:rsidRDefault="00350F30" w:rsidP="006B40E1">
            <w:pPr>
              <w:jc w:val="center"/>
            </w:pPr>
          </w:p>
        </w:tc>
      </w:tr>
      <w:tr w:rsidR="00350F30" w:rsidRPr="00A251FD" w14:paraId="4657E1EF" w14:textId="19C8F8CF" w:rsidTr="00D8718C">
        <w:trPr>
          <w:trHeight w:val="260"/>
          <w:jc w:val="center"/>
        </w:trPr>
        <w:tc>
          <w:tcPr>
            <w:tcW w:w="1061" w:type="pct"/>
            <w:vAlign w:val="center"/>
          </w:tcPr>
          <w:p w14:paraId="57EDBDAF" w14:textId="77777777" w:rsidR="008E4187" w:rsidRPr="00A251FD" w:rsidRDefault="008E4187" w:rsidP="008E4187">
            <w:pPr>
              <w:spacing w:after="120" w:line="240" w:lineRule="auto"/>
              <w:rPr>
                <w:lang w:eastAsia="en-US"/>
              </w:rPr>
            </w:pPr>
            <w:r w:rsidRPr="00A251FD">
              <w:rPr>
                <w:lang w:eastAsia="en-US"/>
              </w:rPr>
              <w:lastRenderedPageBreak/>
              <w:t xml:space="preserve">Long service leave </w:t>
            </w:r>
          </w:p>
          <w:p w14:paraId="24DAA236" w14:textId="74C02D1C" w:rsidR="00350F30" w:rsidRPr="00A251FD" w:rsidRDefault="00350F30" w:rsidP="004940D8"/>
        </w:tc>
        <w:tc>
          <w:tcPr>
            <w:tcW w:w="2705" w:type="pct"/>
            <w:vAlign w:val="center"/>
          </w:tcPr>
          <w:p w14:paraId="363D19CD" w14:textId="77777777" w:rsidR="008E4187" w:rsidRPr="00A251FD" w:rsidRDefault="008E4187" w:rsidP="008E4187">
            <w:pPr>
              <w:spacing w:after="120" w:line="240" w:lineRule="auto"/>
              <w:rPr>
                <w:lang w:eastAsia="en-US"/>
              </w:rPr>
            </w:pPr>
            <w:r w:rsidRPr="00A251FD">
              <w:rPr>
                <w:lang w:eastAsia="en-US"/>
              </w:rPr>
              <w:t xml:space="preserve">The 2024 EA provides that the minimum period for which long service leave can be taken is 7 calendar days (whether at full or half pay).  </w:t>
            </w:r>
          </w:p>
          <w:p w14:paraId="409E68E6" w14:textId="49A1DE43" w:rsidR="00350F30" w:rsidRPr="00A251FD" w:rsidRDefault="008E4187" w:rsidP="008E4187">
            <w:r w:rsidRPr="00A251FD">
              <w:rPr>
                <w:lang w:eastAsia="en-US"/>
              </w:rPr>
              <w:t xml:space="preserve">The 2019 EA provides that the minimum period is 7 calendar days at full pay, or 14 days at half pay. </w:t>
            </w:r>
          </w:p>
        </w:tc>
        <w:tc>
          <w:tcPr>
            <w:tcW w:w="617" w:type="pct"/>
            <w:vAlign w:val="center"/>
          </w:tcPr>
          <w:p w14:paraId="49F730A6" w14:textId="573D4E58" w:rsidR="008E4187" w:rsidRPr="00A251FD" w:rsidRDefault="008E4187" w:rsidP="006B40E1">
            <w:pPr>
              <w:spacing w:after="120" w:line="240" w:lineRule="auto"/>
              <w:jc w:val="center"/>
              <w:rPr>
                <w:lang w:eastAsia="en-US"/>
              </w:rPr>
            </w:pPr>
            <w:r w:rsidRPr="00A251FD">
              <w:rPr>
                <w:lang w:eastAsia="en-US"/>
              </w:rPr>
              <w:t>6.51</w:t>
            </w:r>
            <w:r w:rsidR="00475D20" w:rsidRPr="00A251FD">
              <w:rPr>
                <w:lang w:eastAsia="en-US"/>
              </w:rPr>
              <w:t xml:space="preserve"> </w:t>
            </w:r>
            <w:r w:rsidR="005C3B99">
              <w:rPr>
                <w:lang w:eastAsia="en-US"/>
              </w:rPr>
              <w:t>–</w:t>
            </w:r>
            <w:r w:rsidR="00475D20" w:rsidRPr="00A251FD">
              <w:rPr>
                <w:lang w:eastAsia="en-US"/>
              </w:rPr>
              <w:t xml:space="preserve"> 6.52</w:t>
            </w:r>
          </w:p>
          <w:p w14:paraId="182B0B29" w14:textId="3544A68B" w:rsidR="00350F30" w:rsidRPr="00A251FD" w:rsidRDefault="00350F30" w:rsidP="006B40E1">
            <w:pPr>
              <w:jc w:val="center"/>
            </w:pPr>
          </w:p>
        </w:tc>
        <w:tc>
          <w:tcPr>
            <w:tcW w:w="617" w:type="pct"/>
            <w:vAlign w:val="center"/>
          </w:tcPr>
          <w:p w14:paraId="1F24B4AC" w14:textId="5A88F17C" w:rsidR="003F4E45" w:rsidRPr="00A251FD" w:rsidRDefault="003F4E45" w:rsidP="006B40E1">
            <w:pPr>
              <w:spacing w:after="120" w:line="240" w:lineRule="auto"/>
              <w:jc w:val="center"/>
              <w:rPr>
                <w:lang w:eastAsia="en-US"/>
              </w:rPr>
            </w:pPr>
            <w:r w:rsidRPr="00A251FD">
              <w:rPr>
                <w:lang w:eastAsia="en-US"/>
              </w:rPr>
              <w:t>6.33</w:t>
            </w:r>
            <w:r w:rsidR="00475D20" w:rsidRPr="00A251FD">
              <w:rPr>
                <w:lang w:eastAsia="en-US"/>
              </w:rPr>
              <w:t xml:space="preserve"> </w:t>
            </w:r>
            <w:r w:rsidR="005C3B99">
              <w:rPr>
                <w:lang w:eastAsia="en-US"/>
              </w:rPr>
              <w:t>–</w:t>
            </w:r>
            <w:r w:rsidR="00475D20" w:rsidRPr="00A251FD">
              <w:rPr>
                <w:lang w:eastAsia="en-US"/>
              </w:rPr>
              <w:t xml:space="preserve"> </w:t>
            </w:r>
            <w:r w:rsidRPr="00A251FD">
              <w:rPr>
                <w:lang w:eastAsia="en-US"/>
              </w:rPr>
              <w:t>6.34</w:t>
            </w:r>
          </w:p>
          <w:p w14:paraId="4DFDCE94" w14:textId="77777777" w:rsidR="00350F30" w:rsidRPr="00A251FD" w:rsidRDefault="00350F30" w:rsidP="006B40E1">
            <w:pPr>
              <w:jc w:val="center"/>
            </w:pPr>
          </w:p>
        </w:tc>
      </w:tr>
      <w:tr w:rsidR="00350F30" w:rsidRPr="00A251FD" w14:paraId="0FA8FB4A" w14:textId="1CEAD225" w:rsidTr="00D8718C">
        <w:trPr>
          <w:trHeight w:val="260"/>
          <w:jc w:val="center"/>
        </w:trPr>
        <w:tc>
          <w:tcPr>
            <w:tcW w:w="1061" w:type="pct"/>
            <w:vAlign w:val="center"/>
          </w:tcPr>
          <w:p w14:paraId="1D590B77" w14:textId="77777777" w:rsidR="008E4187" w:rsidRPr="00A251FD" w:rsidRDefault="008E4187" w:rsidP="008E4187">
            <w:pPr>
              <w:spacing w:after="120" w:line="240" w:lineRule="auto"/>
              <w:rPr>
                <w:lang w:eastAsia="en-US"/>
              </w:rPr>
            </w:pPr>
            <w:r w:rsidRPr="00A251FD">
              <w:rPr>
                <w:lang w:eastAsia="en-US"/>
              </w:rPr>
              <w:t xml:space="preserve">Parental leave </w:t>
            </w:r>
          </w:p>
          <w:p w14:paraId="348376F3" w14:textId="6AFB34B8" w:rsidR="00350F30" w:rsidRPr="00A251FD" w:rsidRDefault="00350F30" w:rsidP="004940D8"/>
        </w:tc>
        <w:tc>
          <w:tcPr>
            <w:tcW w:w="2705" w:type="pct"/>
            <w:vAlign w:val="center"/>
          </w:tcPr>
          <w:p w14:paraId="21EAA4C7" w14:textId="77777777" w:rsidR="008E4187" w:rsidRPr="00A251FD" w:rsidRDefault="008E4187" w:rsidP="008E4187">
            <w:pPr>
              <w:spacing w:after="120" w:line="240" w:lineRule="auto"/>
              <w:rPr>
                <w:lang w:eastAsia="en-US"/>
              </w:rPr>
            </w:pPr>
            <w:r w:rsidRPr="00A251FD">
              <w:rPr>
                <w:lang w:eastAsia="en-US"/>
              </w:rPr>
              <w:t xml:space="preserve">The 2024 EA provides: </w:t>
            </w:r>
          </w:p>
          <w:p w14:paraId="41C03425" w14:textId="00B341E9" w:rsidR="008E4187" w:rsidRPr="00A251FD" w:rsidRDefault="008E4187" w:rsidP="006D7502">
            <w:pPr>
              <w:pStyle w:val="ListParagraph"/>
              <w:numPr>
                <w:ilvl w:val="0"/>
                <w:numId w:val="23"/>
              </w:numPr>
              <w:spacing w:before="120" w:after="0" w:line="240" w:lineRule="auto"/>
              <w:rPr>
                <w:lang w:eastAsia="en-US"/>
              </w:rPr>
            </w:pPr>
            <w:r w:rsidRPr="00A251FD">
              <w:rPr>
                <w:lang w:eastAsia="en-US"/>
              </w:rPr>
              <w:t>up to 18 weeks paid parental leave for an employee who is the primary caregiver of a child born to them, or a child who is in adopted or in long term foster care</w:t>
            </w:r>
            <w:r w:rsidR="00475D20" w:rsidRPr="00A251FD">
              <w:rPr>
                <w:lang w:eastAsia="en-US"/>
              </w:rPr>
              <w:t>; and</w:t>
            </w:r>
          </w:p>
          <w:p w14:paraId="059D3EB8" w14:textId="77777777" w:rsidR="008E4187" w:rsidRPr="00A251FD" w:rsidRDefault="008E4187" w:rsidP="008E4187">
            <w:pPr>
              <w:pStyle w:val="ListParagraph"/>
              <w:spacing w:after="120" w:line="240" w:lineRule="auto"/>
              <w:rPr>
                <w:lang w:eastAsia="en-US"/>
              </w:rPr>
            </w:pPr>
          </w:p>
          <w:p w14:paraId="7C7BD30F" w14:textId="77777777" w:rsidR="008E4187" w:rsidRPr="00A251FD" w:rsidRDefault="008E4187" w:rsidP="006D7502">
            <w:pPr>
              <w:pStyle w:val="ListParagraph"/>
              <w:numPr>
                <w:ilvl w:val="0"/>
                <w:numId w:val="23"/>
              </w:numPr>
              <w:spacing w:before="0" w:after="120" w:line="240" w:lineRule="auto"/>
              <w:rPr>
                <w:lang w:eastAsia="en-US"/>
              </w:rPr>
            </w:pPr>
            <w:r w:rsidRPr="00A251FD">
              <w:rPr>
                <w:lang w:eastAsia="en-US"/>
              </w:rPr>
              <w:t>8 weeks paid parental leave for secondary caregivers of a child born to them, or adopted or in long-term foster care. The entitlement to paid leave for secondary caregivers will progressively increase over the life of the 2024 EA to 18 weeks.</w:t>
            </w:r>
          </w:p>
          <w:p w14:paraId="355CEBD3" w14:textId="77777777" w:rsidR="008E4187" w:rsidRPr="00A251FD" w:rsidRDefault="008E4187" w:rsidP="008E4187">
            <w:pPr>
              <w:spacing w:after="120" w:line="240" w:lineRule="auto"/>
              <w:rPr>
                <w:lang w:eastAsia="en-US"/>
              </w:rPr>
            </w:pPr>
            <w:r w:rsidRPr="00A251FD">
              <w:rPr>
                <w:lang w:eastAsia="en-US"/>
              </w:rPr>
              <w:t xml:space="preserve">There is no minimum service requirement for these paid parental leave entitlements. </w:t>
            </w:r>
          </w:p>
          <w:p w14:paraId="48CFBD6B" w14:textId="77777777" w:rsidR="008E4187" w:rsidRPr="00A251FD" w:rsidRDefault="008E4187" w:rsidP="008E4187">
            <w:pPr>
              <w:spacing w:after="120" w:line="240" w:lineRule="auto"/>
              <w:rPr>
                <w:lang w:eastAsia="en-US"/>
              </w:rPr>
            </w:pPr>
            <w:r w:rsidRPr="00A251FD">
              <w:rPr>
                <w:lang w:eastAsia="en-US"/>
              </w:rPr>
              <w:t>These entitlements are more beneficial than the 2019 EA, which provides the following entitlements for eligible employees (being employees with 12 months' service):</w:t>
            </w:r>
          </w:p>
          <w:p w14:paraId="64A27B73" w14:textId="1DFDF0E9" w:rsidR="008E4187" w:rsidRPr="00A251FD" w:rsidRDefault="008E4187" w:rsidP="006D7502">
            <w:pPr>
              <w:pStyle w:val="ListParagraph"/>
              <w:numPr>
                <w:ilvl w:val="0"/>
                <w:numId w:val="24"/>
              </w:numPr>
              <w:spacing w:before="120" w:after="120" w:line="240" w:lineRule="auto"/>
              <w:rPr>
                <w:lang w:eastAsia="en-US"/>
              </w:rPr>
            </w:pPr>
            <w:r w:rsidRPr="00A251FD">
              <w:rPr>
                <w:lang w:eastAsia="en-US"/>
              </w:rPr>
              <w:t xml:space="preserve">14 weeks paid maternity leave (inclusive of entitlement under the </w:t>
            </w:r>
            <w:r w:rsidRPr="00A251FD">
              <w:rPr>
                <w:i/>
                <w:iCs/>
                <w:lang w:eastAsia="en-US"/>
              </w:rPr>
              <w:t xml:space="preserve">Maternity Leave (Commonwealth Employees) Act 1973 (Cth) </w:t>
            </w:r>
            <w:r w:rsidRPr="00A251FD">
              <w:rPr>
                <w:lang w:eastAsia="en-US"/>
              </w:rPr>
              <w:t>(</w:t>
            </w:r>
            <w:r w:rsidRPr="00A251FD">
              <w:rPr>
                <w:b/>
                <w:bCs/>
                <w:lang w:eastAsia="en-US"/>
              </w:rPr>
              <w:t>ML Act</w:t>
            </w:r>
            <w:r w:rsidRPr="00A251FD">
              <w:rPr>
                <w:lang w:eastAsia="en-US"/>
              </w:rPr>
              <w:t>))/ adoption/ foster/permanent care leave for eligible employees</w:t>
            </w:r>
            <w:r w:rsidR="00475D20" w:rsidRPr="00A251FD">
              <w:rPr>
                <w:lang w:eastAsia="en-US"/>
              </w:rPr>
              <w:t>; and</w:t>
            </w:r>
          </w:p>
          <w:p w14:paraId="4866D2DA" w14:textId="32FA5469" w:rsidR="008E4187" w:rsidRPr="00A251FD" w:rsidRDefault="00475D20" w:rsidP="006D7502">
            <w:pPr>
              <w:pStyle w:val="ListParagraph"/>
              <w:numPr>
                <w:ilvl w:val="0"/>
                <w:numId w:val="24"/>
              </w:numPr>
              <w:spacing w:before="120" w:after="120" w:line="240" w:lineRule="auto"/>
              <w:rPr>
                <w:lang w:eastAsia="en-US"/>
              </w:rPr>
            </w:pPr>
            <w:r w:rsidRPr="00A251FD">
              <w:rPr>
                <w:lang w:eastAsia="en-US"/>
              </w:rPr>
              <w:t>4 weeks paid</w:t>
            </w:r>
            <w:r w:rsidR="008E4187" w:rsidRPr="00A251FD">
              <w:rPr>
                <w:lang w:eastAsia="en-US"/>
              </w:rPr>
              <w:t xml:space="preserve"> supporting partner leave. </w:t>
            </w:r>
          </w:p>
          <w:p w14:paraId="2BB3DA80" w14:textId="77777777" w:rsidR="008E4187" w:rsidRPr="00A251FD" w:rsidRDefault="008E4187" w:rsidP="008E4187">
            <w:pPr>
              <w:spacing w:after="120" w:line="240" w:lineRule="auto"/>
              <w:rPr>
                <w:lang w:eastAsia="en-US"/>
              </w:rPr>
            </w:pPr>
            <w:r w:rsidRPr="00A251FD">
              <w:rPr>
                <w:lang w:eastAsia="en-US"/>
              </w:rPr>
              <w:t xml:space="preserve">The 2024 EA also introduces: </w:t>
            </w:r>
          </w:p>
          <w:p w14:paraId="2DD22A28" w14:textId="77777777" w:rsidR="008E4187" w:rsidRPr="00A251FD" w:rsidRDefault="008E4187" w:rsidP="006D7502">
            <w:pPr>
              <w:pStyle w:val="ListParagraph"/>
              <w:numPr>
                <w:ilvl w:val="0"/>
                <w:numId w:val="25"/>
              </w:numPr>
              <w:spacing w:before="120" w:after="120" w:line="240" w:lineRule="auto"/>
              <w:rPr>
                <w:lang w:eastAsia="en-US"/>
              </w:rPr>
            </w:pPr>
            <w:r w:rsidRPr="00A251FD">
              <w:rPr>
                <w:lang w:eastAsia="en-US"/>
              </w:rPr>
              <w:lastRenderedPageBreak/>
              <w:t>paid parental leave for parents who have lost a child through stillbirth (although a secondary caregiver of a stillborn child is only entitled to 2 weeks of paid leave)</w:t>
            </w:r>
          </w:p>
          <w:p w14:paraId="72A80935" w14:textId="7089F5E4" w:rsidR="008E4187" w:rsidRPr="00A251FD" w:rsidRDefault="008E4187" w:rsidP="006D7502">
            <w:pPr>
              <w:pStyle w:val="ListParagraph"/>
              <w:numPr>
                <w:ilvl w:val="0"/>
                <w:numId w:val="25"/>
              </w:numPr>
              <w:spacing w:before="120" w:after="120" w:line="240" w:lineRule="auto"/>
              <w:rPr>
                <w:lang w:eastAsia="en-US"/>
              </w:rPr>
            </w:pPr>
            <w:r w:rsidRPr="00A251FD">
              <w:rPr>
                <w:lang w:eastAsia="en-US"/>
              </w:rPr>
              <w:t>one-week paid leave for a pregnant employee who experiences, or an employee whose spouse/partner experiences, pregnancy loss between 12 and 20 weeks gestation</w:t>
            </w:r>
            <w:r w:rsidR="00475D20" w:rsidRPr="00A251FD">
              <w:rPr>
                <w:lang w:eastAsia="en-US"/>
              </w:rPr>
              <w:t>; and</w:t>
            </w:r>
          </w:p>
          <w:p w14:paraId="33763DCD" w14:textId="77777777" w:rsidR="008E4187" w:rsidRPr="00A251FD" w:rsidRDefault="008E4187" w:rsidP="006D7502">
            <w:pPr>
              <w:pStyle w:val="ListParagraph"/>
              <w:numPr>
                <w:ilvl w:val="0"/>
                <w:numId w:val="25"/>
              </w:numPr>
              <w:spacing w:before="120" w:after="120" w:line="240" w:lineRule="auto"/>
              <w:rPr>
                <w:lang w:eastAsia="en-US"/>
              </w:rPr>
            </w:pPr>
            <w:r w:rsidRPr="00A251FD">
              <w:rPr>
                <w:lang w:eastAsia="en-US"/>
              </w:rPr>
              <w:t>paid premature birth leave from the date of the birth to what would have been 37 weeks gestation.</w:t>
            </w:r>
          </w:p>
          <w:p w14:paraId="32771C0C" w14:textId="067E0A12" w:rsidR="00350F30" w:rsidRPr="00A251FD" w:rsidRDefault="00350F30" w:rsidP="004940D8"/>
        </w:tc>
        <w:tc>
          <w:tcPr>
            <w:tcW w:w="617" w:type="pct"/>
            <w:vAlign w:val="center"/>
          </w:tcPr>
          <w:p w14:paraId="61E645FA" w14:textId="77777777" w:rsidR="008E4187" w:rsidRPr="00A251FD" w:rsidRDefault="008E4187" w:rsidP="006B40E1">
            <w:pPr>
              <w:spacing w:after="120" w:line="240" w:lineRule="auto"/>
              <w:jc w:val="center"/>
              <w:rPr>
                <w:lang w:eastAsia="en-US"/>
              </w:rPr>
            </w:pPr>
            <w:r w:rsidRPr="00A251FD">
              <w:rPr>
                <w:lang w:eastAsia="en-US"/>
              </w:rPr>
              <w:lastRenderedPageBreak/>
              <w:t>6.53 – 6.73</w:t>
            </w:r>
          </w:p>
          <w:p w14:paraId="1E7BD50C" w14:textId="61B560B2" w:rsidR="00350F30" w:rsidRPr="00A251FD" w:rsidRDefault="00350F30" w:rsidP="006B40E1">
            <w:pPr>
              <w:jc w:val="center"/>
            </w:pPr>
          </w:p>
        </w:tc>
        <w:tc>
          <w:tcPr>
            <w:tcW w:w="617" w:type="pct"/>
            <w:vAlign w:val="center"/>
          </w:tcPr>
          <w:p w14:paraId="56697E5F" w14:textId="058E4947" w:rsidR="00236445" w:rsidRPr="00A251FD" w:rsidRDefault="005C3B99" w:rsidP="006B40E1">
            <w:pPr>
              <w:spacing w:after="120" w:line="240" w:lineRule="auto"/>
              <w:jc w:val="center"/>
              <w:rPr>
                <w:lang w:eastAsia="en-US"/>
              </w:rPr>
            </w:pPr>
            <w:r>
              <w:rPr>
                <w:lang w:eastAsia="en-US"/>
              </w:rPr>
              <w:t xml:space="preserve">6.35 – </w:t>
            </w:r>
            <w:r w:rsidR="00236445" w:rsidRPr="00A251FD">
              <w:rPr>
                <w:lang w:eastAsia="en-US"/>
              </w:rPr>
              <w:t>6.</w:t>
            </w:r>
            <w:r w:rsidR="00475D20" w:rsidRPr="00A251FD">
              <w:rPr>
                <w:lang w:eastAsia="en-US"/>
              </w:rPr>
              <w:t>53</w:t>
            </w:r>
          </w:p>
          <w:p w14:paraId="778C88C4" w14:textId="77777777" w:rsidR="00350F30" w:rsidRPr="00A251FD" w:rsidRDefault="00350F30" w:rsidP="006B40E1">
            <w:pPr>
              <w:jc w:val="center"/>
            </w:pPr>
          </w:p>
        </w:tc>
      </w:tr>
      <w:tr w:rsidR="00350F30" w:rsidRPr="00A251FD" w14:paraId="717399B7" w14:textId="6567B14D" w:rsidTr="00D8718C">
        <w:trPr>
          <w:trHeight w:val="260"/>
          <w:jc w:val="center"/>
        </w:trPr>
        <w:tc>
          <w:tcPr>
            <w:tcW w:w="1061" w:type="pct"/>
            <w:vAlign w:val="center"/>
          </w:tcPr>
          <w:p w14:paraId="02DD1F81" w14:textId="77777777" w:rsidR="008E4187" w:rsidRPr="00A251FD" w:rsidRDefault="008E4187" w:rsidP="008E4187">
            <w:pPr>
              <w:spacing w:after="120" w:line="240" w:lineRule="auto"/>
              <w:rPr>
                <w:lang w:eastAsia="en-US"/>
              </w:rPr>
            </w:pPr>
            <w:r w:rsidRPr="00A251FD">
              <w:rPr>
                <w:lang w:eastAsia="en-US"/>
              </w:rPr>
              <w:t>Defence reservist leave</w:t>
            </w:r>
          </w:p>
          <w:p w14:paraId="60BCF5C3" w14:textId="0456E91A" w:rsidR="00350F30" w:rsidRPr="00A251FD" w:rsidRDefault="00350F30" w:rsidP="004940D8"/>
        </w:tc>
        <w:tc>
          <w:tcPr>
            <w:tcW w:w="2705" w:type="pct"/>
            <w:vAlign w:val="center"/>
          </w:tcPr>
          <w:p w14:paraId="77292E44" w14:textId="1364A261" w:rsidR="008E4187" w:rsidRPr="00A251FD" w:rsidRDefault="008E4187" w:rsidP="008E4187">
            <w:pPr>
              <w:spacing w:after="120" w:line="240" w:lineRule="auto"/>
              <w:rPr>
                <w:lang w:eastAsia="en-US"/>
              </w:rPr>
            </w:pPr>
            <w:r w:rsidRPr="00A251FD">
              <w:rPr>
                <w:lang w:eastAsia="en-US"/>
              </w:rPr>
              <w:t xml:space="preserve">In addition to the entitlements contained in the 2019 EA, the 2024 EA provides </w:t>
            </w:r>
            <w:r w:rsidR="00475D20" w:rsidRPr="00A251FD">
              <w:rPr>
                <w:lang w:eastAsia="en-US"/>
              </w:rPr>
              <w:t xml:space="preserve">for up to 3 weeks each financial year for an ADF Cadet officer or instructor to perform their duties, and also that </w:t>
            </w:r>
            <w:r w:rsidRPr="00A251FD">
              <w:rPr>
                <w:lang w:eastAsia="en-US"/>
              </w:rPr>
              <w:t>paid leave may be granted to an employee to attend an interview or medical examination in connection with enlistment in the Reserve Force of the Defence Force.</w:t>
            </w:r>
          </w:p>
          <w:p w14:paraId="01E0D813" w14:textId="77777777" w:rsidR="008E4187" w:rsidRPr="00A251FD" w:rsidRDefault="008E4187" w:rsidP="008E4187">
            <w:pPr>
              <w:spacing w:after="120" w:line="240" w:lineRule="auto"/>
              <w:rPr>
                <w:lang w:eastAsia="en-US"/>
              </w:rPr>
            </w:pPr>
            <w:r w:rsidRPr="00A251FD">
              <w:rPr>
                <w:lang w:eastAsia="en-US"/>
              </w:rPr>
              <w:t>The 2024 EA provides that unpaid leave for six months or less (including for continuous full-time service (</w:t>
            </w:r>
            <w:r w:rsidRPr="00A251FD">
              <w:rPr>
                <w:b/>
                <w:bCs/>
                <w:lang w:eastAsia="en-US"/>
              </w:rPr>
              <w:t>CTFS</w:t>
            </w:r>
            <w:r w:rsidRPr="00A251FD">
              <w:rPr>
                <w:lang w:eastAsia="en-US"/>
              </w:rPr>
              <w:t>) counts as service for all purposes, and unpaid leave over 6 months counts as service except for annual leave.</w:t>
            </w:r>
          </w:p>
          <w:p w14:paraId="78C9D3AA" w14:textId="5E881A8D" w:rsidR="00350F30" w:rsidRPr="00A251FD" w:rsidRDefault="008E4187" w:rsidP="008E4187">
            <w:r w:rsidRPr="00A251FD">
              <w:rPr>
                <w:lang w:eastAsia="en-US"/>
              </w:rPr>
              <w:t xml:space="preserve">The position under the 2019 EA is that defence reservist leave counts as service, except for unpaid leave to undertake continuous full-time service, which counts for service for all purposes except annual leave. </w:t>
            </w:r>
          </w:p>
        </w:tc>
        <w:tc>
          <w:tcPr>
            <w:tcW w:w="617" w:type="pct"/>
            <w:vAlign w:val="center"/>
          </w:tcPr>
          <w:p w14:paraId="1EB4470A" w14:textId="2E80A525" w:rsidR="008E4187" w:rsidRPr="00A251FD" w:rsidRDefault="008E4187" w:rsidP="006B40E1">
            <w:pPr>
              <w:spacing w:after="120" w:line="240" w:lineRule="auto"/>
              <w:jc w:val="center"/>
              <w:rPr>
                <w:lang w:eastAsia="en-US"/>
              </w:rPr>
            </w:pPr>
            <w:r w:rsidRPr="00A251FD">
              <w:rPr>
                <w:lang w:eastAsia="en-US"/>
              </w:rPr>
              <w:t>6.75</w:t>
            </w:r>
            <w:r w:rsidR="005C3B99">
              <w:rPr>
                <w:lang w:eastAsia="en-US"/>
              </w:rPr>
              <w:t xml:space="preserve"> </w:t>
            </w:r>
            <w:r w:rsidR="00475D20" w:rsidRPr="00A251FD">
              <w:rPr>
                <w:lang w:eastAsia="en-US"/>
              </w:rPr>
              <w:t>– 6.84</w:t>
            </w:r>
          </w:p>
          <w:p w14:paraId="71CA1AD0" w14:textId="101D495B" w:rsidR="00350F30" w:rsidRPr="00A251FD" w:rsidRDefault="00350F30" w:rsidP="006B40E1">
            <w:pPr>
              <w:jc w:val="center"/>
            </w:pPr>
          </w:p>
        </w:tc>
        <w:tc>
          <w:tcPr>
            <w:tcW w:w="617" w:type="pct"/>
            <w:vAlign w:val="center"/>
          </w:tcPr>
          <w:p w14:paraId="2EACDF43" w14:textId="30195F4E" w:rsidR="00A83049" w:rsidRPr="00A251FD" w:rsidRDefault="00A83049" w:rsidP="006B40E1">
            <w:pPr>
              <w:spacing w:after="120" w:line="240" w:lineRule="auto"/>
              <w:jc w:val="center"/>
              <w:rPr>
                <w:lang w:eastAsia="en-US"/>
              </w:rPr>
            </w:pPr>
            <w:r w:rsidRPr="00A251FD">
              <w:rPr>
                <w:lang w:eastAsia="en-US"/>
              </w:rPr>
              <w:t>6.55</w:t>
            </w:r>
            <w:r w:rsidR="005C3B99">
              <w:rPr>
                <w:lang w:eastAsia="en-US"/>
              </w:rPr>
              <w:t xml:space="preserve"> </w:t>
            </w:r>
            <w:r w:rsidR="00475D20" w:rsidRPr="00A251FD">
              <w:rPr>
                <w:lang w:eastAsia="en-US"/>
              </w:rPr>
              <w:t>– 6.59</w:t>
            </w:r>
          </w:p>
          <w:p w14:paraId="5609B89A" w14:textId="77777777" w:rsidR="00350F30" w:rsidRPr="00A251FD" w:rsidRDefault="00350F30" w:rsidP="006B40E1">
            <w:pPr>
              <w:jc w:val="center"/>
            </w:pPr>
          </w:p>
        </w:tc>
      </w:tr>
      <w:tr w:rsidR="00475D20" w:rsidRPr="00A251FD" w14:paraId="76597145" w14:textId="77777777" w:rsidTr="00D8718C">
        <w:trPr>
          <w:trHeight w:val="260"/>
          <w:jc w:val="center"/>
        </w:trPr>
        <w:tc>
          <w:tcPr>
            <w:tcW w:w="1061" w:type="pct"/>
          </w:tcPr>
          <w:p w14:paraId="4C803DB8" w14:textId="1C46D4AD" w:rsidR="00475D20" w:rsidRPr="00A251FD" w:rsidRDefault="00475D20" w:rsidP="00475D20">
            <w:pPr>
              <w:spacing w:after="120" w:line="240" w:lineRule="auto"/>
              <w:rPr>
                <w:lang w:eastAsia="en-US"/>
              </w:rPr>
            </w:pPr>
            <w:r w:rsidRPr="00A251FD">
              <w:t>Miscellaneous leave</w:t>
            </w:r>
          </w:p>
        </w:tc>
        <w:tc>
          <w:tcPr>
            <w:tcW w:w="2705" w:type="pct"/>
          </w:tcPr>
          <w:p w14:paraId="6ECC8A5E" w14:textId="6459A2F9" w:rsidR="00475D20" w:rsidRPr="00A251FD" w:rsidRDefault="00475D20" w:rsidP="00475D20">
            <w:pPr>
              <w:spacing w:after="120" w:line="240" w:lineRule="auto"/>
            </w:pPr>
            <w:r w:rsidRPr="00A251FD">
              <w:t>The 2024 EA limits the circumstances in which a casual employee may be granted miscellaneous leave to family and domestic violence purposes and where set out in a Government directive.</w:t>
            </w:r>
          </w:p>
        </w:tc>
        <w:tc>
          <w:tcPr>
            <w:tcW w:w="617" w:type="pct"/>
            <w:vAlign w:val="center"/>
          </w:tcPr>
          <w:p w14:paraId="37E51FC6" w14:textId="5DCE1827" w:rsidR="00475D20" w:rsidRPr="00A251FD" w:rsidRDefault="00475D20" w:rsidP="006B40E1">
            <w:pPr>
              <w:spacing w:after="120" w:line="240" w:lineRule="auto"/>
              <w:jc w:val="center"/>
              <w:rPr>
                <w:lang w:eastAsia="en-US"/>
              </w:rPr>
            </w:pPr>
            <w:r w:rsidRPr="00A251FD">
              <w:t>6.85 – 6.86</w:t>
            </w:r>
          </w:p>
        </w:tc>
        <w:tc>
          <w:tcPr>
            <w:tcW w:w="617" w:type="pct"/>
            <w:vAlign w:val="center"/>
          </w:tcPr>
          <w:p w14:paraId="6C00D0DC" w14:textId="46816703" w:rsidR="00475D20" w:rsidRPr="00A251FD" w:rsidRDefault="00475D20" w:rsidP="006B40E1">
            <w:pPr>
              <w:spacing w:after="120" w:line="240" w:lineRule="auto"/>
              <w:jc w:val="center"/>
              <w:rPr>
                <w:lang w:eastAsia="en-US"/>
              </w:rPr>
            </w:pPr>
            <w:r w:rsidRPr="00A251FD">
              <w:t>6.60</w:t>
            </w:r>
          </w:p>
        </w:tc>
      </w:tr>
      <w:tr w:rsidR="00350F30" w:rsidRPr="00A251FD" w14:paraId="6B14D09F" w14:textId="4DFBDFC9" w:rsidTr="00D8718C">
        <w:trPr>
          <w:trHeight w:val="260"/>
          <w:jc w:val="center"/>
        </w:trPr>
        <w:tc>
          <w:tcPr>
            <w:tcW w:w="1061" w:type="pct"/>
            <w:vAlign w:val="center"/>
          </w:tcPr>
          <w:p w14:paraId="2418A5A0" w14:textId="77777777" w:rsidR="008E4187" w:rsidRPr="00A251FD" w:rsidRDefault="008E4187" w:rsidP="008E4187">
            <w:pPr>
              <w:spacing w:after="120" w:line="240" w:lineRule="auto"/>
              <w:rPr>
                <w:lang w:eastAsia="en-US"/>
              </w:rPr>
            </w:pPr>
            <w:r w:rsidRPr="00A251FD">
              <w:rPr>
                <w:lang w:eastAsia="en-US"/>
              </w:rPr>
              <w:lastRenderedPageBreak/>
              <w:t xml:space="preserve">Jury duty </w:t>
            </w:r>
          </w:p>
          <w:p w14:paraId="7ADD00EE" w14:textId="5E760CF1" w:rsidR="00350F30" w:rsidRPr="00A251FD" w:rsidRDefault="00350F30" w:rsidP="004940D8"/>
        </w:tc>
        <w:tc>
          <w:tcPr>
            <w:tcW w:w="2705" w:type="pct"/>
            <w:vAlign w:val="center"/>
          </w:tcPr>
          <w:p w14:paraId="66B91003" w14:textId="77777777" w:rsidR="008E4187" w:rsidRPr="00A251FD" w:rsidRDefault="008E4187" w:rsidP="008E4187">
            <w:pPr>
              <w:spacing w:after="120" w:line="240" w:lineRule="auto"/>
            </w:pPr>
            <w:r w:rsidRPr="00A251FD">
              <w:t xml:space="preserve">The 2024 EA contains a separate clause for jury duty, which provides that employees who are required to attend for jury duty will be released from duty without the need to apply for leave. If an employee receives an amount from the Court for attendance, they must repay that amount to the Commission in accordance with the overpayments clause. </w:t>
            </w:r>
          </w:p>
          <w:p w14:paraId="3F71EC9F" w14:textId="64A83355" w:rsidR="00350F30" w:rsidRPr="00A251FD" w:rsidRDefault="008E4187" w:rsidP="00BE768F">
            <w:r w:rsidRPr="00A251FD">
              <w:t>The 2019 EA provides that paid leave will be provided for jury service.</w:t>
            </w:r>
          </w:p>
        </w:tc>
        <w:tc>
          <w:tcPr>
            <w:tcW w:w="617" w:type="pct"/>
            <w:vAlign w:val="center"/>
          </w:tcPr>
          <w:p w14:paraId="0E77627E" w14:textId="410E5D73" w:rsidR="008E4187" w:rsidRPr="00A251FD" w:rsidRDefault="008E4187" w:rsidP="006B40E1">
            <w:pPr>
              <w:spacing w:after="120" w:line="240" w:lineRule="auto"/>
              <w:jc w:val="center"/>
              <w:rPr>
                <w:lang w:eastAsia="en-US"/>
              </w:rPr>
            </w:pPr>
            <w:r w:rsidRPr="00A251FD">
              <w:rPr>
                <w:lang w:eastAsia="en-US"/>
              </w:rPr>
              <w:t>6.87</w:t>
            </w:r>
            <w:r w:rsidR="00475D20" w:rsidRPr="00A251FD">
              <w:rPr>
                <w:lang w:eastAsia="en-US"/>
              </w:rPr>
              <w:t xml:space="preserve"> – 6.90</w:t>
            </w:r>
          </w:p>
          <w:p w14:paraId="108F78AA" w14:textId="51B5C5CD" w:rsidR="00350F30" w:rsidRPr="00A251FD" w:rsidRDefault="00350F30" w:rsidP="006B40E1">
            <w:pPr>
              <w:jc w:val="center"/>
            </w:pPr>
          </w:p>
        </w:tc>
        <w:tc>
          <w:tcPr>
            <w:tcW w:w="617" w:type="pct"/>
            <w:vAlign w:val="center"/>
          </w:tcPr>
          <w:p w14:paraId="5D5DE7F2" w14:textId="0863E13D" w:rsidR="00A83049" w:rsidRPr="00A251FD" w:rsidRDefault="00A83049" w:rsidP="006B40E1">
            <w:pPr>
              <w:spacing w:after="120" w:line="240" w:lineRule="auto"/>
              <w:jc w:val="center"/>
              <w:rPr>
                <w:lang w:eastAsia="en-US"/>
              </w:rPr>
            </w:pPr>
            <w:r w:rsidRPr="00A251FD">
              <w:rPr>
                <w:lang w:eastAsia="en-US"/>
              </w:rPr>
              <w:t>6.61</w:t>
            </w:r>
          </w:p>
          <w:p w14:paraId="52C4F4D1" w14:textId="77777777" w:rsidR="00350F30" w:rsidRPr="00A251FD" w:rsidRDefault="00350F30" w:rsidP="006B40E1">
            <w:pPr>
              <w:jc w:val="center"/>
            </w:pPr>
          </w:p>
        </w:tc>
      </w:tr>
      <w:tr w:rsidR="00475D20" w:rsidRPr="00A251FD" w14:paraId="6B2B78D5" w14:textId="77777777" w:rsidTr="00D8718C">
        <w:trPr>
          <w:trHeight w:val="260"/>
          <w:jc w:val="center"/>
        </w:trPr>
        <w:tc>
          <w:tcPr>
            <w:tcW w:w="1061" w:type="pct"/>
          </w:tcPr>
          <w:p w14:paraId="0A578001" w14:textId="22D0B297" w:rsidR="00475D20" w:rsidRPr="00A251FD" w:rsidRDefault="00475D20" w:rsidP="00475D20">
            <w:pPr>
              <w:spacing w:after="120" w:line="240" w:lineRule="auto"/>
              <w:rPr>
                <w:lang w:eastAsia="en-US"/>
              </w:rPr>
            </w:pPr>
            <w:r w:rsidRPr="00A251FD">
              <w:t>Leave to attend proceedings</w:t>
            </w:r>
          </w:p>
        </w:tc>
        <w:tc>
          <w:tcPr>
            <w:tcW w:w="2705" w:type="pct"/>
          </w:tcPr>
          <w:p w14:paraId="03820DE8" w14:textId="77777777" w:rsidR="00475D20" w:rsidRDefault="00475D20" w:rsidP="00475D20">
            <w:pPr>
              <w:spacing w:after="120" w:line="240" w:lineRule="auto"/>
            </w:pPr>
            <w:r w:rsidRPr="00A251FD">
              <w:t>The 2024 EA provides that an employee will be on duty if they give evidence before a Court, Tribunal or Royal Commission on behalf of the Commonwealth or in the course of their duties.</w:t>
            </w:r>
          </w:p>
          <w:p w14:paraId="71C8E000" w14:textId="77777777" w:rsidR="0007513B" w:rsidRPr="0007513B" w:rsidRDefault="0007513B" w:rsidP="0007513B">
            <w:pPr>
              <w:spacing w:after="120" w:line="240" w:lineRule="auto"/>
              <w:rPr>
                <w:rFonts w:asciiTheme="minorHAnsi" w:hAnsiTheme="minorHAnsi" w:cstheme="minorHAnsi"/>
              </w:rPr>
            </w:pPr>
            <w:r w:rsidRPr="0007513B">
              <w:rPr>
                <w:rFonts w:asciiTheme="minorHAnsi" w:hAnsiTheme="minorHAnsi" w:cstheme="minorHAnsi"/>
              </w:rPr>
              <w:t>If an employee is otherwise required to give evidence, appear or instruct a representative at a Court, Tribunal or Royal Commission in relation to their duties, they will be released from duties without loss of pay (including in a dispute between an employee and the Commission).</w:t>
            </w:r>
          </w:p>
          <w:p w14:paraId="4246612D" w14:textId="77777777" w:rsidR="0007513B" w:rsidRPr="0007513B" w:rsidRDefault="0007513B" w:rsidP="0007513B">
            <w:pPr>
              <w:spacing w:after="120" w:line="240" w:lineRule="auto"/>
              <w:rPr>
                <w:rFonts w:asciiTheme="minorHAnsi" w:hAnsiTheme="minorHAnsi" w:cstheme="minorHAnsi"/>
              </w:rPr>
            </w:pPr>
            <w:r w:rsidRPr="0007513B">
              <w:rPr>
                <w:rFonts w:asciiTheme="minorHAnsi" w:hAnsiTheme="minorHAnsi" w:cstheme="minorHAnsi"/>
              </w:rPr>
              <w:t xml:space="preserve">An employee may otherwise be granted miscellaneous leave if required to give evidence in a Court, Tribunal or Royal Commission. </w:t>
            </w:r>
          </w:p>
          <w:p w14:paraId="210ADAE2" w14:textId="77777777" w:rsidR="0007513B" w:rsidRPr="0007513B" w:rsidRDefault="0007513B" w:rsidP="0007513B">
            <w:pPr>
              <w:spacing w:after="120" w:line="240" w:lineRule="auto"/>
              <w:rPr>
                <w:rFonts w:asciiTheme="minorHAnsi" w:hAnsiTheme="minorHAnsi" w:cstheme="minorHAnsi"/>
              </w:rPr>
            </w:pPr>
            <w:r w:rsidRPr="0007513B">
              <w:rPr>
                <w:rFonts w:asciiTheme="minorHAnsi" w:hAnsiTheme="minorHAnsi" w:cstheme="minorHAnsi"/>
              </w:rPr>
              <w:t xml:space="preserve">The Commissioner may refuse to release an employee having regard to business requirements and the necessity of their attendance. </w:t>
            </w:r>
          </w:p>
          <w:p w14:paraId="59D6556B" w14:textId="387BDA48" w:rsidR="0007513B" w:rsidRPr="00A251FD" w:rsidRDefault="0007513B" w:rsidP="0007513B">
            <w:pPr>
              <w:spacing w:after="120" w:line="240" w:lineRule="auto"/>
              <w:rPr>
                <w:lang w:eastAsia="en-US"/>
              </w:rPr>
            </w:pPr>
            <w:r w:rsidRPr="0007513B">
              <w:rPr>
                <w:rFonts w:asciiTheme="minorHAnsi" w:hAnsiTheme="minorHAnsi" w:cstheme="minorHAnsi"/>
              </w:rPr>
              <w:t>The 2019 EA does not contain these entitlements.</w:t>
            </w:r>
          </w:p>
        </w:tc>
        <w:tc>
          <w:tcPr>
            <w:tcW w:w="617" w:type="pct"/>
            <w:vAlign w:val="center"/>
          </w:tcPr>
          <w:p w14:paraId="0E97C669" w14:textId="45197789" w:rsidR="00475D20" w:rsidRPr="00A251FD" w:rsidRDefault="00475D20" w:rsidP="006B40E1">
            <w:pPr>
              <w:spacing w:after="120" w:line="240" w:lineRule="auto"/>
              <w:jc w:val="center"/>
              <w:rPr>
                <w:lang w:eastAsia="en-US"/>
              </w:rPr>
            </w:pPr>
            <w:r w:rsidRPr="00A251FD">
              <w:t>6.91 – 6.94</w:t>
            </w:r>
          </w:p>
        </w:tc>
        <w:tc>
          <w:tcPr>
            <w:tcW w:w="617" w:type="pct"/>
            <w:vAlign w:val="center"/>
          </w:tcPr>
          <w:p w14:paraId="6FA36A21" w14:textId="7D0BAC7D" w:rsidR="00475D20" w:rsidRPr="00A251FD" w:rsidRDefault="00475D20" w:rsidP="006B40E1">
            <w:pPr>
              <w:spacing w:after="120" w:line="240" w:lineRule="auto"/>
              <w:jc w:val="center"/>
              <w:rPr>
                <w:lang w:eastAsia="en-US"/>
              </w:rPr>
            </w:pPr>
            <w:r w:rsidRPr="00A251FD">
              <w:t>N/A</w:t>
            </w:r>
          </w:p>
        </w:tc>
      </w:tr>
      <w:tr w:rsidR="00350F30" w:rsidRPr="00A251FD" w14:paraId="6ADDB130" w14:textId="68F0C4C0" w:rsidTr="00D8718C">
        <w:trPr>
          <w:trHeight w:val="260"/>
          <w:jc w:val="center"/>
        </w:trPr>
        <w:tc>
          <w:tcPr>
            <w:tcW w:w="1061" w:type="pct"/>
            <w:vAlign w:val="center"/>
          </w:tcPr>
          <w:p w14:paraId="777E7D84" w14:textId="77777777" w:rsidR="008E4187" w:rsidRPr="00A251FD" w:rsidRDefault="008E4187" w:rsidP="008E4187">
            <w:pPr>
              <w:spacing w:after="120" w:line="240" w:lineRule="auto"/>
              <w:rPr>
                <w:lang w:eastAsia="en-US"/>
              </w:rPr>
            </w:pPr>
            <w:r w:rsidRPr="00A251FD">
              <w:rPr>
                <w:lang w:eastAsia="en-US"/>
              </w:rPr>
              <w:t xml:space="preserve">Emergency response leave </w:t>
            </w:r>
          </w:p>
          <w:p w14:paraId="18944CD0" w14:textId="6C4E2174" w:rsidR="00350F30" w:rsidRPr="00A251FD" w:rsidRDefault="00350F30" w:rsidP="004940D8"/>
        </w:tc>
        <w:tc>
          <w:tcPr>
            <w:tcW w:w="2705" w:type="pct"/>
            <w:vAlign w:val="center"/>
          </w:tcPr>
          <w:p w14:paraId="75284CD2" w14:textId="0B778843" w:rsidR="008E4187" w:rsidRPr="00A251FD" w:rsidRDefault="008E4187" w:rsidP="008E4187">
            <w:pPr>
              <w:spacing w:after="120" w:line="240" w:lineRule="auto"/>
              <w:rPr>
                <w:lang w:eastAsia="en-US"/>
              </w:rPr>
            </w:pPr>
            <w:r w:rsidRPr="00A251FD">
              <w:rPr>
                <w:lang w:eastAsia="en-US"/>
              </w:rPr>
              <w:t xml:space="preserve">The 2024 EA provides for paid emergency response leave for employees to undertake eligible community service activity in line with section 108 of the FW Act.  </w:t>
            </w:r>
          </w:p>
          <w:p w14:paraId="2618170A" w14:textId="03B32F69" w:rsidR="008E4187" w:rsidRPr="00A251FD" w:rsidRDefault="008E4187" w:rsidP="008E4187">
            <w:pPr>
              <w:spacing w:after="120" w:line="240" w:lineRule="auto"/>
              <w:rPr>
                <w:lang w:eastAsia="en-US"/>
              </w:rPr>
            </w:pPr>
            <w:r w:rsidRPr="00A251FD">
              <w:rPr>
                <w:lang w:eastAsia="en-US"/>
              </w:rPr>
              <w:lastRenderedPageBreak/>
              <w:t xml:space="preserve">The 2019 EA provides for paid leave for community service activities </w:t>
            </w:r>
            <w:r w:rsidR="00475D20" w:rsidRPr="00A251FD">
              <w:rPr>
                <w:lang w:eastAsia="en-US"/>
              </w:rPr>
              <w:t>including emergency management activities as defined in the FW Act.</w:t>
            </w:r>
          </w:p>
          <w:p w14:paraId="19312C8E" w14:textId="6EE8C6F7" w:rsidR="00350F30" w:rsidRPr="00A251FD" w:rsidRDefault="008E4187" w:rsidP="00914EF7">
            <w:r w:rsidRPr="00A251FD">
              <w:rPr>
                <w:lang w:eastAsia="en-US"/>
              </w:rPr>
              <w:t>The clause in the 2024 EA also includes that paid leave may be refused where the employee's role is essential to the Commission's response to the emergency.</w:t>
            </w:r>
            <w:r w:rsidR="00350F30" w:rsidRPr="00A251FD">
              <w:t xml:space="preserve"> </w:t>
            </w:r>
          </w:p>
        </w:tc>
        <w:tc>
          <w:tcPr>
            <w:tcW w:w="617" w:type="pct"/>
            <w:vAlign w:val="center"/>
          </w:tcPr>
          <w:p w14:paraId="2BC11CF5" w14:textId="77777777" w:rsidR="00D8718C" w:rsidRDefault="00D8718C" w:rsidP="006B40E1">
            <w:pPr>
              <w:spacing w:after="120" w:line="240" w:lineRule="auto"/>
              <w:jc w:val="center"/>
              <w:rPr>
                <w:lang w:eastAsia="en-US"/>
              </w:rPr>
            </w:pPr>
          </w:p>
          <w:p w14:paraId="1E4B18AE" w14:textId="2ED93125" w:rsidR="008E4187" w:rsidRPr="00A251FD" w:rsidRDefault="008E4187" w:rsidP="006B40E1">
            <w:pPr>
              <w:spacing w:after="120" w:line="240" w:lineRule="auto"/>
              <w:jc w:val="center"/>
              <w:rPr>
                <w:lang w:eastAsia="en-US"/>
              </w:rPr>
            </w:pPr>
            <w:r w:rsidRPr="00A251FD">
              <w:rPr>
                <w:lang w:eastAsia="en-US"/>
              </w:rPr>
              <w:t>6.95</w:t>
            </w:r>
            <w:r w:rsidR="005C3B99">
              <w:rPr>
                <w:lang w:eastAsia="en-US"/>
              </w:rPr>
              <w:t xml:space="preserve"> – </w:t>
            </w:r>
            <w:r w:rsidR="00475D20" w:rsidRPr="00A251FD">
              <w:rPr>
                <w:lang w:eastAsia="en-US"/>
              </w:rPr>
              <w:t>6.99</w:t>
            </w:r>
          </w:p>
          <w:p w14:paraId="0E86F7D0" w14:textId="14681F12" w:rsidR="00350F30" w:rsidRPr="00A251FD" w:rsidRDefault="00350F30" w:rsidP="006B40E1">
            <w:pPr>
              <w:jc w:val="center"/>
            </w:pPr>
          </w:p>
        </w:tc>
        <w:tc>
          <w:tcPr>
            <w:tcW w:w="617" w:type="pct"/>
            <w:vAlign w:val="center"/>
          </w:tcPr>
          <w:p w14:paraId="63AC115B" w14:textId="77777777" w:rsidR="00D8718C" w:rsidRDefault="00D8718C" w:rsidP="006B40E1">
            <w:pPr>
              <w:jc w:val="center"/>
              <w:rPr>
                <w:lang w:eastAsia="en-US"/>
              </w:rPr>
            </w:pPr>
          </w:p>
          <w:p w14:paraId="6C58FA8B" w14:textId="7A673012" w:rsidR="00350F30" w:rsidRDefault="00475D20" w:rsidP="006B40E1">
            <w:pPr>
              <w:jc w:val="center"/>
              <w:rPr>
                <w:lang w:eastAsia="en-US"/>
              </w:rPr>
            </w:pPr>
            <w:r w:rsidRPr="00A251FD">
              <w:rPr>
                <w:lang w:eastAsia="en-US"/>
              </w:rPr>
              <w:t>6.61</w:t>
            </w:r>
          </w:p>
          <w:p w14:paraId="77B8D6E2" w14:textId="2E076275" w:rsidR="00D8718C" w:rsidRPr="00A251FD" w:rsidRDefault="00D8718C" w:rsidP="006B40E1">
            <w:pPr>
              <w:jc w:val="center"/>
            </w:pPr>
          </w:p>
        </w:tc>
      </w:tr>
      <w:tr w:rsidR="00350F30" w:rsidRPr="00A251FD" w14:paraId="3E80DA30" w14:textId="091893D7" w:rsidTr="00D8718C">
        <w:trPr>
          <w:trHeight w:val="260"/>
          <w:jc w:val="center"/>
        </w:trPr>
        <w:tc>
          <w:tcPr>
            <w:tcW w:w="1061" w:type="pct"/>
            <w:vAlign w:val="center"/>
          </w:tcPr>
          <w:p w14:paraId="1D221E0D" w14:textId="77777777" w:rsidR="00914EF7" w:rsidRPr="00A251FD" w:rsidRDefault="00914EF7" w:rsidP="00914EF7">
            <w:pPr>
              <w:spacing w:after="120" w:line="240" w:lineRule="auto"/>
              <w:rPr>
                <w:lang w:eastAsia="en-US"/>
              </w:rPr>
            </w:pPr>
            <w:r w:rsidRPr="00A251FD">
              <w:rPr>
                <w:lang w:eastAsia="en-US"/>
              </w:rPr>
              <w:t>Cultural,  ceremonial and NAIDOC leave</w:t>
            </w:r>
          </w:p>
          <w:p w14:paraId="55E37B58" w14:textId="19842096" w:rsidR="00350F30" w:rsidRPr="00A251FD" w:rsidRDefault="00350F30" w:rsidP="004940D8"/>
        </w:tc>
        <w:tc>
          <w:tcPr>
            <w:tcW w:w="2705" w:type="pct"/>
            <w:vAlign w:val="center"/>
          </w:tcPr>
          <w:p w14:paraId="41D14385" w14:textId="77777777" w:rsidR="00914EF7" w:rsidRPr="00A251FD" w:rsidRDefault="00914EF7" w:rsidP="00914EF7">
            <w:pPr>
              <w:spacing w:after="120" w:line="240" w:lineRule="auto"/>
            </w:pPr>
            <w:r w:rsidRPr="00A251FD">
              <w:t xml:space="preserve">The 2024 EA provides that: </w:t>
            </w:r>
          </w:p>
          <w:p w14:paraId="14182707" w14:textId="7BA35AA2" w:rsidR="00914EF7" w:rsidRPr="00A251FD" w:rsidRDefault="00475D20" w:rsidP="00475D20">
            <w:pPr>
              <w:pStyle w:val="ListParagraph"/>
              <w:numPr>
                <w:ilvl w:val="0"/>
                <w:numId w:val="26"/>
              </w:numPr>
              <w:spacing w:before="120" w:after="120" w:line="240" w:lineRule="auto"/>
            </w:pPr>
            <w:r w:rsidRPr="00A251FD">
              <w:t xml:space="preserve">First Nations </w:t>
            </w:r>
            <w:r w:rsidR="00914EF7" w:rsidRPr="00A251FD">
              <w:t>employees may access one day of paid leave per calendar year to participate in NAIDOC week activities</w:t>
            </w:r>
          </w:p>
          <w:p w14:paraId="7D9DE59F" w14:textId="156203DD" w:rsidR="00914EF7" w:rsidRPr="00A251FD" w:rsidRDefault="00914EF7" w:rsidP="00475D20">
            <w:pPr>
              <w:pStyle w:val="ListParagraph"/>
              <w:numPr>
                <w:ilvl w:val="0"/>
                <w:numId w:val="26"/>
              </w:numPr>
              <w:spacing w:before="120" w:after="120" w:line="240" w:lineRule="auto"/>
            </w:pPr>
            <w:r w:rsidRPr="00A251FD">
              <w:t>First Nations employees may access up to 6 days of paid leave over 2 calendar years to participate in significant activities associated with their culture or to fulfil ceremonial obligations</w:t>
            </w:r>
            <w:r w:rsidR="0007513B">
              <w:t xml:space="preserve">; </w:t>
            </w:r>
          </w:p>
          <w:p w14:paraId="2D7EF9CD" w14:textId="53AEC36F" w:rsidR="00914EF7" w:rsidRPr="00A251FD" w:rsidRDefault="00914EF7" w:rsidP="00475D20">
            <w:pPr>
              <w:pStyle w:val="ListParagraph"/>
              <w:numPr>
                <w:ilvl w:val="0"/>
                <w:numId w:val="26"/>
              </w:numPr>
              <w:spacing w:before="120" w:after="120" w:line="240" w:lineRule="auto"/>
            </w:pPr>
            <w:r w:rsidRPr="00A251FD">
              <w:t>employees may be granted up to 3 days of paid leave per calendar year for the purpose of attending significant religious or cultural obligations associated with the employe</w:t>
            </w:r>
            <w:r w:rsidR="0007513B">
              <w:t>e's particular faith or culture; and</w:t>
            </w:r>
          </w:p>
          <w:p w14:paraId="4111BCD2" w14:textId="740A1A22" w:rsidR="00475D20" w:rsidRPr="00A251FD" w:rsidRDefault="00475D20" w:rsidP="00475D20">
            <w:pPr>
              <w:pStyle w:val="ListParagraph"/>
              <w:numPr>
                <w:ilvl w:val="0"/>
                <w:numId w:val="26"/>
              </w:numPr>
              <w:spacing w:before="120" w:after="120" w:line="240" w:lineRule="auto"/>
            </w:pPr>
            <w:r w:rsidRPr="00A251FD">
              <w:t>additional leave for cultural or ceremonial purposes may be granted as miscellaneous leave, with or without pay.</w:t>
            </w:r>
          </w:p>
          <w:p w14:paraId="2CE375C6" w14:textId="7B41FCD2" w:rsidR="00350F30" w:rsidRPr="00A251FD" w:rsidRDefault="00914EF7" w:rsidP="00914EF7">
            <w:r w:rsidRPr="00A251FD">
              <w:t>The 2019 EA only provides for three days of paid cultural/ceremonial leave for Aboriginal and/or Torres Strait Islander employees.</w:t>
            </w:r>
          </w:p>
        </w:tc>
        <w:tc>
          <w:tcPr>
            <w:tcW w:w="617" w:type="pct"/>
            <w:vAlign w:val="center"/>
          </w:tcPr>
          <w:p w14:paraId="46905924" w14:textId="77777777" w:rsidR="00914EF7" w:rsidRPr="00A251FD" w:rsidRDefault="00914EF7" w:rsidP="006B40E1">
            <w:pPr>
              <w:spacing w:after="120" w:line="240" w:lineRule="auto"/>
              <w:jc w:val="center"/>
              <w:rPr>
                <w:lang w:eastAsia="en-US"/>
              </w:rPr>
            </w:pPr>
            <w:r w:rsidRPr="00A251FD">
              <w:rPr>
                <w:lang w:eastAsia="en-US"/>
              </w:rPr>
              <w:t>6.100 – 6.109</w:t>
            </w:r>
          </w:p>
          <w:p w14:paraId="2D29FAA2" w14:textId="41AE8C15" w:rsidR="00350F30" w:rsidRPr="00A251FD" w:rsidRDefault="00350F30" w:rsidP="006B40E1">
            <w:pPr>
              <w:jc w:val="center"/>
            </w:pPr>
          </w:p>
        </w:tc>
        <w:tc>
          <w:tcPr>
            <w:tcW w:w="617" w:type="pct"/>
            <w:vAlign w:val="center"/>
          </w:tcPr>
          <w:p w14:paraId="554C1988" w14:textId="77777777" w:rsidR="00A83049" w:rsidRPr="00A251FD" w:rsidRDefault="00A83049" w:rsidP="006B40E1">
            <w:pPr>
              <w:spacing w:after="120" w:line="240" w:lineRule="auto"/>
              <w:jc w:val="center"/>
              <w:rPr>
                <w:lang w:eastAsia="en-US"/>
              </w:rPr>
            </w:pPr>
            <w:r w:rsidRPr="00A251FD">
              <w:rPr>
                <w:lang w:eastAsia="en-US"/>
              </w:rPr>
              <w:t>6.62</w:t>
            </w:r>
          </w:p>
          <w:p w14:paraId="0EEC5CC6" w14:textId="77777777" w:rsidR="00350F30" w:rsidRPr="00A251FD" w:rsidRDefault="00350F30" w:rsidP="006B40E1">
            <w:pPr>
              <w:jc w:val="center"/>
            </w:pPr>
          </w:p>
        </w:tc>
      </w:tr>
      <w:tr w:rsidR="00350F30" w:rsidRPr="00A251FD" w14:paraId="3431FC3F" w14:textId="1CAFDE37" w:rsidTr="00D8718C">
        <w:trPr>
          <w:trHeight w:val="260"/>
          <w:jc w:val="center"/>
        </w:trPr>
        <w:tc>
          <w:tcPr>
            <w:tcW w:w="1061" w:type="pct"/>
            <w:vAlign w:val="center"/>
          </w:tcPr>
          <w:p w14:paraId="703F4C42" w14:textId="44D8F48F" w:rsidR="00350F30" w:rsidRPr="00A251FD" w:rsidRDefault="00914EF7" w:rsidP="00475D20">
            <w:pPr>
              <w:spacing w:after="120" w:line="240" w:lineRule="auto"/>
            </w:pPr>
            <w:r w:rsidRPr="00A251FD">
              <w:rPr>
                <w:lang w:eastAsia="en-US"/>
              </w:rPr>
              <w:t>Sabbatical leave</w:t>
            </w:r>
          </w:p>
        </w:tc>
        <w:tc>
          <w:tcPr>
            <w:tcW w:w="2705" w:type="pct"/>
            <w:vAlign w:val="center"/>
          </w:tcPr>
          <w:p w14:paraId="69B4CEE6" w14:textId="522AE797" w:rsidR="00350F30" w:rsidRPr="00A251FD" w:rsidRDefault="00914EF7" w:rsidP="00475D20">
            <w:pPr>
              <w:spacing w:after="120" w:line="240" w:lineRule="auto"/>
            </w:pPr>
            <w:r w:rsidRPr="00A251FD">
              <w:rPr>
                <w:lang w:eastAsia="en-US"/>
              </w:rPr>
              <w:t>The 2024 EA makes clear that sabbatical leave counts as service for all purposes. The 2019 EA does not contain this detail.</w:t>
            </w:r>
          </w:p>
        </w:tc>
        <w:tc>
          <w:tcPr>
            <w:tcW w:w="617" w:type="pct"/>
            <w:vAlign w:val="center"/>
          </w:tcPr>
          <w:p w14:paraId="1B89EC06" w14:textId="77777777" w:rsidR="00914EF7" w:rsidRPr="00A251FD" w:rsidRDefault="00914EF7" w:rsidP="006B40E1">
            <w:pPr>
              <w:spacing w:after="120" w:line="240" w:lineRule="auto"/>
              <w:jc w:val="center"/>
              <w:rPr>
                <w:lang w:eastAsia="en-US"/>
              </w:rPr>
            </w:pPr>
            <w:r w:rsidRPr="00A251FD">
              <w:rPr>
                <w:lang w:eastAsia="en-US"/>
              </w:rPr>
              <w:t>6.121</w:t>
            </w:r>
          </w:p>
          <w:p w14:paraId="58724E48" w14:textId="271C4B3C" w:rsidR="00350F30" w:rsidRPr="00A251FD" w:rsidRDefault="00350F30" w:rsidP="006B40E1">
            <w:pPr>
              <w:jc w:val="center"/>
            </w:pPr>
          </w:p>
        </w:tc>
        <w:tc>
          <w:tcPr>
            <w:tcW w:w="617" w:type="pct"/>
            <w:vAlign w:val="center"/>
          </w:tcPr>
          <w:p w14:paraId="1BD9D8D6" w14:textId="77777777" w:rsidR="00A83049" w:rsidRPr="00A251FD" w:rsidRDefault="00A83049" w:rsidP="006B40E1">
            <w:pPr>
              <w:spacing w:after="120" w:line="240" w:lineRule="auto"/>
              <w:jc w:val="center"/>
              <w:rPr>
                <w:lang w:eastAsia="en-US"/>
              </w:rPr>
            </w:pPr>
            <w:r w:rsidRPr="00A251FD">
              <w:rPr>
                <w:lang w:eastAsia="en-US"/>
              </w:rPr>
              <w:t>6.73</w:t>
            </w:r>
          </w:p>
          <w:p w14:paraId="21ECA5FF" w14:textId="77777777" w:rsidR="00350F30" w:rsidRPr="00A251FD" w:rsidRDefault="00350F30" w:rsidP="006B40E1">
            <w:pPr>
              <w:jc w:val="center"/>
            </w:pPr>
          </w:p>
        </w:tc>
      </w:tr>
      <w:tr w:rsidR="00350F30" w:rsidRPr="00A251FD" w14:paraId="650976FC" w14:textId="0EA8DC17" w:rsidTr="00D8718C">
        <w:trPr>
          <w:trHeight w:val="260"/>
          <w:jc w:val="center"/>
        </w:trPr>
        <w:tc>
          <w:tcPr>
            <w:tcW w:w="1061" w:type="pct"/>
            <w:vAlign w:val="center"/>
          </w:tcPr>
          <w:p w14:paraId="09B627EC" w14:textId="77777777" w:rsidR="00914EF7" w:rsidRPr="00A251FD" w:rsidRDefault="00914EF7" w:rsidP="00914EF7">
            <w:pPr>
              <w:spacing w:after="120" w:line="240" w:lineRule="auto"/>
              <w:rPr>
                <w:lang w:eastAsia="en-US"/>
              </w:rPr>
            </w:pPr>
            <w:r w:rsidRPr="00A251FD">
              <w:rPr>
                <w:lang w:eastAsia="en-US"/>
              </w:rPr>
              <w:t>Defence service sick leave</w:t>
            </w:r>
          </w:p>
          <w:p w14:paraId="7CA6B96D" w14:textId="53037D4C" w:rsidR="00350F30" w:rsidRPr="00A251FD" w:rsidRDefault="00350F30" w:rsidP="00914EF7"/>
        </w:tc>
        <w:tc>
          <w:tcPr>
            <w:tcW w:w="2705" w:type="pct"/>
            <w:vAlign w:val="center"/>
          </w:tcPr>
          <w:p w14:paraId="70437B4B" w14:textId="47EAA699" w:rsidR="00914EF7" w:rsidRPr="00A251FD" w:rsidRDefault="00914EF7" w:rsidP="00914EF7">
            <w:pPr>
              <w:spacing w:after="120" w:line="240" w:lineRule="auto"/>
              <w:rPr>
                <w:lang w:eastAsia="en-US"/>
              </w:rPr>
            </w:pPr>
            <w:r w:rsidRPr="00A251FD">
              <w:rPr>
                <w:lang w:eastAsia="en-US"/>
              </w:rPr>
              <w:lastRenderedPageBreak/>
              <w:t xml:space="preserve">The 2024 EA provides that an employee is eligible for defence service sick leave credits when the </w:t>
            </w:r>
            <w:r w:rsidR="00475D20" w:rsidRPr="00A251FD">
              <w:rPr>
                <w:lang w:eastAsia="en-US"/>
              </w:rPr>
              <w:t xml:space="preserve">Department </w:t>
            </w:r>
            <w:r w:rsidRPr="00A251FD">
              <w:rPr>
                <w:lang w:eastAsia="en-US"/>
              </w:rPr>
              <w:t xml:space="preserve">of Veteran's Affairs has certified that an </w:t>
            </w:r>
            <w:r w:rsidRPr="00A251FD">
              <w:rPr>
                <w:lang w:eastAsia="en-US"/>
              </w:rPr>
              <w:lastRenderedPageBreak/>
              <w:t xml:space="preserve">employee's medical condition is as a result of either warlike or non-warlike service.  </w:t>
            </w:r>
          </w:p>
          <w:p w14:paraId="46F31DD2" w14:textId="5AB7A441" w:rsidR="00350F30" w:rsidRPr="00A251FD" w:rsidRDefault="00475D20" w:rsidP="0007513B">
            <w:r w:rsidRPr="00A251FD">
              <w:rPr>
                <w:lang w:eastAsia="en-US"/>
              </w:rPr>
              <w:t xml:space="preserve">This criterion differs to the 2019 EA, which provides that the Commissioner will grant defence service sick leave to employees who are unfit for duty because of: a war-caused or defence-caused condition that has been determined under the </w:t>
            </w:r>
            <w:r w:rsidRPr="0007513B">
              <w:rPr>
                <w:i/>
                <w:lang w:eastAsia="en-US"/>
              </w:rPr>
              <w:t>Veterans’ Entitlements Act 1986</w:t>
            </w:r>
            <w:r w:rsidRPr="00A251FD">
              <w:rPr>
                <w:lang w:eastAsia="en-US"/>
              </w:rPr>
              <w:t xml:space="preserve"> ; and/or a service injury or service disease under the </w:t>
            </w:r>
            <w:r w:rsidRPr="0007513B">
              <w:rPr>
                <w:i/>
                <w:lang w:eastAsia="en-US"/>
              </w:rPr>
              <w:t>Military Rehabilitation</w:t>
            </w:r>
            <w:r w:rsidR="0007513B" w:rsidRPr="0007513B">
              <w:rPr>
                <w:i/>
                <w:lang w:eastAsia="en-US"/>
              </w:rPr>
              <w:t xml:space="preserve"> Act</w:t>
            </w:r>
            <w:r w:rsidRPr="00A251FD">
              <w:rPr>
                <w:lang w:eastAsia="en-US"/>
              </w:rPr>
              <w:t xml:space="preserve">; and/or a defence-related injury or defence-related disease under the </w:t>
            </w:r>
            <w:r w:rsidRPr="0007513B">
              <w:rPr>
                <w:i/>
                <w:lang w:eastAsia="en-US"/>
              </w:rPr>
              <w:t>Safety, Rehabilitation and Compensation (Defence-related claims) Act 1988</w:t>
            </w:r>
            <w:r w:rsidRPr="00A251FD">
              <w:rPr>
                <w:lang w:eastAsia="en-US"/>
              </w:rPr>
              <w:t>.</w:t>
            </w:r>
            <w:r w:rsidR="00350F30" w:rsidRPr="00A251FD">
              <w:t xml:space="preserve"> </w:t>
            </w:r>
          </w:p>
        </w:tc>
        <w:tc>
          <w:tcPr>
            <w:tcW w:w="617" w:type="pct"/>
            <w:vAlign w:val="center"/>
          </w:tcPr>
          <w:p w14:paraId="5AFF3A6B" w14:textId="6AA0125F" w:rsidR="00914EF7" w:rsidRPr="00A251FD" w:rsidRDefault="00914EF7" w:rsidP="006B40E1">
            <w:pPr>
              <w:spacing w:after="120" w:line="240" w:lineRule="auto"/>
              <w:jc w:val="center"/>
              <w:rPr>
                <w:lang w:eastAsia="en-US"/>
              </w:rPr>
            </w:pPr>
            <w:r w:rsidRPr="00A251FD">
              <w:rPr>
                <w:lang w:eastAsia="en-US"/>
              </w:rPr>
              <w:lastRenderedPageBreak/>
              <w:t>6.122</w:t>
            </w:r>
            <w:r w:rsidR="00475D20" w:rsidRPr="00A251FD">
              <w:rPr>
                <w:lang w:eastAsia="en-US"/>
              </w:rPr>
              <w:t xml:space="preserve"> – 6.128</w:t>
            </w:r>
          </w:p>
          <w:p w14:paraId="77CBEB29" w14:textId="7E97701D" w:rsidR="00350F30" w:rsidRPr="00A251FD" w:rsidRDefault="00350F30" w:rsidP="006B40E1">
            <w:pPr>
              <w:jc w:val="center"/>
            </w:pPr>
          </w:p>
        </w:tc>
        <w:tc>
          <w:tcPr>
            <w:tcW w:w="617" w:type="pct"/>
            <w:vAlign w:val="center"/>
          </w:tcPr>
          <w:p w14:paraId="4CF80F98" w14:textId="1D4ABADE" w:rsidR="00A83049" w:rsidRPr="00A251FD" w:rsidRDefault="005C3B99" w:rsidP="006B40E1">
            <w:pPr>
              <w:spacing w:after="120" w:line="240" w:lineRule="auto"/>
              <w:jc w:val="center"/>
              <w:rPr>
                <w:lang w:eastAsia="en-US"/>
              </w:rPr>
            </w:pPr>
            <w:r>
              <w:rPr>
                <w:lang w:eastAsia="en-US"/>
              </w:rPr>
              <w:lastRenderedPageBreak/>
              <w:t xml:space="preserve">6.74 – </w:t>
            </w:r>
            <w:r w:rsidR="00A83049" w:rsidRPr="00A251FD">
              <w:rPr>
                <w:lang w:eastAsia="en-US"/>
              </w:rPr>
              <w:t>6.81</w:t>
            </w:r>
          </w:p>
          <w:p w14:paraId="7F101786" w14:textId="77777777" w:rsidR="00350F30" w:rsidRPr="00A251FD" w:rsidRDefault="00350F30" w:rsidP="006B40E1">
            <w:pPr>
              <w:jc w:val="center"/>
            </w:pPr>
          </w:p>
        </w:tc>
      </w:tr>
    </w:tbl>
    <w:p w14:paraId="76496F4C" w14:textId="77777777" w:rsidR="00914EF7" w:rsidRPr="00A251FD" w:rsidRDefault="00914EF7" w:rsidP="00914EF7">
      <w:pPr>
        <w:pStyle w:val="Heading2"/>
      </w:pPr>
      <w:r w:rsidRPr="00A251FD">
        <w:lastRenderedPageBreak/>
        <w:t xml:space="preserve">Part 7 – Travel and location-based conditions </w:t>
      </w:r>
    </w:p>
    <w:tbl>
      <w:tblPr>
        <w:tblStyle w:val="TableGrid"/>
        <w:tblW w:w="5000" w:type="pct"/>
        <w:jc w:val="center"/>
        <w:tblLook w:val="04A0" w:firstRow="1" w:lastRow="0" w:firstColumn="1" w:lastColumn="0" w:noHBand="0" w:noVBand="1"/>
        <w:tblCaption w:val="EA Fact Sheet - Key Features"/>
        <w:tblDescription w:val="EA Fact Sheet - Key Features"/>
      </w:tblPr>
      <w:tblGrid>
        <w:gridCol w:w="3029"/>
        <w:gridCol w:w="7723"/>
        <w:gridCol w:w="1762"/>
        <w:gridCol w:w="1762"/>
      </w:tblGrid>
      <w:tr w:rsidR="00A251FD" w:rsidRPr="00A251FD" w14:paraId="73AF324C" w14:textId="6F31DB4C" w:rsidTr="006B40E1">
        <w:trPr>
          <w:trHeight w:val="416"/>
          <w:tblHeader/>
          <w:jc w:val="center"/>
        </w:trPr>
        <w:tc>
          <w:tcPr>
            <w:tcW w:w="1061" w:type="pct"/>
            <w:shd w:val="clear" w:color="auto" w:fill="943C84"/>
            <w:vAlign w:val="center"/>
          </w:tcPr>
          <w:p w14:paraId="40121633" w14:textId="0276735D" w:rsidR="00914EF7" w:rsidRPr="00A251FD" w:rsidRDefault="00914EF7" w:rsidP="006B40E1">
            <w:pPr>
              <w:spacing w:after="120" w:line="240" w:lineRule="auto"/>
              <w:rPr>
                <w:b/>
                <w:color w:val="FFFFFF" w:themeColor="background1"/>
                <w:lang w:eastAsia="en-US"/>
              </w:rPr>
            </w:pPr>
            <w:r w:rsidRPr="00A251FD">
              <w:rPr>
                <w:b/>
                <w:color w:val="FFFFFF" w:themeColor="background1"/>
                <w:lang w:eastAsia="en-US"/>
              </w:rPr>
              <w:t>Employment Condition</w:t>
            </w:r>
          </w:p>
        </w:tc>
        <w:tc>
          <w:tcPr>
            <w:tcW w:w="2705" w:type="pct"/>
            <w:shd w:val="clear" w:color="auto" w:fill="943C84"/>
            <w:vAlign w:val="center"/>
          </w:tcPr>
          <w:p w14:paraId="10EA75C7" w14:textId="35CF8274" w:rsidR="00914EF7" w:rsidRPr="00A251FD" w:rsidRDefault="00914EF7" w:rsidP="006B40E1">
            <w:pPr>
              <w:spacing w:after="120" w:line="240" w:lineRule="auto"/>
              <w:rPr>
                <w:b/>
                <w:color w:val="FFFFFF" w:themeColor="background1"/>
                <w:lang w:eastAsia="en-US"/>
              </w:rPr>
            </w:pPr>
            <w:r w:rsidRPr="00A251FD">
              <w:rPr>
                <w:b/>
                <w:color w:val="FFFFFF" w:themeColor="background1"/>
                <w:lang w:eastAsia="en-US"/>
              </w:rPr>
              <w:t xml:space="preserve">Explanation of key changes from 2019 EA  </w:t>
            </w:r>
          </w:p>
        </w:tc>
        <w:tc>
          <w:tcPr>
            <w:tcW w:w="617" w:type="pct"/>
            <w:shd w:val="clear" w:color="auto" w:fill="943C84"/>
            <w:vAlign w:val="center"/>
          </w:tcPr>
          <w:p w14:paraId="0DB4FF34" w14:textId="51CD1177" w:rsidR="00914EF7" w:rsidRPr="00A251FD" w:rsidRDefault="00914EF7" w:rsidP="006B40E1">
            <w:pPr>
              <w:spacing w:after="120" w:line="240" w:lineRule="auto"/>
              <w:jc w:val="center"/>
              <w:rPr>
                <w:b/>
                <w:color w:val="FFFFFF" w:themeColor="background1"/>
                <w:lang w:eastAsia="en-US"/>
              </w:rPr>
            </w:pPr>
            <w:r w:rsidRPr="00A251FD">
              <w:rPr>
                <w:b/>
                <w:color w:val="FFFFFF" w:themeColor="background1"/>
                <w:lang w:eastAsia="en-US"/>
              </w:rPr>
              <w:t>2024 EA clause</w:t>
            </w:r>
          </w:p>
        </w:tc>
        <w:tc>
          <w:tcPr>
            <w:tcW w:w="617" w:type="pct"/>
            <w:shd w:val="clear" w:color="auto" w:fill="943C84"/>
            <w:vAlign w:val="center"/>
          </w:tcPr>
          <w:p w14:paraId="66B6E64C" w14:textId="6A484ADD" w:rsidR="00914EF7" w:rsidRPr="00A251FD" w:rsidRDefault="00914EF7" w:rsidP="006B40E1">
            <w:pPr>
              <w:spacing w:after="120" w:line="240" w:lineRule="auto"/>
              <w:jc w:val="center"/>
              <w:rPr>
                <w:b/>
                <w:color w:val="FFFFFF" w:themeColor="background1"/>
                <w:lang w:eastAsia="en-US"/>
              </w:rPr>
            </w:pPr>
            <w:r w:rsidRPr="00A251FD">
              <w:rPr>
                <w:b/>
                <w:color w:val="FFFFFF" w:themeColor="background1"/>
                <w:lang w:eastAsia="en-US"/>
              </w:rPr>
              <w:t>2019 EA clause</w:t>
            </w:r>
          </w:p>
        </w:tc>
      </w:tr>
      <w:tr w:rsidR="00475D20" w:rsidRPr="00A251FD" w14:paraId="1CE5B9DD" w14:textId="77777777" w:rsidTr="006B40E1">
        <w:trPr>
          <w:trHeight w:val="720"/>
          <w:jc w:val="center"/>
        </w:trPr>
        <w:tc>
          <w:tcPr>
            <w:tcW w:w="1061" w:type="pct"/>
          </w:tcPr>
          <w:p w14:paraId="6309AD7F" w14:textId="6D5A9695" w:rsidR="00475D20" w:rsidRPr="00A251FD" w:rsidRDefault="00475D20" w:rsidP="00475D20">
            <w:r w:rsidRPr="00A251FD">
              <w:t>Travel allowance</w:t>
            </w:r>
          </w:p>
        </w:tc>
        <w:tc>
          <w:tcPr>
            <w:tcW w:w="2705" w:type="pct"/>
          </w:tcPr>
          <w:p w14:paraId="0551BF8D" w14:textId="474FD315" w:rsidR="00475D20" w:rsidRPr="00A251FD" w:rsidRDefault="00475D20" w:rsidP="00475D20">
            <w:pPr>
              <w:spacing w:after="120" w:line="240" w:lineRule="auto"/>
              <w:rPr>
                <w:lang w:eastAsia="en-US"/>
              </w:rPr>
            </w:pPr>
            <w:r w:rsidRPr="00A251FD">
              <w:t xml:space="preserve">The 2019 EA increases the amount of allowance payable where an employee elects to stay in non-commercial accommodation from $50 to $52 per night.  </w:t>
            </w:r>
          </w:p>
        </w:tc>
        <w:tc>
          <w:tcPr>
            <w:tcW w:w="617" w:type="pct"/>
            <w:vAlign w:val="center"/>
          </w:tcPr>
          <w:p w14:paraId="2C2E40FE" w14:textId="5C619755" w:rsidR="00475D20" w:rsidRPr="00A251FD" w:rsidRDefault="00475D20" w:rsidP="006B40E1">
            <w:pPr>
              <w:spacing w:after="120" w:line="240" w:lineRule="auto"/>
              <w:jc w:val="center"/>
              <w:rPr>
                <w:lang w:eastAsia="en-US"/>
              </w:rPr>
            </w:pPr>
            <w:r w:rsidRPr="00A251FD">
              <w:t>7.3</w:t>
            </w:r>
          </w:p>
        </w:tc>
        <w:tc>
          <w:tcPr>
            <w:tcW w:w="617" w:type="pct"/>
            <w:vAlign w:val="center"/>
          </w:tcPr>
          <w:p w14:paraId="05800FAB" w14:textId="26F77564" w:rsidR="00475D20" w:rsidRPr="00A251FD" w:rsidRDefault="00475D20" w:rsidP="006B40E1">
            <w:pPr>
              <w:spacing w:after="120" w:line="240" w:lineRule="auto"/>
              <w:jc w:val="center"/>
              <w:rPr>
                <w:lang w:eastAsia="en-US"/>
              </w:rPr>
            </w:pPr>
            <w:r w:rsidRPr="00A251FD">
              <w:t>7.3</w:t>
            </w:r>
          </w:p>
        </w:tc>
      </w:tr>
      <w:tr w:rsidR="00914EF7" w:rsidRPr="00A251FD" w14:paraId="0D797FD6" w14:textId="11ADDCD6" w:rsidTr="006B40E1">
        <w:trPr>
          <w:trHeight w:val="720"/>
          <w:jc w:val="center"/>
        </w:trPr>
        <w:tc>
          <w:tcPr>
            <w:tcW w:w="1061" w:type="pct"/>
            <w:vAlign w:val="center"/>
          </w:tcPr>
          <w:p w14:paraId="23298798" w14:textId="010CBD34" w:rsidR="00914EF7" w:rsidRPr="00A251FD" w:rsidRDefault="00CE786C" w:rsidP="004940D8">
            <w:r w:rsidRPr="00A251FD">
              <w:t>Relocation assistance</w:t>
            </w:r>
          </w:p>
        </w:tc>
        <w:tc>
          <w:tcPr>
            <w:tcW w:w="2705" w:type="pct"/>
            <w:vAlign w:val="center"/>
          </w:tcPr>
          <w:p w14:paraId="4C844DE8" w14:textId="77777777" w:rsidR="00CE786C" w:rsidRPr="00A251FD" w:rsidRDefault="00CE786C" w:rsidP="00CE786C">
            <w:pPr>
              <w:spacing w:after="120" w:line="240" w:lineRule="auto"/>
              <w:rPr>
                <w:lang w:eastAsia="en-US"/>
              </w:rPr>
            </w:pPr>
            <w:r w:rsidRPr="00A251FD">
              <w:rPr>
                <w:lang w:eastAsia="en-US"/>
              </w:rPr>
              <w:t xml:space="preserve">The 2024 EA provides that where an existing employee is required to relocate at the request of the Commission, the employee will be provided with relocation assistance. The clause also provides that an employee will be provided with relocation assistance where they are required to relocate on engagement. The clause sets out reasonable expenses associated with relocation and does not include a limit on the amount of assistance. </w:t>
            </w:r>
          </w:p>
          <w:p w14:paraId="0AAD8DAF" w14:textId="67E65925" w:rsidR="00CE786C" w:rsidRPr="00A251FD" w:rsidRDefault="00CE786C" w:rsidP="00CE786C">
            <w:pPr>
              <w:spacing w:after="120" w:line="240" w:lineRule="auto"/>
              <w:rPr>
                <w:lang w:eastAsia="en-US"/>
              </w:rPr>
            </w:pPr>
            <w:r w:rsidRPr="00A251FD">
              <w:rPr>
                <w:lang w:eastAsia="en-US"/>
              </w:rPr>
              <w:t xml:space="preserve">This is different to the 2019 EA, which provides the Commissioner with a discretion to reimburse employees (or pay third parties directly) on term transfer or compulsory transfer up to $40,000 for reasonable expenses associated with relocation. </w:t>
            </w:r>
          </w:p>
          <w:p w14:paraId="0AF6D88E" w14:textId="70E4E492" w:rsidR="00475D20" w:rsidRPr="00A251FD" w:rsidRDefault="00475D20" w:rsidP="00CE786C">
            <w:pPr>
              <w:spacing w:after="120" w:line="240" w:lineRule="auto"/>
            </w:pPr>
            <w:r w:rsidRPr="00A251FD">
              <w:lastRenderedPageBreak/>
              <w:t>Unlike the 2019 EA, the 2024 EA provides that an employee is entitled to removal expenses if they relocate to take up higher duties for a period of 13 weeks or more.</w:t>
            </w:r>
          </w:p>
          <w:p w14:paraId="0B43A0F9" w14:textId="1E5C620D" w:rsidR="00914EF7" w:rsidRPr="00A251FD" w:rsidRDefault="00475D20" w:rsidP="0007513B">
            <w:r w:rsidRPr="00A251FD">
              <w:rPr>
                <w:lang w:eastAsia="en-US"/>
              </w:rPr>
              <w:t xml:space="preserve">The provisions relating to employee initiated moves in the 2024 EA are largely the same as the 2019 EA, but remove reference to the specific circumstances of an employee initiated move.  </w:t>
            </w:r>
          </w:p>
        </w:tc>
        <w:tc>
          <w:tcPr>
            <w:tcW w:w="617" w:type="pct"/>
            <w:vAlign w:val="center"/>
          </w:tcPr>
          <w:p w14:paraId="1BDF77F8" w14:textId="77777777" w:rsidR="00CE786C" w:rsidRPr="00A251FD" w:rsidRDefault="00CE786C" w:rsidP="006B40E1">
            <w:pPr>
              <w:spacing w:after="120" w:line="240" w:lineRule="auto"/>
              <w:jc w:val="center"/>
              <w:rPr>
                <w:lang w:eastAsia="en-US"/>
              </w:rPr>
            </w:pPr>
            <w:r w:rsidRPr="00A251FD">
              <w:rPr>
                <w:lang w:eastAsia="en-US"/>
              </w:rPr>
              <w:lastRenderedPageBreak/>
              <w:t>7.10 – 7.17</w:t>
            </w:r>
          </w:p>
          <w:p w14:paraId="3C832043" w14:textId="689A7673" w:rsidR="00914EF7" w:rsidRPr="00A251FD" w:rsidRDefault="00914EF7" w:rsidP="006B40E1">
            <w:pPr>
              <w:jc w:val="center"/>
            </w:pPr>
          </w:p>
        </w:tc>
        <w:tc>
          <w:tcPr>
            <w:tcW w:w="617" w:type="pct"/>
            <w:vAlign w:val="center"/>
          </w:tcPr>
          <w:p w14:paraId="0446D78B" w14:textId="6BB06998" w:rsidR="00D146B9" w:rsidRPr="00A251FD" w:rsidRDefault="005C3B99" w:rsidP="006B40E1">
            <w:pPr>
              <w:spacing w:after="120" w:line="240" w:lineRule="auto"/>
              <w:jc w:val="center"/>
              <w:rPr>
                <w:lang w:eastAsia="en-US"/>
              </w:rPr>
            </w:pPr>
            <w:r>
              <w:rPr>
                <w:lang w:eastAsia="en-US"/>
              </w:rPr>
              <w:t xml:space="preserve">4.7 – </w:t>
            </w:r>
            <w:r w:rsidR="00D146B9" w:rsidRPr="00A251FD">
              <w:rPr>
                <w:lang w:eastAsia="en-US"/>
              </w:rPr>
              <w:t>4.</w:t>
            </w:r>
            <w:r w:rsidR="00475D20" w:rsidRPr="00A251FD">
              <w:rPr>
                <w:lang w:eastAsia="en-US"/>
              </w:rPr>
              <w:t>12</w:t>
            </w:r>
          </w:p>
          <w:p w14:paraId="55FDAE72" w14:textId="77777777" w:rsidR="00914EF7" w:rsidRPr="00A251FD" w:rsidRDefault="00914EF7" w:rsidP="006B40E1">
            <w:pPr>
              <w:jc w:val="center"/>
            </w:pPr>
          </w:p>
        </w:tc>
      </w:tr>
    </w:tbl>
    <w:p w14:paraId="7A41FD3D" w14:textId="77777777" w:rsidR="003336F8" w:rsidRPr="00A251FD" w:rsidRDefault="003336F8" w:rsidP="003336F8">
      <w:pPr>
        <w:pStyle w:val="Heading2"/>
      </w:pPr>
      <w:bookmarkStart w:id="0" w:name="_Part_8_–"/>
      <w:bookmarkEnd w:id="0"/>
      <w:r w:rsidRPr="00A251FD">
        <w:t xml:space="preserve">Part 8 – Remote locality assistance </w:t>
      </w:r>
    </w:p>
    <w:tbl>
      <w:tblPr>
        <w:tblStyle w:val="TableGrid"/>
        <w:tblW w:w="5000" w:type="pct"/>
        <w:jc w:val="center"/>
        <w:tblLook w:val="04A0" w:firstRow="1" w:lastRow="0" w:firstColumn="1" w:lastColumn="0" w:noHBand="0" w:noVBand="1"/>
        <w:tblCaption w:val="EA Fact Sheet - Key Features"/>
        <w:tblDescription w:val="EA Fact Sheet - Key Features"/>
      </w:tblPr>
      <w:tblGrid>
        <w:gridCol w:w="3029"/>
        <w:gridCol w:w="7723"/>
        <w:gridCol w:w="1762"/>
        <w:gridCol w:w="1762"/>
      </w:tblGrid>
      <w:tr w:rsidR="00A251FD" w:rsidRPr="00A251FD" w14:paraId="4A0B69FB" w14:textId="77777777" w:rsidTr="006B40E1">
        <w:trPr>
          <w:trHeight w:val="416"/>
          <w:tblHeader/>
          <w:jc w:val="center"/>
        </w:trPr>
        <w:tc>
          <w:tcPr>
            <w:tcW w:w="1061" w:type="pct"/>
            <w:shd w:val="clear" w:color="auto" w:fill="943C84"/>
            <w:vAlign w:val="center"/>
          </w:tcPr>
          <w:p w14:paraId="67B404D4" w14:textId="0C003895" w:rsidR="003336F8" w:rsidRPr="00A251FD" w:rsidRDefault="003336F8" w:rsidP="006B40E1">
            <w:pPr>
              <w:spacing w:after="120" w:line="240" w:lineRule="auto"/>
              <w:rPr>
                <w:b/>
                <w:color w:val="FFFFFF" w:themeColor="background1"/>
                <w:lang w:eastAsia="en-US"/>
              </w:rPr>
            </w:pPr>
            <w:r w:rsidRPr="00A251FD">
              <w:rPr>
                <w:b/>
                <w:color w:val="FFFFFF" w:themeColor="background1"/>
                <w:lang w:eastAsia="en-US"/>
              </w:rPr>
              <w:t>Employment Condition</w:t>
            </w:r>
          </w:p>
        </w:tc>
        <w:tc>
          <w:tcPr>
            <w:tcW w:w="2705" w:type="pct"/>
            <w:shd w:val="clear" w:color="auto" w:fill="943C84"/>
            <w:vAlign w:val="center"/>
          </w:tcPr>
          <w:p w14:paraId="6BB18FBE" w14:textId="09687606" w:rsidR="003336F8" w:rsidRPr="00A251FD" w:rsidRDefault="003336F8" w:rsidP="006B40E1">
            <w:pPr>
              <w:spacing w:after="120" w:line="240" w:lineRule="auto"/>
              <w:rPr>
                <w:b/>
                <w:color w:val="FFFFFF" w:themeColor="background1"/>
                <w:lang w:eastAsia="en-US"/>
              </w:rPr>
            </w:pPr>
            <w:r w:rsidRPr="00A251FD">
              <w:rPr>
                <w:b/>
                <w:color w:val="FFFFFF" w:themeColor="background1"/>
                <w:lang w:eastAsia="en-US"/>
              </w:rPr>
              <w:t xml:space="preserve">Explanation of key changes from 2019 EA  </w:t>
            </w:r>
          </w:p>
        </w:tc>
        <w:tc>
          <w:tcPr>
            <w:tcW w:w="617" w:type="pct"/>
            <w:shd w:val="clear" w:color="auto" w:fill="943C84"/>
            <w:vAlign w:val="center"/>
          </w:tcPr>
          <w:p w14:paraId="74332E91" w14:textId="218F3BC7" w:rsidR="003336F8" w:rsidRPr="00A251FD" w:rsidRDefault="003336F8" w:rsidP="006B40E1">
            <w:pPr>
              <w:spacing w:after="120" w:line="240" w:lineRule="auto"/>
              <w:jc w:val="center"/>
              <w:rPr>
                <w:b/>
                <w:color w:val="FFFFFF" w:themeColor="background1"/>
                <w:lang w:eastAsia="en-US"/>
              </w:rPr>
            </w:pPr>
            <w:r w:rsidRPr="00A251FD">
              <w:rPr>
                <w:b/>
                <w:color w:val="FFFFFF" w:themeColor="background1"/>
                <w:lang w:eastAsia="en-US"/>
              </w:rPr>
              <w:t>2024 EA clause</w:t>
            </w:r>
          </w:p>
        </w:tc>
        <w:tc>
          <w:tcPr>
            <w:tcW w:w="617" w:type="pct"/>
            <w:shd w:val="clear" w:color="auto" w:fill="943C84"/>
            <w:vAlign w:val="center"/>
          </w:tcPr>
          <w:p w14:paraId="742BA950" w14:textId="087FC874" w:rsidR="003336F8" w:rsidRPr="00A251FD" w:rsidRDefault="003336F8" w:rsidP="006B40E1">
            <w:pPr>
              <w:spacing w:after="120" w:line="240" w:lineRule="auto"/>
              <w:jc w:val="center"/>
              <w:rPr>
                <w:b/>
                <w:color w:val="FFFFFF" w:themeColor="background1"/>
                <w:lang w:eastAsia="en-US"/>
              </w:rPr>
            </w:pPr>
            <w:r w:rsidRPr="00A251FD">
              <w:rPr>
                <w:b/>
                <w:color w:val="FFFFFF" w:themeColor="background1"/>
                <w:lang w:eastAsia="en-US"/>
              </w:rPr>
              <w:t>2019 EA clause</w:t>
            </w:r>
          </w:p>
        </w:tc>
      </w:tr>
      <w:tr w:rsidR="003336F8" w:rsidRPr="00A251FD" w14:paraId="609F2B1E" w14:textId="77777777" w:rsidTr="006B40E1">
        <w:trPr>
          <w:trHeight w:val="1173"/>
          <w:jc w:val="center"/>
        </w:trPr>
        <w:tc>
          <w:tcPr>
            <w:tcW w:w="1061" w:type="pct"/>
            <w:vAlign w:val="center"/>
          </w:tcPr>
          <w:p w14:paraId="636742BE" w14:textId="32914E8D" w:rsidR="003336F8" w:rsidRPr="00A251FD" w:rsidRDefault="003336F8" w:rsidP="003336F8">
            <w:pPr>
              <w:spacing w:after="120" w:line="240" w:lineRule="auto"/>
            </w:pPr>
            <w:r w:rsidRPr="00A251FD">
              <w:rPr>
                <w:lang w:eastAsia="en-US"/>
              </w:rPr>
              <w:t>Remote locality assistance</w:t>
            </w:r>
          </w:p>
        </w:tc>
        <w:tc>
          <w:tcPr>
            <w:tcW w:w="2705" w:type="pct"/>
            <w:vAlign w:val="center"/>
          </w:tcPr>
          <w:p w14:paraId="7A40B69B" w14:textId="4EFEF764" w:rsidR="003336F8" w:rsidRPr="00A251FD" w:rsidRDefault="003336F8" w:rsidP="003336F8">
            <w:r w:rsidRPr="00A251FD">
              <w:t xml:space="preserve">The 2024 EA increases the amount of remote locality allowance as set out in </w:t>
            </w:r>
            <w:r w:rsidRPr="003E4E63">
              <w:rPr>
                <w:b/>
              </w:rPr>
              <w:t>Table 1</w:t>
            </w:r>
            <w:r w:rsidRPr="00A251FD">
              <w:t xml:space="preserve"> below.</w:t>
            </w:r>
          </w:p>
        </w:tc>
        <w:tc>
          <w:tcPr>
            <w:tcW w:w="617" w:type="pct"/>
            <w:vAlign w:val="center"/>
          </w:tcPr>
          <w:p w14:paraId="317A19F5" w14:textId="77777777" w:rsidR="00D8718C" w:rsidRDefault="00D8718C" w:rsidP="006B40E1">
            <w:pPr>
              <w:spacing w:after="120" w:line="240" w:lineRule="auto"/>
              <w:jc w:val="center"/>
              <w:rPr>
                <w:lang w:eastAsia="en-US"/>
              </w:rPr>
            </w:pPr>
          </w:p>
          <w:p w14:paraId="1FAA4C61" w14:textId="1A8D1562" w:rsidR="003336F8" w:rsidRPr="00A251FD" w:rsidRDefault="003336F8" w:rsidP="006B40E1">
            <w:pPr>
              <w:spacing w:after="120" w:line="240" w:lineRule="auto"/>
              <w:jc w:val="center"/>
              <w:rPr>
                <w:lang w:eastAsia="en-US"/>
              </w:rPr>
            </w:pPr>
            <w:r w:rsidRPr="00A251FD">
              <w:rPr>
                <w:lang w:eastAsia="en-US"/>
              </w:rPr>
              <w:t>8.9</w:t>
            </w:r>
          </w:p>
          <w:p w14:paraId="6340D737" w14:textId="77777777" w:rsidR="003336F8" w:rsidRPr="00A251FD" w:rsidRDefault="003336F8" w:rsidP="006B40E1">
            <w:pPr>
              <w:jc w:val="center"/>
            </w:pPr>
          </w:p>
        </w:tc>
        <w:tc>
          <w:tcPr>
            <w:tcW w:w="617" w:type="pct"/>
            <w:vAlign w:val="center"/>
          </w:tcPr>
          <w:p w14:paraId="0726218D" w14:textId="77777777" w:rsidR="00D8718C" w:rsidRDefault="00D8718C" w:rsidP="006B40E1">
            <w:pPr>
              <w:spacing w:after="120" w:line="240" w:lineRule="auto"/>
              <w:jc w:val="center"/>
              <w:rPr>
                <w:lang w:eastAsia="en-US"/>
              </w:rPr>
            </w:pPr>
          </w:p>
          <w:p w14:paraId="498D38BD" w14:textId="54C43B5C" w:rsidR="003336F8" w:rsidRPr="00A251FD" w:rsidRDefault="003336F8" w:rsidP="006B40E1">
            <w:pPr>
              <w:spacing w:after="120" w:line="240" w:lineRule="auto"/>
              <w:jc w:val="center"/>
              <w:rPr>
                <w:lang w:eastAsia="en-US"/>
              </w:rPr>
            </w:pPr>
            <w:r w:rsidRPr="00A251FD">
              <w:rPr>
                <w:lang w:eastAsia="en-US"/>
              </w:rPr>
              <w:t>8.9</w:t>
            </w:r>
          </w:p>
          <w:p w14:paraId="49C689BE" w14:textId="77777777" w:rsidR="003336F8" w:rsidRPr="00A251FD" w:rsidRDefault="003336F8" w:rsidP="006B40E1">
            <w:pPr>
              <w:jc w:val="center"/>
            </w:pPr>
          </w:p>
        </w:tc>
      </w:tr>
    </w:tbl>
    <w:p w14:paraId="5E0EFC3F" w14:textId="77777777" w:rsidR="00732428" w:rsidRPr="00A251FD" w:rsidRDefault="00732428" w:rsidP="00732428">
      <w:pPr>
        <w:pStyle w:val="Caption"/>
      </w:pPr>
    </w:p>
    <w:p w14:paraId="7E06FA4A" w14:textId="3B58F07F" w:rsidR="00475D20" w:rsidRPr="00A251FD" w:rsidRDefault="00732428" w:rsidP="00732428">
      <w:pPr>
        <w:pStyle w:val="Caption"/>
        <w:rPr>
          <w:b/>
          <w:color w:val="612C69"/>
          <w:sz w:val="22"/>
          <w:szCs w:val="22"/>
        </w:rPr>
      </w:pPr>
      <w:r w:rsidRPr="00A251FD">
        <w:rPr>
          <w:b/>
          <w:color w:val="612C69"/>
          <w:sz w:val="22"/>
          <w:szCs w:val="22"/>
        </w:rPr>
        <w:t xml:space="preserve">Table </w:t>
      </w:r>
      <w:r w:rsidRPr="00A251FD">
        <w:rPr>
          <w:b/>
          <w:color w:val="612C69"/>
          <w:sz w:val="22"/>
          <w:szCs w:val="22"/>
        </w:rPr>
        <w:fldChar w:fldCharType="begin"/>
      </w:r>
      <w:r w:rsidRPr="00A251FD">
        <w:rPr>
          <w:b/>
          <w:color w:val="612C69"/>
          <w:sz w:val="22"/>
          <w:szCs w:val="22"/>
        </w:rPr>
        <w:instrText xml:space="preserve"> SEQ Table \* ARABIC </w:instrText>
      </w:r>
      <w:r w:rsidRPr="00A251FD">
        <w:rPr>
          <w:b/>
          <w:color w:val="612C69"/>
          <w:sz w:val="22"/>
          <w:szCs w:val="22"/>
        </w:rPr>
        <w:fldChar w:fldCharType="separate"/>
      </w:r>
      <w:r w:rsidRPr="00A251FD">
        <w:rPr>
          <w:b/>
          <w:noProof/>
          <w:color w:val="612C69"/>
          <w:sz w:val="22"/>
          <w:szCs w:val="22"/>
        </w:rPr>
        <w:t>1</w:t>
      </w:r>
      <w:r w:rsidRPr="00A251FD">
        <w:rPr>
          <w:b/>
          <w:color w:val="612C69"/>
          <w:sz w:val="22"/>
          <w:szCs w:val="22"/>
        </w:rPr>
        <w:fldChar w:fldCharType="end"/>
      </w:r>
      <w:r w:rsidRPr="00A251FD">
        <w:rPr>
          <w:b/>
          <w:color w:val="612C69"/>
          <w:sz w:val="22"/>
          <w:szCs w:val="22"/>
        </w:rPr>
        <w:t xml:space="preserve"> Remote Locality Assistance Allowances Comparison</w:t>
      </w:r>
    </w:p>
    <w:tbl>
      <w:tblPr>
        <w:tblStyle w:val="TableGrid1"/>
        <w:tblW w:w="5000" w:type="pct"/>
        <w:tblLook w:val="04A0" w:firstRow="1" w:lastRow="0" w:firstColumn="1" w:lastColumn="0" w:noHBand="0" w:noVBand="1"/>
        <w:tblCaption w:val="Remote Locality Assistance Allowances Comparison"/>
        <w:tblDescription w:val="The table shows the increased alowances between the 2019 EA and 2024 EA by grades 1-4."/>
      </w:tblPr>
      <w:tblGrid>
        <w:gridCol w:w="1721"/>
        <w:gridCol w:w="6279"/>
        <w:gridCol w:w="6276"/>
      </w:tblGrid>
      <w:tr w:rsidR="003336F8" w:rsidRPr="00A251FD" w14:paraId="7634F737" w14:textId="77777777" w:rsidTr="005C3B99">
        <w:trPr>
          <w:cantSplit/>
          <w:tblHeader/>
        </w:trPr>
        <w:tc>
          <w:tcPr>
            <w:tcW w:w="603" w:type="pct"/>
            <w:shd w:val="clear" w:color="auto" w:fill="98C11D"/>
          </w:tcPr>
          <w:p w14:paraId="3C6CA37E" w14:textId="65B4FC10" w:rsidR="003336F8" w:rsidRPr="00A251FD" w:rsidRDefault="00732428" w:rsidP="00732428">
            <w:pPr>
              <w:spacing w:before="120" w:after="120" w:line="240" w:lineRule="auto"/>
              <w:rPr>
                <w:b/>
                <w:bCs/>
              </w:rPr>
            </w:pPr>
            <w:r w:rsidRPr="00A251FD">
              <w:rPr>
                <w:b/>
                <w:bCs/>
              </w:rPr>
              <w:t xml:space="preserve">Grade </w:t>
            </w:r>
          </w:p>
        </w:tc>
        <w:tc>
          <w:tcPr>
            <w:tcW w:w="2199" w:type="pct"/>
            <w:shd w:val="clear" w:color="auto" w:fill="98C11D"/>
          </w:tcPr>
          <w:p w14:paraId="77B6FA2C" w14:textId="18F2F9FA" w:rsidR="003336F8" w:rsidRPr="00A251FD" w:rsidRDefault="003336F8" w:rsidP="003336F8">
            <w:pPr>
              <w:spacing w:before="120" w:after="120" w:line="240" w:lineRule="auto"/>
              <w:rPr>
                <w:b/>
                <w:bCs/>
              </w:rPr>
            </w:pPr>
            <w:r w:rsidRPr="00A251FD">
              <w:rPr>
                <w:b/>
                <w:bCs/>
              </w:rPr>
              <w:t>2019 EA: With dependants/without dependants</w:t>
            </w:r>
          </w:p>
        </w:tc>
        <w:tc>
          <w:tcPr>
            <w:tcW w:w="2199" w:type="pct"/>
            <w:shd w:val="clear" w:color="auto" w:fill="98C11D"/>
          </w:tcPr>
          <w:p w14:paraId="41A87247" w14:textId="77777777" w:rsidR="003336F8" w:rsidRPr="00A251FD" w:rsidRDefault="003336F8" w:rsidP="003336F8">
            <w:pPr>
              <w:spacing w:before="120" w:after="120" w:line="240" w:lineRule="auto"/>
              <w:rPr>
                <w:b/>
                <w:bCs/>
              </w:rPr>
            </w:pPr>
            <w:r w:rsidRPr="00A251FD">
              <w:rPr>
                <w:b/>
                <w:bCs/>
              </w:rPr>
              <w:t>2024 EA: With dependants/without dependants</w:t>
            </w:r>
          </w:p>
        </w:tc>
      </w:tr>
      <w:tr w:rsidR="003336F8" w:rsidRPr="00A251FD" w14:paraId="2AB93BAF" w14:textId="77777777" w:rsidTr="005C3B99">
        <w:trPr>
          <w:cantSplit/>
        </w:trPr>
        <w:tc>
          <w:tcPr>
            <w:tcW w:w="603" w:type="pct"/>
          </w:tcPr>
          <w:p w14:paraId="6DD3E56C" w14:textId="68E5E5A6" w:rsidR="003336F8" w:rsidRPr="00A251FD" w:rsidRDefault="00732428" w:rsidP="003336F8">
            <w:pPr>
              <w:spacing w:before="120" w:after="120" w:line="240" w:lineRule="auto"/>
            </w:pPr>
            <w:r w:rsidRPr="00A251FD">
              <w:t>1</w:t>
            </w:r>
          </w:p>
        </w:tc>
        <w:tc>
          <w:tcPr>
            <w:tcW w:w="2199" w:type="pct"/>
          </w:tcPr>
          <w:p w14:paraId="68FCE89F" w14:textId="2EC8F10A" w:rsidR="003336F8" w:rsidRPr="00A251FD" w:rsidRDefault="003336F8" w:rsidP="003336F8">
            <w:pPr>
              <w:spacing w:before="120" w:after="120" w:line="240" w:lineRule="auto"/>
            </w:pPr>
            <w:r w:rsidRPr="00A251FD">
              <w:t>$4,004/$3,030</w:t>
            </w:r>
          </w:p>
        </w:tc>
        <w:tc>
          <w:tcPr>
            <w:tcW w:w="2199" w:type="pct"/>
          </w:tcPr>
          <w:p w14:paraId="49750E7A" w14:textId="77777777" w:rsidR="003336F8" w:rsidRPr="00A251FD" w:rsidRDefault="003336F8" w:rsidP="003336F8">
            <w:pPr>
              <w:spacing w:before="120" w:after="120" w:line="240" w:lineRule="auto"/>
            </w:pPr>
            <w:r w:rsidRPr="00A251FD">
              <w:t>$4,164/$3,151</w:t>
            </w:r>
          </w:p>
        </w:tc>
      </w:tr>
      <w:tr w:rsidR="003336F8" w:rsidRPr="00A251FD" w14:paraId="307915EF" w14:textId="77777777" w:rsidTr="005C3B99">
        <w:trPr>
          <w:cantSplit/>
        </w:trPr>
        <w:tc>
          <w:tcPr>
            <w:tcW w:w="603" w:type="pct"/>
          </w:tcPr>
          <w:p w14:paraId="4BC90C68" w14:textId="19767839" w:rsidR="003336F8" w:rsidRPr="00A251FD" w:rsidRDefault="00732428" w:rsidP="003336F8">
            <w:pPr>
              <w:spacing w:before="120" w:after="120" w:line="240" w:lineRule="auto"/>
            </w:pPr>
            <w:r w:rsidRPr="00A251FD">
              <w:t>2</w:t>
            </w:r>
          </w:p>
        </w:tc>
        <w:tc>
          <w:tcPr>
            <w:tcW w:w="2199" w:type="pct"/>
          </w:tcPr>
          <w:p w14:paraId="1F33687E" w14:textId="75154370" w:rsidR="003336F8" w:rsidRPr="00A251FD" w:rsidRDefault="003336F8" w:rsidP="003336F8">
            <w:pPr>
              <w:spacing w:before="120" w:after="120" w:line="240" w:lineRule="auto"/>
            </w:pPr>
            <w:r w:rsidRPr="00A251FD">
              <w:t>$7,575/$6,492</w:t>
            </w:r>
          </w:p>
        </w:tc>
        <w:tc>
          <w:tcPr>
            <w:tcW w:w="2199" w:type="pct"/>
          </w:tcPr>
          <w:p w14:paraId="123C5AEE" w14:textId="77777777" w:rsidR="003336F8" w:rsidRPr="00A251FD" w:rsidRDefault="003336F8" w:rsidP="003336F8">
            <w:pPr>
              <w:spacing w:before="120" w:after="120" w:line="240" w:lineRule="auto"/>
            </w:pPr>
            <w:r w:rsidRPr="00A251FD">
              <w:t>$7,878/$6,752</w:t>
            </w:r>
          </w:p>
        </w:tc>
      </w:tr>
      <w:tr w:rsidR="003336F8" w:rsidRPr="00A251FD" w14:paraId="47A71B82" w14:textId="77777777" w:rsidTr="005C3B99">
        <w:trPr>
          <w:cantSplit/>
        </w:trPr>
        <w:tc>
          <w:tcPr>
            <w:tcW w:w="603" w:type="pct"/>
          </w:tcPr>
          <w:p w14:paraId="12E53F31" w14:textId="0D2A6BA4" w:rsidR="003336F8" w:rsidRPr="00A251FD" w:rsidRDefault="00732428" w:rsidP="003336F8">
            <w:pPr>
              <w:spacing w:before="120" w:after="120" w:line="240" w:lineRule="auto"/>
            </w:pPr>
            <w:r w:rsidRPr="00A251FD">
              <w:t>3</w:t>
            </w:r>
          </w:p>
        </w:tc>
        <w:tc>
          <w:tcPr>
            <w:tcW w:w="2199" w:type="pct"/>
          </w:tcPr>
          <w:p w14:paraId="304B3184" w14:textId="7AEDE132" w:rsidR="003336F8" w:rsidRPr="00A251FD" w:rsidRDefault="003336F8" w:rsidP="003336F8">
            <w:pPr>
              <w:spacing w:before="120" w:after="120" w:line="240" w:lineRule="auto"/>
            </w:pPr>
            <w:r w:rsidRPr="00A251FD">
              <w:t>$11,687/$7,900</w:t>
            </w:r>
          </w:p>
        </w:tc>
        <w:tc>
          <w:tcPr>
            <w:tcW w:w="2199" w:type="pct"/>
          </w:tcPr>
          <w:p w14:paraId="4FB75790" w14:textId="77777777" w:rsidR="003336F8" w:rsidRPr="00A251FD" w:rsidRDefault="003336F8" w:rsidP="003336F8">
            <w:pPr>
              <w:spacing w:before="120" w:after="120" w:line="240" w:lineRule="auto"/>
            </w:pPr>
            <w:r w:rsidRPr="00A251FD">
              <w:t>$12,154/$8,216</w:t>
            </w:r>
          </w:p>
        </w:tc>
      </w:tr>
      <w:tr w:rsidR="003336F8" w:rsidRPr="00A251FD" w14:paraId="42C4A331" w14:textId="77777777" w:rsidTr="005C3B99">
        <w:trPr>
          <w:cantSplit/>
        </w:trPr>
        <w:tc>
          <w:tcPr>
            <w:tcW w:w="603" w:type="pct"/>
          </w:tcPr>
          <w:p w14:paraId="01D367D9" w14:textId="4074B024" w:rsidR="003336F8" w:rsidRPr="00A251FD" w:rsidRDefault="00732428" w:rsidP="003336F8">
            <w:pPr>
              <w:spacing w:before="120" w:after="120" w:line="240" w:lineRule="auto"/>
            </w:pPr>
            <w:r w:rsidRPr="00A251FD">
              <w:lastRenderedPageBreak/>
              <w:t>4</w:t>
            </w:r>
          </w:p>
        </w:tc>
        <w:tc>
          <w:tcPr>
            <w:tcW w:w="2199" w:type="pct"/>
          </w:tcPr>
          <w:p w14:paraId="70D72F27" w14:textId="7FB5F05F" w:rsidR="003336F8" w:rsidRPr="00A251FD" w:rsidRDefault="003336F8" w:rsidP="003336F8">
            <w:pPr>
              <w:spacing w:before="120" w:after="120" w:line="240" w:lineRule="auto"/>
            </w:pPr>
            <w:r w:rsidRPr="00A251FD">
              <w:t>$15,474/$10,605</w:t>
            </w:r>
          </w:p>
        </w:tc>
        <w:tc>
          <w:tcPr>
            <w:tcW w:w="2199" w:type="pct"/>
          </w:tcPr>
          <w:p w14:paraId="0A38DEB6" w14:textId="77777777" w:rsidR="003336F8" w:rsidRPr="00A251FD" w:rsidRDefault="003336F8" w:rsidP="003336F8">
            <w:pPr>
              <w:spacing w:before="120" w:after="120" w:line="240" w:lineRule="auto"/>
            </w:pPr>
            <w:r w:rsidRPr="00A251FD">
              <w:t>$16,093/$11,029</w:t>
            </w:r>
          </w:p>
        </w:tc>
      </w:tr>
    </w:tbl>
    <w:p w14:paraId="156887C4" w14:textId="77777777" w:rsidR="00475D20" w:rsidRPr="00A251FD" w:rsidRDefault="00475D20" w:rsidP="00CE786C">
      <w:pPr>
        <w:pStyle w:val="Heading2"/>
      </w:pPr>
    </w:p>
    <w:p w14:paraId="671E69DA" w14:textId="572A8621" w:rsidR="00CE786C" w:rsidRPr="00A251FD" w:rsidRDefault="00CE786C" w:rsidP="00CE786C">
      <w:pPr>
        <w:pStyle w:val="Heading2"/>
      </w:pPr>
      <w:r w:rsidRPr="00A251FD">
        <w:t xml:space="preserve">Part 9: Resignation, Retirement, Redeployment, Redundancy and Reduction </w:t>
      </w:r>
    </w:p>
    <w:tbl>
      <w:tblPr>
        <w:tblStyle w:val="TableGrid"/>
        <w:tblW w:w="5000" w:type="pct"/>
        <w:jc w:val="center"/>
        <w:tblLook w:val="04A0" w:firstRow="1" w:lastRow="0" w:firstColumn="1" w:lastColumn="0" w:noHBand="0" w:noVBand="1"/>
        <w:tblCaption w:val="EA Fact Sheet - Key Features"/>
        <w:tblDescription w:val="EA Fact Sheet - Key Features"/>
      </w:tblPr>
      <w:tblGrid>
        <w:gridCol w:w="3029"/>
        <w:gridCol w:w="7723"/>
        <w:gridCol w:w="1762"/>
        <w:gridCol w:w="1762"/>
      </w:tblGrid>
      <w:tr w:rsidR="00A251FD" w:rsidRPr="00A251FD" w14:paraId="59C46C0D" w14:textId="7A5EBE90" w:rsidTr="006B40E1">
        <w:trPr>
          <w:trHeight w:val="416"/>
          <w:tblHeader/>
          <w:jc w:val="center"/>
        </w:trPr>
        <w:tc>
          <w:tcPr>
            <w:tcW w:w="1061" w:type="pct"/>
            <w:shd w:val="clear" w:color="auto" w:fill="943C84"/>
            <w:vAlign w:val="center"/>
          </w:tcPr>
          <w:p w14:paraId="753E653A" w14:textId="2A6FF4D5" w:rsidR="00CE786C" w:rsidRPr="00A251FD" w:rsidRDefault="00CE786C" w:rsidP="006B40E1">
            <w:pPr>
              <w:spacing w:after="120" w:line="240" w:lineRule="auto"/>
              <w:rPr>
                <w:b/>
                <w:color w:val="FFFFFF" w:themeColor="background1"/>
                <w:lang w:eastAsia="en-US"/>
              </w:rPr>
            </w:pPr>
            <w:r w:rsidRPr="00A251FD">
              <w:rPr>
                <w:b/>
                <w:color w:val="FFFFFF" w:themeColor="background1"/>
                <w:lang w:eastAsia="en-US"/>
              </w:rPr>
              <w:t>Employment Condition</w:t>
            </w:r>
          </w:p>
        </w:tc>
        <w:tc>
          <w:tcPr>
            <w:tcW w:w="2705" w:type="pct"/>
            <w:shd w:val="clear" w:color="auto" w:fill="943C84"/>
            <w:vAlign w:val="center"/>
          </w:tcPr>
          <w:p w14:paraId="75BE638B" w14:textId="4021CD25" w:rsidR="00CE786C" w:rsidRPr="00A251FD" w:rsidRDefault="00CE786C" w:rsidP="006B40E1">
            <w:pPr>
              <w:spacing w:after="120" w:line="240" w:lineRule="auto"/>
              <w:rPr>
                <w:b/>
                <w:color w:val="FFFFFF" w:themeColor="background1"/>
                <w:lang w:eastAsia="en-US"/>
              </w:rPr>
            </w:pPr>
            <w:r w:rsidRPr="00A251FD">
              <w:rPr>
                <w:b/>
                <w:color w:val="FFFFFF" w:themeColor="background1"/>
                <w:lang w:eastAsia="en-US"/>
              </w:rPr>
              <w:t xml:space="preserve">Explanation of key changes from 2019 EA  </w:t>
            </w:r>
          </w:p>
        </w:tc>
        <w:tc>
          <w:tcPr>
            <w:tcW w:w="617" w:type="pct"/>
            <w:shd w:val="clear" w:color="auto" w:fill="943C84"/>
            <w:vAlign w:val="center"/>
          </w:tcPr>
          <w:p w14:paraId="23FDC6E8" w14:textId="15D2F2D8" w:rsidR="00CE786C" w:rsidRPr="00A251FD" w:rsidRDefault="00CE786C" w:rsidP="006B40E1">
            <w:pPr>
              <w:spacing w:after="120" w:line="240" w:lineRule="auto"/>
              <w:jc w:val="center"/>
              <w:rPr>
                <w:b/>
                <w:color w:val="FFFFFF" w:themeColor="background1"/>
                <w:lang w:eastAsia="en-US"/>
              </w:rPr>
            </w:pPr>
            <w:r w:rsidRPr="00A251FD">
              <w:rPr>
                <w:b/>
                <w:color w:val="FFFFFF" w:themeColor="background1"/>
                <w:lang w:eastAsia="en-US"/>
              </w:rPr>
              <w:t>2024 EA clause</w:t>
            </w:r>
          </w:p>
        </w:tc>
        <w:tc>
          <w:tcPr>
            <w:tcW w:w="617" w:type="pct"/>
            <w:shd w:val="clear" w:color="auto" w:fill="943C84"/>
            <w:vAlign w:val="center"/>
          </w:tcPr>
          <w:p w14:paraId="1FC18B02" w14:textId="6F6EC456" w:rsidR="00CE786C" w:rsidRPr="00A251FD" w:rsidRDefault="00CE786C" w:rsidP="006B40E1">
            <w:pPr>
              <w:spacing w:after="120" w:line="240" w:lineRule="auto"/>
              <w:jc w:val="center"/>
              <w:rPr>
                <w:b/>
                <w:color w:val="FFFFFF" w:themeColor="background1"/>
                <w:lang w:eastAsia="en-US"/>
              </w:rPr>
            </w:pPr>
            <w:r w:rsidRPr="00A251FD">
              <w:rPr>
                <w:b/>
                <w:color w:val="FFFFFF" w:themeColor="background1"/>
                <w:lang w:eastAsia="en-US"/>
              </w:rPr>
              <w:t>2019 EA clause</w:t>
            </w:r>
          </w:p>
        </w:tc>
      </w:tr>
      <w:tr w:rsidR="00CE786C" w:rsidRPr="00A251FD" w14:paraId="605295BF" w14:textId="5EFE8665" w:rsidTr="006B40E1">
        <w:trPr>
          <w:trHeight w:val="1173"/>
          <w:jc w:val="center"/>
        </w:trPr>
        <w:tc>
          <w:tcPr>
            <w:tcW w:w="1061" w:type="pct"/>
            <w:vAlign w:val="center"/>
          </w:tcPr>
          <w:p w14:paraId="2FE7F17F" w14:textId="77777777" w:rsidR="00CE786C" w:rsidRPr="00A251FD" w:rsidRDefault="00CE786C" w:rsidP="00CE786C">
            <w:pPr>
              <w:spacing w:after="120" w:line="240" w:lineRule="auto"/>
              <w:rPr>
                <w:b/>
                <w:bCs/>
                <w:lang w:eastAsia="en-US"/>
              </w:rPr>
            </w:pPr>
            <w:r w:rsidRPr="00A251FD">
              <w:rPr>
                <w:lang w:eastAsia="en-US"/>
              </w:rPr>
              <w:t xml:space="preserve">Resignation </w:t>
            </w:r>
          </w:p>
          <w:p w14:paraId="5F720A49" w14:textId="26BF1ED1" w:rsidR="00CE786C" w:rsidRPr="00A251FD" w:rsidRDefault="00CE786C" w:rsidP="004940D8"/>
        </w:tc>
        <w:tc>
          <w:tcPr>
            <w:tcW w:w="2705" w:type="pct"/>
            <w:vAlign w:val="center"/>
          </w:tcPr>
          <w:p w14:paraId="28A26826" w14:textId="77777777" w:rsidR="00CE786C" w:rsidRPr="00A251FD" w:rsidRDefault="00CE786C" w:rsidP="00CE786C">
            <w:pPr>
              <w:spacing w:after="120" w:line="240" w:lineRule="auto"/>
            </w:pPr>
            <w:r w:rsidRPr="00A251FD">
              <w:t xml:space="preserve">The 2024 EA provides that an employee may resign from their employment by giving the Commissioner at least 14 days' notice.  The 2019 EA currently provides that where practical, an employee should give at least two weeks' notice in writing. </w:t>
            </w:r>
          </w:p>
          <w:p w14:paraId="798243C1" w14:textId="77777777" w:rsidR="00CE786C" w:rsidRPr="00A251FD" w:rsidRDefault="00CE786C" w:rsidP="00CE786C">
            <w:pPr>
              <w:spacing w:after="120" w:line="240" w:lineRule="auto"/>
            </w:pPr>
            <w:r w:rsidRPr="00A251FD">
              <w:t xml:space="preserve">The 2024 EA also provides that: </w:t>
            </w:r>
          </w:p>
          <w:p w14:paraId="156E4E09" w14:textId="09467BE7" w:rsidR="00CE786C" w:rsidRPr="00A251FD" w:rsidRDefault="00CE786C" w:rsidP="006D7502">
            <w:pPr>
              <w:pStyle w:val="ListParagraph"/>
              <w:numPr>
                <w:ilvl w:val="0"/>
                <w:numId w:val="27"/>
              </w:numPr>
              <w:spacing w:before="120" w:after="120" w:line="240" w:lineRule="auto"/>
            </w:pPr>
            <w:r w:rsidRPr="00A251FD">
              <w:t>at the instigation of the Commissioner, the resignation may take effect at an earlier date within the notice period and the employee will receive compensation in lieu of the notice period which is not worked</w:t>
            </w:r>
            <w:r w:rsidR="00732428" w:rsidRPr="00A251FD">
              <w:t>; and</w:t>
            </w:r>
          </w:p>
          <w:p w14:paraId="1273196D" w14:textId="43B459C1" w:rsidR="00CE786C" w:rsidRPr="00A251FD" w:rsidRDefault="00CE786C" w:rsidP="00860860">
            <w:pPr>
              <w:pStyle w:val="ListParagraph"/>
              <w:numPr>
                <w:ilvl w:val="0"/>
                <w:numId w:val="27"/>
              </w:numPr>
            </w:pPr>
            <w:r w:rsidRPr="00A251FD">
              <w:t>the Commissioner has the discretion to agree to a shorter period of notice or to waive the requirement to give notice.</w:t>
            </w:r>
          </w:p>
        </w:tc>
        <w:tc>
          <w:tcPr>
            <w:tcW w:w="617" w:type="pct"/>
            <w:vAlign w:val="center"/>
          </w:tcPr>
          <w:p w14:paraId="1FC09492" w14:textId="5EE44054" w:rsidR="00CE786C" w:rsidRPr="00A251FD" w:rsidRDefault="00CE786C" w:rsidP="006B40E1">
            <w:pPr>
              <w:spacing w:after="120" w:line="240" w:lineRule="auto"/>
              <w:jc w:val="center"/>
              <w:rPr>
                <w:lang w:eastAsia="en-US"/>
              </w:rPr>
            </w:pPr>
            <w:r w:rsidRPr="00A251FD">
              <w:rPr>
                <w:lang w:eastAsia="en-US"/>
              </w:rPr>
              <w:t>8.10</w:t>
            </w:r>
            <w:r w:rsidR="00732428" w:rsidRPr="00A251FD">
              <w:rPr>
                <w:lang w:eastAsia="en-US"/>
              </w:rPr>
              <w:t xml:space="preserve"> – 8.12</w:t>
            </w:r>
          </w:p>
          <w:p w14:paraId="64A31B13" w14:textId="54D38647" w:rsidR="00CE786C" w:rsidRPr="00A251FD" w:rsidRDefault="00CE786C" w:rsidP="006B40E1">
            <w:pPr>
              <w:jc w:val="center"/>
            </w:pPr>
          </w:p>
        </w:tc>
        <w:tc>
          <w:tcPr>
            <w:tcW w:w="617" w:type="pct"/>
            <w:vAlign w:val="center"/>
          </w:tcPr>
          <w:p w14:paraId="4DF91FAD" w14:textId="77777777" w:rsidR="00860860" w:rsidRPr="00A251FD" w:rsidRDefault="00860860" w:rsidP="006B40E1">
            <w:pPr>
              <w:spacing w:after="120" w:line="240" w:lineRule="auto"/>
              <w:jc w:val="center"/>
              <w:rPr>
                <w:lang w:eastAsia="en-US"/>
              </w:rPr>
            </w:pPr>
            <w:r w:rsidRPr="00A251FD">
              <w:rPr>
                <w:lang w:eastAsia="en-US"/>
              </w:rPr>
              <w:t>9.1</w:t>
            </w:r>
          </w:p>
          <w:p w14:paraId="6576B325" w14:textId="77777777" w:rsidR="00CE786C" w:rsidRPr="00A251FD" w:rsidRDefault="00CE786C" w:rsidP="006B40E1">
            <w:pPr>
              <w:jc w:val="center"/>
            </w:pPr>
          </w:p>
        </w:tc>
      </w:tr>
      <w:tr w:rsidR="00CE786C" w:rsidRPr="00A251FD" w14:paraId="29A4A23E" w14:textId="15C38635" w:rsidTr="006B40E1">
        <w:trPr>
          <w:trHeight w:val="1173"/>
          <w:jc w:val="center"/>
        </w:trPr>
        <w:tc>
          <w:tcPr>
            <w:tcW w:w="1061" w:type="pct"/>
            <w:vAlign w:val="center"/>
          </w:tcPr>
          <w:p w14:paraId="09544A79" w14:textId="77777777" w:rsidR="00CE786C" w:rsidRPr="00A251FD" w:rsidRDefault="00CE786C" w:rsidP="00CE786C">
            <w:pPr>
              <w:spacing w:after="120" w:line="240" w:lineRule="auto"/>
              <w:rPr>
                <w:lang w:eastAsia="en-US"/>
              </w:rPr>
            </w:pPr>
            <w:r w:rsidRPr="00A251FD">
              <w:rPr>
                <w:lang w:eastAsia="en-US"/>
              </w:rPr>
              <w:t>Payment on death of an employee</w:t>
            </w:r>
          </w:p>
          <w:p w14:paraId="5B47A52A" w14:textId="77CC2862" w:rsidR="00CE786C" w:rsidRPr="00A251FD" w:rsidRDefault="00CE786C" w:rsidP="004940D8"/>
        </w:tc>
        <w:tc>
          <w:tcPr>
            <w:tcW w:w="2705" w:type="pct"/>
            <w:vAlign w:val="center"/>
          </w:tcPr>
          <w:p w14:paraId="63E17CB9" w14:textId="77777777" w:rsidR="00CE786C" w:rsidRPr="00A251FD" w:rsidRDefault="00CE786C" w:rsidP="00CE786C">
            <w:pPr>
              <w:spacing w:after="120" w:line="240" w:lineRule="auto"/>
            </w:pPr>
            <w:r w:rsidRPr="00A251FD">
              <w:t>The 2024 EA includes further detail about payment on death of an employee, including that:</w:t>
            </w:r>
          </w:p>
          <w:p w14:paraId="5C7ABA18" w14:textId="26A84240" w:rsidR="00CE786C" w:rsidRPr="00A251FD" w:rsidRDefault="00CE786C" w:rsidP="006D7502">
            <w:pPr>
              <w:pStyle w:val="ListParagraph"/>
              <w:numPr>
                <w:ilvl w:val="0"/>
                <w:numId w:val="5"/>
              </w:numPr>
              <w:spacing w:before="120" w:after="120" w:line="240" w:lineRule="auto"/>
            </w:pPr>
            <w:r w:rsidRPr="00A251FD">
              <w:t>where legislation provides specifically for amounts calculated based on the death of an employee, the payment made will be that amount</w:t>
            </w:r>
            <w:r w:rsidR="00732428" w:rsidRPr="00A251FD">
              <w:t>; and</w:t>
            </w:r>
          </w:p>
          <w:p w14:paraId="10D16213" w14:textId="69ED3925" w:rsidR="00CE786C" w:rsidRPr="00A251FD" w:rsidRDefault="00CE786C" w:rsidP="0007513B">
            <w:pPr>
              <w:pStyle w:val="ListParagraph"/>
              <w:numPr>
                <w:ilvl w:val="0"/>
                <w:numId w:val="5"/>
              </w:numPr>
            </w:pPr>
            <w:r w:rsidRPr="00A251FD">
              <w:t>if payment has not been made within a year of a former employee's death, it should be made to their legal representative.</w:t>
            </w:r>
          </w:p>
        </w:tc>
        <w:tc>
          <w:tcPr>
            <w:tcW w:w="617" w:type="pct"/>
            <w:vAlign w:val="center"/>
          </w:tcPr>
          <w:p w14:paraId="3994162F" w14:textId="77777777" w:rsidR="00CE786C" w:rsidRPr="00A251FD" w:rsidRDefault="00CE786C" w:rsidP="006B40E1">
            <w:pPr>
              <w:spacing w:after="120" w:line="240" w:lineRule="auto"/>
              <w:jc w:val="center"/>
              <w:rPr>
                <w:lang w:eastAsia="en-US"/>
              </w:rPr>
            </w:pPr>
            <w:r w:rsidRPr="00A251FD">
              <w:rPr>
                <w:lang w:eastAsia="en-US"/>
              </w:rPr>
              <w:t>8.54</w:t>
            </w:r>
          </w:p>
          <w:p w14:paraId="4BAC3CC8" w14:textId="6022AD1C" w:rsidR="00CE786C" w:rsidRPr="00A251FD" w:rsidRDefault="00CE786C" w:rsidP="006B40E1">
            <w:pPr>
              <w:jc w:val="center"/>
            </w:pPr>
          </w:p>
        </w:tc>
        <w:tc>
          <w:tcPr>
            <w:tcW w:w="617" w:type="pct"/>
            <w:vAlign w:val="center"/>
          </w:tcPr>
          <w:p w14:paraId="7D89DB1B" w14:textId="77777777" w:rsidR="00860860" w:rsidRPr="00A251FD" w:rsidRDefault="00860860" w:rsidP="006B40E1">
            <w:pPr>
              <w:spacing w:after="120" w:line="240" w:lineRule="auto"/>
              <w:jc w:val="center"/>
              <w:rPr>
                <w:lang w:eastAsia="en-US"/>
              </w:rPr>
            </w:pPr>
            <w:r w:rsidRPr="00A251FD">
              <w:rPr>
                <w:lang w:eastAsia="en-US"/>
              </w:rPr>
              <w:t>3.38</w:t>
            </w:r>
          </w:p>
          <w:p w14:paraId="09006B16" w14:textId="77777777" w:rsidR="00CE786C" w:rsidRPr="00A251FD" w:rsidRDefault="00CE786C" w:rsidP="006B40E1">
            <w:pPr>
              <w:jc w:val="center"/>
            </w:pPr>
          </w:p>
        </w:tc>
      </w:tr>
    </w:tbl>
    <w:p w14:paraId="7A8649DC" w14:textId="77777777" w:rsidR="00CE786C" w:rsidRPr="00A251FD" w:rsidRDefault="00CE786C" w:rsidP="00CE786C">
      <w:pPr>
        <w:pStyle w:val="Heading2"/>
      </w:pPr>
      <w:r w:rsidRPr="00A251FD">
        <w:lastRenderedPageBreak/>
        <w:t>Part 10: Consultation</w:t>
      </w:r>
    </w:p>
    <w:tbl>
      <w:tblPr>
        <w:tblStyle w:val="TableGrid"/>
        <w:tblW w:w="5000" w:type="pct"/>
        <w:jc w:val="center"/>
        <w:tblLook w:val="04A0" w:firstRow="1" w:lastRow="0" w:firstColumn="1" w:lastColumn="0" w:noHBand="0" w:noVBand="1"/>
        <w:tblCaption w:val="EA Fact Sheet - Key Features"/>
        <w:tblDescription w:val="EA Fact Sheet - Key Features"/>
      </w:tblPr>
      <w:tblGrid>
        <w:gridCol w:w="3029"/>
        <w:gridCol w:w="7723"/>
        <w:gridCol w:w="1762"/>
        <w:gridCol w:w="1762"/>
      </w:tblGrid>
      <w:tr w:rsidR="00A251FD" w:rsidRPr="00A251FD" w14:paraId="76303CDB" w14:textId="45C8D58E" w:rsidTr="006B40E1">
        <w:trPr>
          <w:trHeight w:val="416"/>
          <w:tblHeader/>
          <w:jc w:val="center"/>
        </w:trPr>
        <w:tc>
          <w:tcPr>
            <w:tcW w:w="1061" w:type="pct"/>
            <w:shd w:val="clear" w:color="auto" w:fill="943C84"/>
            <w:vAlign w:val="center"/>
          </w:tcPr>
          <w:p w14:paraId="2ACD74A1" w14:textId="06B95A57" w:rsidR="00727D7A" w:rsidRPr="00A251FD" w:rsidRDefault="00727D7A" w:rsidP="00A251FD">
            <w:pPr>
              <w:spacing w:after="120" w:line="240" w:lineRule="auto"/>
              <w:rPr>
                <w:b/>
                <w:color w:val="FFFFFF" w:themeColor="background1"/>
                <w:lang w:eastAsia="en-US"/>
              </w:rPr>
            </w:pPr>
            <w:r w:rsidRPr="00A251FD">
              <w:rPr>
                <w:b/>
                <w:color w:val="FFFFFF" w:themeColor="background1"/>
                <w:lang w:eastAsia="en-US"/>
              </w:rPr>
              <w:t>Employment Condition</w:t>
            </w:r>
          </w:p>
        </w:tc>
        <w:tc>
          <w:tcPr>
            <w:tcW w:w="2705" w:type="pct"/>
            <w:shd w:val="clear" w:color="auto" w:fill="943C84"/>
            <w:vAlign w:val="center"/>
          </w:tcPr>
          <w:p w14:paraId="26FFFEC9" w14:textId="7DC9F61D" w:rsidR="00727D7A" w:rsidRPr="00A251FD" w:rsidRDefault="00727D7A" w:rsidP="00A251FD">
            <w:pPr>
              <w:spacing w:after="120" w:line="240" w:lineRule="auto"/>
              <w:rPr>
                <w:b/>
                <w:color w:val="FFFFFF" w:themeColor="background1"/>
                <w:lang w:eastAsia="en-US"/>
              </w:rPr>
            </w:pPr>
            <w:r w:rsidRPr="00A251FD">
              <w:rPr>
                <w:b/>
                <w:color w:val="FFFFFF" w:themeColor="background1"/>
                <w:lang w:eastAsia="en-US"/>
              </w:rPr>
              <w:t xml:space="preserve">Explanation of key changes from 2019 EA  </w:t>
            </w:r>
          </w:p>
        </w:tc>
        <w:tc>
          <w:tcPr>
            <w:tcW w:w="617" w:type="pct"/>
            <w:shd w:val="clear" w:color="auto" w:fill="943C84"/>
            <w:vAlign w:val="center"/>
          </w:tcPr>
          <w:p w14:paraId="45DE24A2" w14:textId="3C76E4C1" w:rsidR="00727D7A" w:rsidRPr="00A251FD" w:rsidRDefault="00727D7A" w:rsidP="006B40E1">
            <w:pPr>
              <w:spacing w:after="120" w:line="240" w:lineRule="auto"/>
              <w:jc w:val="center"/>
              <w:rPr>
                <w:b/>
                <w:color w:val="FFFFFF" w:themeColor="background1"/>
                <w:lang w:eastAsia="en-US"/>
              </w:rPr>
            </w:pPr>
            <w:r w:rsidRPr="00A251FD">
              <w:rPr>
                <w:b/>
                <w:color w:val="FFFFFF" w:themeColor="background1"/>
                <w:lang w:eastAsia="en-US"/>
              </w:rPr>
              <w:t>2024 EA clause</w:t>
            </w:r>
          </w:p>
        </w:tc>
        <w:tc>
          <w:tcPr>
            <w:tcW w:w="617" w:type="pct"/>
            <w:shd w:val="clear" w:color="auto" w:fill="943C84"/>
            <w:vAlign w:val="center"/>
          </w:tcPr>
          <w:p w14:paraId="44B57E27" w14:textId="5695A7AD" w:rsidR="00727D7A" w:rsidRPr="00A251FD" w:rsidRDefault="00727D7A" w:rsidP="006B40E1">
            <w:pPr>
              <w:spacing w:after="120" w:line="240" w:lineRule="auto"/>
              <w:jc w:val="center"/>
              <w:rPr>
                <w:b/>
                <w:color w:val="FFFFFF" w:themeColor="background1"/>
                <w:lang w:eastAsia="en-US"/>
              </w:rPr>
            </w:pPr>
            <w:r w:rsidRPr="00A251FD">
              <w:rPr>
                <w:b/>
                <w:color w:val="FFFFFF" w:themeColor="background1"/>
                <w:lang w:eastAsia="en-US"/>
              </w:rPr>
              <w:t>2019 EA clause</w:t>
            </w:r>
          </w:p>
        </w:tc>
      </w:tr>
      <w:tr w:rsidR="00732428" w:rsidRPr="00A251FD" w14:paraId="4A44A776" w14:textId="01B588A5" w:rsidTr="006B40E1">
        <w:trPr>
          <w:trHeight w:val="1173"/>
          <w:jc w:val="center"/>
        </w:trPr>
        <w:tc>
          <w:tcPr>
            <w:tcW w:w="1061" w:type="pct"/>
            <w:vAlign w:val="center"/>
          </w:tcPr>
          <w:p w14:paraId="60DEB6FE" w14:textId="77777777" w:rsidR="00732428" w:rsidRPr="00A251FD" w:rsidRDefault="00732428" w:rsidP="00732428">
            <w:pPr>
              <w:spacing w:after="120" w:line="240" w:lineRule="auto"/>
              <w:rPr>
                <w:b/>
                <w:bCs/>
                <w:lang w:eastAsia="en-US"/>
              </w:rPr>
            </w:pPr>
            <w:r w:rsidRPr="00A251FD">
              <w:rPr>
                <w:lang w:eastAsia="en-US"/>
              </w:rPr>
              <w:t xml:space="preserve">Consultation </w:t>
            </w:r>
          </w:p>
          <w:p w14:paraId="339B8DE1" w14:textId="558C7F69" w:rsidR="00732428" w:rsidRPr="00A251FD" w:rsidRDefault="00732428" w:rsidP="00732428">
            <w:pPr>
              <w:rPr>
                <w:b/>
                <w:bCs/>
              </w:rPr>
            </w:pPr>
          </w:p>
        </w:tc>
        <w:tc>
          <w:tcPr>
            <w:tcW w:w="2705" w:type="pct"/>
            <w:vAlign w:val="center"/>
          </w:tcPr>
          <w:p w14:paraId="3DB2A766" w14:textId="77777777" w:rsidR="00732428" w:rsidRPr="00A251FD" w:rsidRDefault="00732428" w:rsidP="00732428">
            <w:pPr>
              <w:spacing w:after="120" w:line="240" w:lineRule="auto"/>
              <w:rPr>
                <w:lang w:eastAsia="en-US"/>
              </w:rPr>
            </w:pPr>
            <w:r w:rsidRPr="00A251FD">
              <w:rPr>
                <w:lang w:eastAsia="en-US"/>
              </w:rPr>
              <w:t xml:space="preserve">The 2024 EA introduces a recognition of the benefits of consultation and the nature of consultation to be undertaken and principles as to what genuine and effective consultation involves. </w:t>
            </w:r>
          </w:p>
          <w:p w14:paraId="09CCC521" w14:textId="77777777" w:rsidR="00732428" w:rsidRPr="00A251FD" w:rsidRDefault="00732428" w:rsidP="00732428">
            <w:pPr>
              <w:spacing w:after="120" w:line="240" w:lineRule="auto"/>
              <w:rPr>
                <w:lang w:eastAsia="en-US"/>
              </w:rPr>
            </w:pPr>
            <w:r w:rsidRPr="00A251FD">
              <w:rPr>
                <w:lang w:eastAsia="en-US"/>
              </w:rPr>
              <w:t xml:space="preserve">The 2024 EA includes a requirement to consult beyond major changes that are likely to have a significant effect on employees and changes to an employee's regular roster or ordinary hours of work (which is what is provided for by the 2019 EA).  The 2024 EA provides that consultation is also required in relation to: </w:t>
            </w:r>
          </w:p>
          <w:p w14:paraId="0FB34AFF" w14:textId="77777777" w:rsidR="00732428" w:rsidRPr="00A251FD" w:rsidRDefault="00732428" w:rsidP="00732428">
            <w:pPr>
              <w:pStyle w:val="ListParagraph"/>
              <w:numPr>
                <w:ilvl w:val="0"/>
                <w:numId w:val="47"/>
              </w:numPr>
              <w:spacing w:after="120" w:line="240" w:lineRule="auto"/>
              <w:rPr>
                <w:lang w:eastAsia="en-US"/>
              </w:rPr>
            </w:pPr>
            <w:r w:rsidRPr="00A251FD">
              <w:rPr>
                <w:lang w:eastAsia="en-US"/>
              </w:rPr>
              <w:t>changes to work practices which materially alter how an employee carries out their work;</w:t>
            </w:r>
          </w:p>
          <w:p w14:paraId="6C50E177" w14:textId="77777777" w:rsidR="00732428" w:rsidRPr="00A251FD" w:rsidRDefault="00732428" w:rsidP="00732428">
            <w:pPr>
              <w:pStyle w:val="ListParagraph"/>
              <w:numPr>
                <w:ilvl w:val="0"/>
                <w:numId w:val="47"/>
              </w:numPr>
              <w:spacing w:after="120" w:line="240" w:lineRule="auto"/>
              <w:rPr>
                <w:lang w:eastAsia="en-US"/>
              </w:rPr>
            </w:pPr>
            <w:r w:rsidRPr="00A251FD">
              <w:rPr>
                <w:lang w:eastAsia="en-US"/>
              </w:rPr>
              <w:t>changes to the introduction of policies or guidelines relevant to workplace matters (unless the changes are minor or procedural);</w:t>
            </w:r>
          </w:p>
          <w:p w14:paraId="75E68159" w14:textId="77777777" w:rsidR="00732428" w:rsidRPr="00A251FD" w:rsidRDefault="00732428" w:rsidP="00732428">
            <w:pPr>
              <w:pStyle w:val="ListParagraph"/>
              <w:numPr>
                <w:ilvl w:val="0"/>
                <w:numId w:val="47"/>
              </w:numPr>
              <w:spacing w:after="120" w:line="240" w:lineRule="auto"/>
              <w:rPr>
                <w:lang w:eastAsia="en-US"/>
              </w:rPr>
            </w:pPr>
            <w:r w:rsidRPr="00A251FD">
              <w:rPr>
                <w:lang w:eastAsia="en-US"/>
              </w:rPr>
              <w:t>implementation of decisions that significantly affect employees; and</w:t>
            </w:r>
          </w:p>
          <w:p w14:paraId="26FD1B8F" w14:textId="77777777" w:rsidR="00732428" w:rsidRPr="00A251FD" w:rsidRDefault="00732428" w:rsidP="00732428">
            <w:pPr>
              <w:pStyle w:val="ListParagraph"/>
              <w:numPr>
                <w:ilvl w:val="0"/>
                <w:numId w:val="47"/>
              </w:numPr>
              <w:spacing w:after="120" w:line="240" w:lineRule="auto"/>
              <w:rPr>
                <w:lang w:eastAsia="en-US"/>
              </w:rPr>
            </w:pPr>
            <w:r w:rsidRPr="00A251FD">
              <w:rPr>
                <w:lang w:eastAsia="en-US"/>
              </w:rPr>
              <w:t xml:space="preserve">other workplace matters that are likely to significantly or materially impact employees. </w:t>
            </w:r>
          </w:p>
          <w:p w14:paraId="571709E6" w14:textId="3BD491F6" w:rsidR="00732428" w:rsidRPr="00A251FD" w:rsidRDefault="00732428" w:rsidP="00732428">
            <w:pPr>
              <w:spacing w:after="120" w:line="240" w:lineRule="auto"/>
              <w:rPr>
                <w:lang w:eastAsia="en-US"/>
              </w:rPr>
            </w:pPr>
            <w:r w:rsidRPr="00A251FD">
              <w:rPr>
                <w:lang w:eastAsia="en-US"/>
              </w:rPr>
              <w:t xml:space="preserve">The obligation to consult with respect to major change in the 2024 EA relates to consulting on proposals to introduce major change, rather than consulting once a definite decision to introduce a major change has been made (unless consulting prior to a decision being made is not practicable where a decision is made by Government or is required due to matters beyond the reasonable control of the Commission).  </w:t>
            </w:r>
          </w:p>
          <w:p w14:paraId="29E3AB4D" w14:textId="77777777" w:rsidR="00732428" w:rsidRPr="00A251FD" w:rsidRDefault="00732428" w:rsidP="00732428">
            <w:pPr>
              <w:spacing w:after="120" w:line="240" w:lineRule="auto"/>
              <w:rPr>
                <w:lang w:eastAsia="en-US"/>
              </w:rPr>
            </w:pPr>
            <w:r w:rsidRPr="00A251FD">
              <w:rPr>
                <w:lang w:eastAsia="en-US"/>
              </w:rPr>
              <w:t xml:space="preserve">The 2024 EA maintains the obligations to consult on proposed changes to regular rosters and ordinary hours. </w:t>
            </w:r>
          </w:p>
          <w:p w14:paraId="719EAF00" w14:textId="513E3898" w:rsidR="00732428" w:rsidRPr="00A251FD" w:rsidRDefault="00732428" w:rsidP="00732428"/>
        </w:tc>
        <w:tc>
          <w:tcPr>
            <w:tcW w:w="617" w:type="pct"/>
            <w:vAlign w:val="center"/>
          </w:tcPr>
          <w:p w14:paraId="6FAC9107" w14:textId="33C2AD76" w:rsidR="00732428" w:rsidRPr="00A251FD" w:rsidRDefault="005402C6" w:rsidP="006B40E1">
            <w:pPr>
              <w:jc w:val="center"/>
            </w:pPr>
            <w:r>
              <w:t xml:space="preserve">10.1 – </w:t>
            </w:r>
            <w:r w:rsidR="00732428" w:rsidRPr="00A251FD">
              <w:t>10.22</w:t>
            </w:r>
          </w:p>
        </w:tc>
        <w:tc>
          <w:tcPr>
            <w:tcW w:w="617" w:type="pct"/>
            <w:vAlign w:val="center"/>
          </w:tcPr>
          <w:p w14:paraId="2C47D9B1" w14:textId="09FC714D" w:rsidR="00732428" w:rsidRPr="00A251FD" w:rsidRDefault="00732428" w:rsidP="006B40E1">
            <w:pPr>
              <w:spacing w:after="120" w:line="240" w:lineRule="auto"/>
              <w:jc w:val="center"/>
              <w:rPr>
                <w:lang w:eastAsia="en-US"/>
              </w:rPr>
            </w:pPr>
            <w:r w:rsidRPr="00A251FD">
              <w:t>10.1 – 10.16</w:t>
            </w:r>
          </w:p>
        </w:tc>
      </w:tr>
      <w:tr w:rsidR="00727D7A" w:rsidRPr="00A251FD" w14:paraId="1A8AD6CD" w14:textId="5B77142C" w:rsidTr="006B40E1">
        <w:trPr>
          <w:trHeight w:val="1173"/>
          <w:jc w:val="center"/>
        </w:trPr>
        <w:tc>
          <w:tcPr>
            <w:tcW w:w="1061" w:type="pct"/>
            <w:vAlign w:val="center"/>
          </w:tcPr>
          <w:p w14:paraId="278A311E" w14:textId="77777777" w:rsidR="00727D7A" w:rsidRPr="00A251FD" w:rsidRDefault="00727D7A" w:rsidP="00727D7A">
            <w:pPr>
              <w:spacing w:after="120" w:line="240" w:lineRule="auto"/>
              <w:rPr>
                <w:lang w:eastAsia="en-US"/>
              </w:rPr>
            </w:pPr>
            <w:r w:rsidRPr="00A251FD">
              <w:rPr>
                <w:lang w:eastAsia="en-US"/>
              </w:rPr>
              <w:lastRenderedPageBreak/>
              <w:t>Workplace Consultative Forum</w:t>
            </w:r>
          </w:p>
          <w:p w14:paraId="46D945B0" w14:textId="4A90E150" w:rsidR="00727D7A" w:rsidRPr="00A251FD" w:rsidRDefault="00727D7A" w:rsidP="004940D8"/>
        </w:tc>
        <w:tc>
          <w:tcPr>
            <w:tcW w:w="2705" w:type="pct"/>
            <w:vAlign w:val="center"/>
          </w:tcPr>
          <w:p w14:paraId="18535964" w14:textId="32942228" w:rsidR="00727D7A" w:rsidRPr="00A251FD" w:rsidRDefault="006D5164" w:rsidP="004940D8">
            <w:r w:rsidRPr="00A251FD">
              <w:rPr>
                <w:lang w:eastAsia="en-US"/>
              </w:rPr>
              <w:t>The 2024 EA amends the Workplace Consultative Committee clause from the 2019 EA to specify that it will operate subject to an agreed terms of reference and structure for the term of the agreement, and that representation on the Committee will be in accordance with the terms of reference.</w:t>
            </w:r>
          </w:p>
        </w:tc>
        <w:tc>
          <w:tcPr>
            <w:tcW w:w="617" w:type="pct"/>
            <w:vAlign w:val="center"/>
          </w:tcPr>
          <w:p w14:paraId="7AD1A120" w14:textId="0B4C08F1" w:rsidR="00727D7A" w:rsidRPr="00A251FD" w:rsidRDefault="00727D7A" w:rsidP="006B40E1">
            <w:pPr>
              <w:spacing w:after="120" w:line="240" w:lineRule="auto"/>
              <w:jc w:val="center"/>
              <w:rPr>
                <w:lang w:eastAsia="en-US"/>
              </w:rPr>
            </w:pPr>
            <w:r w:rsidRPr="00A251FD">
              <w:rPr>
                <w:lang w:eastAsia="en-US"/>
              </w:rPr>
              <w:t>10.23</w:t>
            </w:r>
            <w:r w:rsidR="006D5164" w:rsidRPr="00A251FD">
              <w:rPr>
                <w:lang w:eastAsia="en-US"/>
              </w:rPr>
              <w:t xml:space="preserve"> – 10.27</w:t>
            </w:r>
          </w:p>
          <w:p w14:paraId="50990CBF" w14:textId="4C0172B7" w:rsidR="00727D7A" w:rsidRPr="00A251FD" w:rsidRDefault="00727D7A" w:rsidP="006B40E1">
            <w:pPr>
              <w:jc w:val="center"/>
            </w:pPr>
          </w:p>
        </w:tc>
        <w:tc>
          <w:tcPr>
            <w:tcW w:w="617" w:type="pct"/>
            <w:vAlign w:val="center"/>
          </w:tcPr>
          <w:p w14:paraId="471E051C" w14:textId="13E78B6F" w:rsidR="00860860" w:rsidRPr="00A251FD" w:rsidRDefault="005402C6" w:rsidP="006B40E1">
            <w:pPr>
              <w:spacing w:after="120" w:line="240" w:lineRule="auto"/>
              <w:jc w:val="center"/>
              <w:rPr>
                <w:lang w:eastAsia="en-US"/>
              </w:rPr>
            </w:pPr>
            <w:r>
              <w:rPr>
                <w:lang w:eastAsia="en-US"/>
              </w:rPr>
              <w:t xml:space="preserve">10.17 – </w:t>
            </w:r>
            <w:r w:rsidR="00860860" w:rsidRPr="00A251FD">
              <w:rPr>
                <w:lang w:eastAsia="en-US"/>
              </w:rPr>
              <w:t>10.20</w:t>
            </w:r>
          </w:p>
          <w:p w14:paraId="024DC7A9" w14:textId="77777777" w:rsidR="00727D7A" w:rsidRPr="00A251FD" w:rsidRDefault="00727D7A" w:rsidP="006B40E1">
            <w:pPr>
              <w:jc w:val="center"/>
            </w:pPr>
          </w:p>
        </w:tc>
      </w:tr>
      <w:tr w:rsidR="00727D7A" w:rsidRPr="00A251FD" w14:paraId="16BD280C" w14:textId="7CF1528B" w:rsidTr="006B40E1">
        <w:trPr>
          <w:trHeight w:val="1173"/>
          <w:jc w:val="center"/>
        </w:trPr>
        <w:tc>
          <w:tcPr>
            <w:tcW w:w="1061" w:type="pct"/>
            <w:vAlign w:val="center"/>
          </w:tcPr>
          <w:p w14:paraId="7AED5B5F" w14:textId="77777777" w:rsidR="00727D7A" w:rsidRPr="00A251FD" w:rsidRDefault="00727D7A" w:rsidP="00727D7A">
            <w:pPr>
              <w:spacing w:after="120" w:line="240" w:lineRule="auto"/>
              <w:rPr>
                <w:lang w:eastAsia="en-US"/>
              </w:rPr>
            </w:pPr>
            <w:r w:rsidRPr="00A251FD">
              <w:rPr>
                <w:lang w:eastAsia="en-US"/>
              </w:rPr>
              <w:t xml:space="preserve">APS Consultative Forum </w:t>
            </w:r>
          </w:p>
          <w:p w14:paraId="5B5F4106" w14:textId="26A338FD" w:rsidR="00727D7A" w:rsidRPr="00A251FD" w:rsidRDefault="00727D7A" w:rsidP="004940D8"/>
        </w:tc>
        <w:tc>
          <w:tcPr>
            <w:tcW w:w="2705" w:type="pct"/>
            <w:vAlign w:val="center"/>
          </w:tcPr>
          <w:p w14:paraId="76128A45" w14:textId="77777777" w:rsidR="00727D7A" w:rsidRPr="00A251FD" w:rsidRDefault="00727D7A" w:rsidP="00727D7A">
            <w:pPr>
              <w:spacing w:after="120" w:line="240" w:lineRule="auto"/>
              <w:rPr>
                <w:lang w:eastAsia="en-US"/>
              </w:rPr>
            </w:pPr>
            <w:r w:rsidRPr="00A251FD">
              <w:rPr>
                <w:lang w:eastAsia="en-US"/>
              </w:rPr>
              <w:t xml:space="preserve">The 2024 EA introduces a clause which provides that the Commissioner will support the operation of the APS Consultative Committee to the extent possible. </w:t>
            </w:r>
          </w:p>
          <w:p w14:paraId="66E863DF" w14:textId="4697518B" w:rsidR="00727D7A" w:rsidRPr="00A251FD" w:rsidRDefault="00727D7A" w:rsidP="004940D8">
            <w:r w:rsidRPr="00A251FD">
              <w:t xml:space="preserve"> </w:t>
            </w:r>
          </w:p>
        </w:tc>
        <w:tc>
          <w:tcPr>
            <w:tcW w:w="617" w:type="pct"/>
            <w:vAlign w:val="center"/>
          </w:tcPr>
          <w:p w14:paraId="26163E29" w14:textId="77777777" w:rsidR="00727D7A" w:rsidRPr="00A251FD" w:rsidRDefault="00727D7A" w:rsidP="006B40E1">
            <w:pPr>
              <w:spacing w:after="120" w:line="240" w:lineRule="auto"/>
              <w:jc w:val="center"/>
              <w:rPr>
                <w:lang w:eastAsia="en-US"/>
              </w:rPr>
            </w:pPr>
            <w:r w:rsidRPr="00A251FD">
              <w:rPr>
                <w:lang w:eastAsia="en-US"/>
              </w:rPr>
              <w:t>10.28</w:t>
            </w:r>
          </w:p>
          <w:p w14:paraId="7C4C509A" w14:textId="3DDE9A49" w:rsidR="00727D7A" w:rsidRPr="00A251FD" w:rsidRDefault="00727D7A" w:rsidP="006B40E1">
            <w:pPr>
              <w:jc w:val="center"/>
            </w:pPr>
          </w:p>
        </w:tc>
        <w:tc>
          <w:tcPr>
            <w:tcW w:w="617" w:type="pct"/>
            <w:vAlign w:val="center"/>
          </w:tcPr>
          <w:p w14:paraId="21D5035D" w14:textId="77777777" w:rsidR="00727D7A" w:rsidRPr="00A251FD" w:rsidRDefault="00727D7A" w:rsidP="006B40E1">
            <w:pPr>
              <w:spacing w:after="120" w:line="240" w:lineRule="auto"/>
              <w:jc w:val="center"/>
              <w:rPr>
                <w:lang w:eastAsia="en-US"/>
              </w:rPr>
            </w:pPr>
            <w:r w:rsidRPr="00A251FD">
              <w:rPr>
                <w:lang w:eastAsia="en-US"/>
              </w:rPr>
              <w:t>N/A</w:t>
            </w:r>
          </w:p>
          <w:p w14:paraId="50F88885" w14:textId="77777777" w:rsidR="00727D7A" w:rsidRPr="00A251FD" w:rsidRDefault="00727D7A" w:rsidP="006B40E1">
            <w:pPr>
              <w:spacing w:after="120" w:line="240" w:lineRule="auto"/>
              <w:jc w:val="center"/>
              <w:rPr>
                <w:lang w:eastAsia="en-US"/>
              </w:rPr>
            </w:pPr>
          </w:p>
        </w:tc>
      </w:tr>
      <w:tr w:rsidR="00727D7A" w:rsidRPr="00A251FD" w14:paraId="3AA940F2" w14:textId="77777777" w:rsidTr="006B40E1">
        <w:trPr>
          <w:trHeight w:val="1173"/>
          <w:jc w:val="center"/>
        </w:trPr>
        <w:tc>
          <w:tcPr>
            <w:tcW w:w="1061" w:type="pct"/>
            <w:vAlign w:val="center"/>
          </w:tcPr>
          <w:p w14:paraId="294024BB" w14:textId="77777777" w:rsidR="00727D7A" w:rsidRPr="00A251FD" w:rsidRDefault="00727D7A" w:rsidP="00727D7A">
            <w:pPr>
              <w:spacing w:after="120" w:line="240" w:lineRule="auto"/>
              <w:rPr>
                <w:lang w:eastAsia="en-US"/>
              </w:rPr>
            </w:pPr>
            <w:r w:rsidRPr="00A251FD">
              <w:rPr>
                <w:lang w:eastAsia="en-US"/>
              </w:rPr>
              <w:t>Delegate's rights</w:t>
            </w:r>
          </w:p>
          <w:p w14:paraId="209231A7" w14:textId="77777777" w:rsidR="00727D7A" w:rsidRPr="00A251FD" w:rsidRDefault="00727D7A" w:rsidP="004940D8"/>
        </w:tc>
        <w:tc>
          <w:tcPr>
            <w:tcW w:w="2705" w:type="pct"/>
            <w:vAlign w:val="center"/>
          </w:tcPr>
          <w:p w14:paraId="620EBE3E" w14:textId="28CF2593" w:rsidR="00727D7A" w:rsidRPr="00A251FD" w:rsidRDefault="00727D7A" w:rsidP="00727D7A">
            <w:pPr>
              <w:spacing w:after="120" w:line="240" w:lineRule="auto"/>
              <w:rPr>
                <w:lang w:eastAsia="en-US"/>
              </w:rPr>
            </w:pPr>
            <w:r w:rsidRPr="00A251FD">
              <w:rPr>
                <w:lang w:eastAsia="en-US"/>
              </w:rPr>
              <w:t xml:space="preserve">The 2024 EA introduces clauses recognising the role of union delegates and how the Commission will support the role of union delegates.  </w:t>
            </w:r>
            <w:r w:rsidR="006D5164" w:rsidRPr="00A251FD">
              <w:rPr>
                <w:lang w:eastAsia="en-US"/>
              </w:rPr>
              <w:t>The 2019 EA provides that the role of employee representatives (including union delegates) is to be respected and facilitated.</w:t>
            </w:r>
          </w:p>
          <w:p w14:paraId="2387A844" w14:textId="77777777" w:rsidR="00727D7A" w:rsidRPr="00A251FD" w:rsidRDefault="00727D7A" w:rsidP="004940D8"/>
        </w:tc>
        <w:tc>
          <w:tcPr>
            <w:tcW w:w="617" w:type="pct"/>
            <w:vAlign w:val="center"/>
          </w:tcPr>
          <w:p w14:paraId="348CC88F" w14:textId="77777777" w:rsidR="00727D7A" w:rsidRPr="00A251FD" w:rsidRDefault="00727D7A" w:rsidP="006B40E1">
            <w:pPr>
              <w:spacing w:after="120" w:line="240" w:lineRule="auto"/>
              <w:jc w:val="center"/>
              <w:rPr>
                <w:lang w:eastAsia="en-US"/>
              </w:rPr>
            </w:pPr>
            <w:r w:rsidRPr="00A251FD">
              <w:rPr>
                <w:lang w:eastAsia="en-US"/>
              </w:rPr>
              <w:t>10.29 – 10.36</w:t>
            </w:r>
          </w:p>
          <w:p w14:paraId="264EEEF4" w14:textId="77777777" w:rsidR="00727D7A" w:rsidRPr="00A251FD" w:rsidRDefault="00727D7A" w:rsidP="006B40E1">
            <w:pPr>
              <w:jc w:val="center"/>
            </w:pPr>
          </w:p>
        </w:tc>
        <w:tc>
          <w:tcPr>
            <w:tcW w:w="617" w:type="pct"/>
            <w:vAlign w:val="center"/>
          </w:tcPr>
          <w:p w14:paraId="52AC813F" w14:textId="66427B6A" w:rsidR="00F13651" w:rsidRPr="00A251FD" w:rsidRDefault="006D5164" w:rsidP="006B40E1">
            <w:pPr>
              <w:spacing w:after="120" w:line="240" w:lineRule="auto"/>
              <w:jc w:val="center"/>
              <w:rPr>
                <w:lang w:eastAsia="en-US"/>
              </w:rPr>
            </w:pPr>
            <w:r w:rsidRPr="00A251FD">
              <w:rPr>
                <w:lang w:eastAsia="en-US"/>
              </w:rPr>
              <w:t>10.21</w:t>
            </w:r>
          </w:p>
          <w:p w14:paraId="3D31CD99" w14:textId="77777777" w:rsidR="00727D7A" w:rsidRPr="00A251FD" w:rsidRDefault="00727D7A" w:rsidP="006B40E1">
            <w:pPr>
              <w:jc w:val="center"/>
            </w:pPr>
          </w:p>
        </w:tc>
      </w:tr>
    </w:tbl>
    <w:p w14:paraId="714811ED" w14:textId="77777777" w:rsidR="00727D7A" w:rsidRPr="00A251FD" w:rsidRDefault="00727D7A" w:rsidP="00727D7A">
      <w:pPr>
        <w:pStyle w:val="Heading2"/>
      </w:pPr>
      <w:r w:rsidRPr="00A251FD">
        <w:t>Part 11: Employee support and workplace culture</w:t>
      </w:r>
    </w:p>
    <w:tbl>
      <w:tblPr>
        <w:tblStyle w:val="TableGrid"/>
        <w:tblW w:w="5000" w:type="pct"/>
        <w:jc w:val="center"/>
        <w:tblLook w:val="04A0" w:firstRow="1" w:lastRow="0" w:firstColumn="1" w:lastColumn="0" w:noHBand="0" w:noVBand="1"/>
        <w:tblCaption w:val="EA Fact Sheet - Key Features"/>
        <w:tblDescription w:val="EA Fact Sheet - Key Features"/>
      </w:tblPr>
      <w:tblGrid>
        <w:gridCol w:w="3029"/>
        <w:gridCol w:w="7723"/>
        <w:gridCol w:w="1762"/>
        <w:gridCol w:w="1762"/>
      </w:tblGrid>
      <w:tr w:rsidR="00A251FD" w:rsidRPr="00A251FD" w14:paraId="55A3BCF7" w14:textId="7D9A68BC" w:rsidTr="006B40E1">
        <w:trPr>
          <w:trHeight w:val="416"/>
          <w:tblHeader/>
          <w:jc w:val="center"/>
        </w:trPr>
        <w:tc>
          <w:tcPr>
            <w:tcW w:w="1061" w:type="pct"/>
            <w:shd w:val="clear" w:color="auto" w:fill="943C84"/>
            <w:vAlign w:val="center"/>
          </w:tcPr>
          <w:p w14:paraId="5EE4C530" w14:textId="1CAC3713" w:rsidR="002E4CCE" w:rsidRPr="00A251FD" w:rsidRDefault="002E4CCE" w:rsidP="00A251FD">
            <w:pPr>
              <w:spacing w:after="120" w:line="240" w:lineRule="auto"/>
              <w:rPr>
                <w:b/>
                <w:color w:val="FFFFFF" w:themeColor="background1"/>
                <w:lang w:eastAsia="en-US"/>
              </w:rPr>
            </w:pPr>
            <w:r w:rsidRPr="00A251FD">
              <w:rPr>
                <w:b/>
                <w:color w:val="FFFFFF" w:themeColor="background1"/>
                <w:lang w:eastAsia="en-US"/>
              </w:rPr>
              <w:t>Employment Condition</w:t>
            </w:r>
          </w:p>
        </w:tc>
        <w:tc>
          <w:tcPr>
            <w:tcW w:w="2705" w:type="pct"/>
            <w:shd w:val="clear" w:color="auto" w:fill="943C84"/>
            <w:vAlign w:val="center"/>
          </w:tcPr>
          <w:p w14:paraId="096DBDA0" w14:textId="10EF89E6" w:rsidR="002E4CCE" w:rsidRPr="00A251FD" w:rsidRDefault="002E4CCE" w:rsidP="00A251FD">
            <w:pPr>
              <w:spacing w:after="120" w:line="240" w:lineRule="auto"/>
              <w:rPr>
                <w:b/>
                <w:color w:val="FFFFFF" w:themeColor="background1"/>
                <w:lang w:eastAsia="en-US"/>
              </w:rPr>
            </w:pPr>
            <w:r w:rsidRPr="00A251FD">
              <w:rPr>
                <w:b/>
                <w:color w:val="FFFFFF" w:themeColor="background1"/>
                <w:lang w:eastAsia="en-US"/>
              </w:rPr>
              <w:t xml:space="preserve">Explanation of key changes from 2019 EA  </w:t>
            </w:r>
          </w:p>
        </w:tc>
        <w:tc>
          <w:tcPr>
            <w:tcW w:w="617" w:type="pct"/>
            <w:shd w:val="clear" w:color="auto" w:fill="943C84"/>
            <w:vAlign w:val="center"/>
          </w:tcPr>
          <w:p w14:paraId="521047EA" w14:textId="76A5EC78" w:rsidR="002E4CCE" w:rsidRPr="00A251FD" w:rsidRDefault="002E4CCE" w:rsidP="006B40E1">
            <w:pPr>
              <w:spacing w:after="120" w:line="240" w:lineRule="auto"/>
              <w:jc w:val="center"/>
              <w:rPr>
                <w:b/>
                <w:color w:val="FFFFFF" w:themeColor="background1"/>
                <w:lang w:eastAsia="en-US"/>
              </w:rPr>
            </w:pPr>
            <w:r w:rsidRPr="00A251FD">
              <w:rPr>
                <w:b/>
                <w:color w:val="FFFFFF" w:themeColor="background1"/>
                <w:lang w:eastAsia="en-US"/>
              </w:rPr>
              <w:t>2024 EA clause</w:t>
            </w:r>
          </w:p>
        </w:tc>
        <w:tc>
          <w:tcPr>
            <w:tcW w:w="617" w:type="pct"/>
            <w:shd w:val="clear" w:color="auto" w:fill="943C84"/>
            <w:vAlign w:val="center"/>
          </w:tcPr>
          <w:p w14:paraId="27B0E6A4" w14:textId="3A0A8FE8" w:rsidR="002E4CCE" w:rsidRPr="00A251FD" w:rsidRDefault="002E4CCE" w:rsidP="006B40E1">
            <w:pPr>
              <w:spacing w:after="120" w:line="240" w:lineRule="auto"/>
              <w:jc w:val="center"/>
              <w:rPr>
                <w:b/>
                <w:color w:val="FFFFFF" w:themeColor="background1"/>
              </w:rPr>
            </w:pPr>
            <w:r w:rsidRPr="00A251FD">
              <w:rPr>
                <w:b/>
                <w:color w:val="FFFFFF" w:themeColor="background1"/>
              </w:rPr>
              <w:t>2019 EA clause</w:t>
            </w:r>
          </w:p>
        </w:tc>
      </w:tr>
      <w:tr w:rsidR="002E4CCE" w:rsidRPr="00A251FD" w14:paraId="04F04783" w14:textId="488CDC3F" w:rsidTr="006B40E1">
        <w:trPr>
          <w:trHeight w:val="1173"/>
          <w:jc w:val="center"/>
        </w:trPr>
        <w:tc>
          <w:tcPr>
            <w:tcW w:w="1061" w:type="pct"/>
            <w:vAlign w:val="center"/>
          </w:tcPr>
          <w:p w14:paraId="57E4E658" w14:textId="77777777" w:rsidR="002E4CCE" w:rsidRPr="00A251FD" w:rsidRDefault="002E4CCE" w:rsidP="002E4CCE">
            <w:pPr>
              <w:spacing w:after="120" w:line="240" w:lineRule="auto"/>
              <w:rPr>
                <w:lang w:eastAsia="en-US"/>
              </w:rPr>
            </w:pPr>
            <w:r w:rsidRPr="00A251FD">
              <w:rPr>
                <w:lang w:eastAsia="en-US"/>
              </w:rPr>
              <w:t>Blood donation</w:t>
            </w:r>
          </w:p>
          <w:p w14:paraId="05952B39" w14:textId="4C81382B" w:rsidR="002E4CCE" w:rsidRPr="00A251FD" w:rsidRDefault="002E4CCE" w:rsidP="002E4CCE">
            <w:pPr>
              <w:rPr>
                <w:b/>
                <w:bCs/>
              </w:rPr>
            </w:pPr>
          </w:p>
        </w:tc>
        <w:tc>
          <w:tcPr>
            <w:tcW w:w="2705" w:type="pct"/>
            <w:vAlign w:val="center"/>
          </w:tcPr>
          <w:p w14:paraId="05AAD8F3" w14:textId="5E21F46A" w:rsidR="002E4CCE" w:rsidRPr="00A251FD" w:rsidRDefault="002E4CCE" w:rsidP="006D5164">
            <w:pPr>
              <w:spacing w:after="120" w:line="240" w:lineRule="auto"/>
            </w:pPr>
            <w:r w:rsidRPr="00A251FD">
              <w:rPr>
                <w:lang w:eastAsia="en-US"/>
              </w:rPr>
              <w:t xml:space="preserve">The 2024 EA introduces an entitlement for employees to take reasonable time away from duty to donate blood, provided that they inform their manager in advance. </w:t>
            </w:r>
            <w:r w:rsidR="006D5164" w:rsidRPr="00A251FD">
              <w:rPr>
                <w:lang w:eastAsia="en-US"/>
              </w:rPr>
              <w:t>This is not dealt with in the 2019 EA.</w:t>
            </w:r>
          </w:p>
        </w:tc>
        <w:tc>
          <w:tcPr>
            <w:tcW w:w="617" w:type="pct"/>
            <w:vAlign w:val="center"/>
          </w:tcPr>
          <w:p w14:paraId="0BD4D54D" w14:textId="77777777" w:rsidR="00D8718C" w:rsidRDefault="00D8718C" w:rsidP="006B40E1">
            <w:pPr>
              <w:spacing w:after="120" w:line="240" w:lineRule="auto"/>
              <w:jc w:val="center"/>
              <w:rPr>
                <w:lang w:eastAsia="en-US"/>
              </w:rPr>
            </w:pPr>
          </w:p>
          <w:p w14:paraId="1DA3C84C" w14:textId="77477808" w:rsidR="002E4CCE" w:rsidRPr="00A251FD" w:rsidRDefault="002E4CCE" w:rsidP="006B40E1">
            <w:pPr>
              <w:spacing w:after="120" w:line="240" w:lineRule="auto"/>
              <w:jc w:val="center"/>
              <w:rPr>
                <w:lang w:eastAsia="en-US"/>
              </w:rPr>
            </w:pPr>
            <w:r w:rsidRPr="00A251FD">
              <w:rPr>
                <w:lang w:eastAsia="en-US"/>
              </w:rPr>
              <w:t>11.1 – 11.2</w:t>
            </w:r>
          </w:p>
          <w:p w14:paraId="0651A33E" w14:textId="744CF858" w:rsidR="002E4CCE" w:rsidRPr="00A251FD" w:rsidRDefault="002E4CCE" w:rsidP="006B40E1">
            <w:pPr>
              <w:jc w:val="center"/>
            </w:pPr>
          </w:p>
        </w:tc>
        <w:tc>
          <w:tcPr>
            <w:tcW w:w="617" w:type="pct"/>
            <w:vAlign w:val="center"/>
          </w:tcPr>
          <w:p w14:paraId="6D935BB9" w14:textId="77777777" w:rsidR="00D8718C" w:rsidRDefault="00D8718C" w:rsidP="006B40E1">
            <w:pPr>
              <w:spacing w:after="120" w:line="240" w:lineRule="auto"/>
              <w:jc w:val="center"/>
              <w:rPr>
                <w:lang w:eastAsia="en-US"/>
              </w:rPr>
            </w:pPr>
          </w:p>
          <w:p w14:paraId="3CFC3243" w14:textId="7DCE4754" w:rsidR="002E4CCE" w:rsidRPr="00A251FD" w:rsidRDefault="002E4CCE" w:rsidP="006B40E1">
            <w:pPr>
              <w:spacing w:after="120" w:line="240" w:lineRule="auto"/>
              <w:jc w:val="center"/>
              <w:rPr>
                <w:lang w:eastAsia="en-US"/>
              </w:rPr>
            </w:pPr>
            <w:r w:rsidRPr="00A251FD">
              <w:rPr>
                <w:lang w:eastAsia="en-US"/>
              </w:rPr>
              <w:t>N/A</w:t>
            </w:r>
          </w:p>
          <w:p w14:paraId="5EEA3F57" w14:textId="77777777" w:rsidR="002E4CCE" w:rsidRPr="00A251FD" w:rsidRDefault="002E4CCE" w:rsidP="006B40E1">
            <w:pPr>
              <w:jc w:val="center"/>
            </w:pPr>
          </w:p>
        </w:tc>
      </w:tr>
      <w:tr w:rsidR="002E4CCE" w:rsidRPr="00A251FD" w14:paraId="0AA6E529" w14:textId="5B8CE05E" w:rsidTr="006B40E1">
        <w:trPr>
          <w:trHeight w:val="652"/>
          <w:jc w:val="center"/>
        </w:trPr>
        <w:tc>
          <w:tcPr>
            <w:tcW w:w="1061" w:type="pct"/>
            <w:vAlign w:val="center"/>
          </w:tcPr>
          <w:p w14:paraId="1260A39D" w14:textId="77777777" w:rsidR="002E4CCE" w:rsidRPr="00A251FD" w:rsidRDefault="002E4CCE" w:rsidP="002E4CCE">
            <w:pPr>
              <w:spacing w:after="120" w:line="240" w:lineRule="auto"/>
              <w:rPr>
                <w:lang w:eastAsia="en-US"/>
              </w:rPr>
            </w:pPr>
            <w:r w:rsidRPr="00A251FD">
              <w:rPr>
                <w:lang w:eastAsia="en-US"/>
              </w:rPr>
              <w:lastRenderedPageBreak/>
              <w:t>Vaccinations</w:t>
            </w:r>
          </w:p>
          <w:p w14:paraId="10F412BB" w14:textId="0566C302" w:rsidR="002E4CCE" w:rsidRPr="00A251FD" w:rsidRDefault="002E4CCE" w:rsidP="002E4CCE"/>
        </w:tc>
        <w:tc>
          <w:tcPr>
            <w:tcW w:w="2705" w:type="pct"/>
            <w:vAlign w:val="center"/>
          </w:tcPr>
          <w:p w14:paraId="3EF64128" w14:textId="0DC82E62" w:rsidR="002E4CCE" w:rsidRPr="00A251FD" w:rsidRDefault="002E4CCE" w:rsidP="002E4CCE">
            <w:pPr>
              <w:spacing w:after="120" w:line="240" w:lineRule="auto"/>
              <w:rPr>
                <w:lang w:eastAsia="en-US"/>
              </w:rPr>
            </w:pPr>
            <w:r w:rsidRPr="00A251FD">
              <w:rPr>
                <w:lang w:eastAsia="en-US"/>
              </w:rPr>
              <w:t xml:space="preserve">The 2024 EA provides that the </w:t>
            </w:r>
            <w:r w:rsidR="006D5164" w:rsidRPr="00A251FD">
              <w:rPr>
                <w:lang w:eastAsia="en-US"/>
              </w:rPr>
              <w:t>Commission</w:t>
            </w:r>
            <w:r w:rsidRPr="00A251FD">
              <w:rPr>
                <w:lang w:eastAsia="en-US"/>
              </w:rPr>
              <w:t xml:space="preserve"> will offer: </w:t>
            </w:r>
          </w:p>
          <w:p w14:paraId="082E7167" w14:textId="1CCA2677" w:rsidR="002E4CCE" w:rsidRPr="00A251FD" w:rsidRDefault="002E4CCE" w:rsidP="002E4CCE">
            <w:pPr>
              <w:pStyle w:val="ListParagraph"/>
              <w:numPr>
                <w:ilvl w:val="0"/>
                <w:numId w:val="31"/>
              </w:numPr>
              <w:spacing w:before="120" w:after="120" w:line="240" w:lineRule="auto"/>
              <w:rPr>
                <w:lang w:eastAsia="en-US"/>
              </w:rPr>
            </w:pPr>
            <w:r w:rsidRPr="00A251FD">
              <w:rPr>
                <w:lang w:eastAsia="en-US"/>
              </w:rPr>
              <w:t>annual influenza vaccinations for all employees at no cost</w:t>
            </w:r>
            <w:r w:rsidR="006D5164" w:rsidRPr="00A251FD">
              <w:rPr>
                <w:lang w:eastAsia="en-US"/>
              </w:rPr>
              <w:t>; and</w:t>
            </w:r>
          </w:p>
          <w:p w14:paraId="78C13609" w14:textId="77777777" w:rsidR="002E4CCE" w:rsidRPr="00A251FD" w:rsidRDefault="002E4CCE" w:rsidP="002E4CCE">
            <w:pPr>
              <w:pStyle w:val="ListParagraph"/>
              <w:numPr>
                <w:ilvl w:val="0"/>
                <w:numId w:val="31"/>
              </w:numPr>
              <w:spacing w:before="120" w:after="120" w:line="240" w:lineRule="auto"/>
              <w:rPr>
                <w:lang w:eastAsia="en-US"/>
              </w:rPr>
            </w:pPr>
            <w:r w:rsidRPr="00A251FD">
              <w:rPr>
                <w:lang w:eastAsia="en-US"/>
              </w:rPr>
              <w:t>other vaccinations required for specific Commission roles at no expense to the employee.</w:t>
            </w:r>
          </w:p>
          <w:p w14:paraId="52F25FEA" w14:textId="4D4823B5" w:rsidR="002E4CCE" w:rsidRPr="00A251FD" w:rsidRDefault="002E4CCE" w:rsidP="00F462EF">
            <w:r w:rsidRPr="00A251FD">
              <w:rPr>
                <w:lang w:eastAsia="en-US"/>
              </w:rPr>
              <w:t xml:space="preserve">This is not dealt with in the 2019 EA. </w:t>
            </w:r>
          </w:p>
        </w:tc>
        <w:tc>
          <w:tcPr>
            <w:tcW w:w="617" w:type="pct"/>
            <w:vAlign w:val="center"/>
          </w:tcPr>
          <w:p w14:paraId="7879124F" w14:textId="77777777" w:rsidR="002E4CCE" w:rsidRPr="00A251FD" w:rsidRDefault="002E4CCE" w:rsidP="006B40E1">
            <w:pPr>
              <w:spacing w:after="120" w:line="240" w:lineRule="auto"/>
              <w:jc w:val="center"/>
              <w:rPr>
                <w:lang w:eastAsia="en-US"/>
              </w:rPr>
            </w:pPr>
            <w:r w:rsidRPr="00A251FD">
              <w:rPr>
                <w:lang w:eastAsia="en-US"/>
              </w:rPr>
              <w:t>11.3 – 11.4</w:t>
            </w:r>
          </w:p>
          <w:p w14:paraId="375673D8" w14:textId="2EB86DCC" w:rsidR="002E4CCE" w:rsidRPr="00A251FD" w:rsidRDefault="002E4CCE" w:rsidP="006B40E1">
            <w:pPr>
              <w:jc w:val="center"/>
            </w:pPr>
          </w:p>
        </w:tc>
        <w:tc>
          <w:tcPr>
            <w:tcW w:w="617" w:type="pct"/>
            <w:vAlign w:val="center"/>
          </w:tcPr>
          <w:p w14:paraId="75859A72" w14:textId="77777777" w:rsidR="002E4CCE" w:rsidRPr="00A251FD" w:rsidRDefault="002E4CCE" w:rsidP="006B40E1">
            <w:pPr>
              <w:spacing w:after="120" w:line="240" w:lineRule="auto"/>
              <w:jc w:val="center"/>
              <w:rPr>
                <w:lang w:eastAsia="en-US"/>
              </w:rPr>
            </w:pPr>
            <w:r w:rsidRPr="00A251FD">
              <w:rPr>
                <w:lang w:eastAsia="en-US"/>
              </w:rPr>
              <w:t>N/A</w:t>
            </w:r>
          </w:p>
          <w:p w14:paraId="46886857" w14:textId="77777777" w:rsidR="002E4CCE" w:rsidRPr="00A251FD" w:rsidRDefault="002E4CCE" w:rsidP="006B40E1">
            <w:pPr>
              <w:jc w:val="center"/>
            </w:pPr>
          </w:p>
        </w:tc>
      </w:tr>
      <w:tr w:rsidR="002E4CCE" w:rsidRPr="00A251FD" w14:paraId="737DEB69" w14:textId="7A17A48C" w:rsidTr="006B40E1">
        <w:trPr>
          <w:trHeight w:val="1173"/>
          <w:jc w:val="center"/>
        </w:trPr>
        <w:tc>
          <w:tcPr>
            <w:tcW w:w="1061" w:type="pct"/>
            <w:vAlign w:val="center"/>
          </w:tcPr>
          <w:p w14:paraId="1D611D6E" w14:textId="77777777" w:rsidR="002E4CCE" w:rsidRPr="00A251FD" w:rsidRDefault="002E4CCE" w:rsidP="002E4CCE">
            <w:pPr>
              <w:spacing w:after="120" w:line="240" w:lineRule="auto"/>
              <w:rPr>
                <w:lang w:eastAsia="en-US"/>
              </w:rPr>
            </w:pPr>
            <w:r w:rsidRPr="00A251FD">
              <w:rPr>
                <w:lang w:eastAsia="en-US"/>
              </w:rPr>
              <w:t>Employee Assistance Program</w:t>
            </w:r>
          </w:p>
          <w:p w14:paraId="3FB21882" w14:textId="0AA18871" w:rsidR="002E4CCE" w:rsidRPr="00A251FD" w:rsidRDefault="002E4CCE" w:rsidP="002E4CCE"/>
        </w:tc>
        <w:tc>
          <w:tcPr>
            <w:tcW w:w="2705" w:type="pct"/>
            <w:vAlign w:val="center"/>
          </w:tcPr>
          <w:p w14:paraId="661E6787" w14:textId="77777777" w:rsidR="002E4CCE" w:rsidRPr="00A251FD" w:rsidRDefault="002E4CCE" w:rsidP="002E4CCE">
            <w:pPr>
              <w:spacing w:after="120" w:line="240" w:lineRule="auto"/>
              <w:rPr>
                <w:lang w:eastAsia="en-US"/>
              </w:rPr>
            </w:pPr>
            <w:r w:rsidRPr="00A251FD">
              <w:rPr>
                <w:lang w:eastAsia="en-US"/>
              </w:rPr>
              <w:t xml:space="preserve">The 2024 EA introduces a term which provides that the Commission will provide employees, their partners, dependents/ children with access to a confidential, professional counselling service to assist employees to manage personal and work issues, at no cost to employees and accessible on paid time.  </w:t>
            </w:r>
          </w:p>
          <w:p w14:paraId="2E62F910" w14:textId="092DB734" w:rsidR="002E4CCE" w:rsidRPr="00A251FD" w:rsidRDefault="002E4CCE" w:rsidP="002E4CCE"/>
        </w:tc>
        <w:tc>
          <w:tcPr>
            <w:tcW w:w="617" w:type="pct"/>
            <w:vAlign w:val="center"/>
          </w:tcPr>
          <w:p w14:paraId="574C0BDF" w14:textId="77777777" w:rsidR="002E4CCE" w:rsidRPr="00A251FD" w:rsidRDefault="002E4CCE" w:rsidP="006B40E1">
            <w:pPr>
              <w:spacing w:after="120" w:line="240" w:lineRule="auto"/>
              <w:jc w:val="center"/>
              <w:rPr>
                <w:lang w:eastAsia="en-US"/>
              </w:rPr>
            </w:pPr>
            <w:r w:rsidRPr="00A251FD">
              <w:rPr>
                <w:lang w:eastAsia="en-US"/>
              </w:rPr>
              <w:t>11.5</w:t>
            </w:r>
          </w:p>
          <w:p w14:paraId="25F99961" w14:textId="7F6529E4" w:rsidR="002E4CCE" w:rsidRPr="00A251FD" w:rsidRDefault="002E4CCE" w:rsidP="006B40E1">
            <w:pPr>
              <w:jc w:val="center"/>
            </w:pPr>
          </w:p>
        </w:tc>
        <w:tc>
          <w:tcPr>
            <w:tcW w:w="617" w:type="pct"/>
            <w:vAlign w:val="center"/>
          </w:tcPr>
          <w:p w14:paraId="49E33EE1" w14:textId="77777777" w:rsidR="002E4CCE" w:rsidRPr="00A251FD" w:rsidRDefault="002E4CCE" w:rsidP="006B40E1">
            <w:pPr>
              <w:spacing w:after="120" w:line="240" w:lineRule="auto"/>
              <w:jc w:val="center"/>
              <w:rPr>
                <w:lang w:eastAsia="en-US"/>
              </w:rPr>
            </w:pPr>
            <w:r w:rsidRPr="00A251FD">
              <w:rPr>
                <w:lang w:eastAsia="en-US"/>
              </w:rPr>
              <w:t>N/A</w:t>
            </w:r>
          </w:p>
          <w:p w14:paraId="781091FB" w14:textId="77777777" w:rsidR="002E4CCE" w:rsidRPr="00A251FD" w:rsidRDefault="002E4CCE" w:rsidP="006B40E1">
            <w:pPr>
              <w:jc w:val="center"/>
            </w:pPr>
          </w:p>
        </w:tc>
      </w:tr>
      <w:tr w:rsidR="002E4CCE" w:rsidRPr="00A251FD" w14:paraId="1D202ACD" w14:textId="2EBD4598" w:rsidTr="006B40E1">
        <w:trPr>
          <w:trHeight w:val="1173"/>
          <w:jc w:val="center"/>
        </w:trPr>
        <w:tc>
          <w:tcPr>
            <w:tcW w:w="1061" w:type="pct"/>
            <w:vAlign w:val="center"/>
          </w:tcPr>
          <w:p w14:paraId="77E7C3BB" w14:textId="77777777" w:rsidR="002E4CCE" w:rsidRPr="00A251FD" w:rsidRDefault="002E4CCE" w:rsidP="002E4CCE">
            <w:pPr>
              <w:spacing w:after="120" w:line="240" w:lineRule="auto"/>
              <w:rPr>
                <w:lang w:eastAsia="en-US"/>
              </w:rPr>
            </w:pPr>
            <w:r w:rsidRPr="00A251FD">
              <w:rPr>
                <w:lang w:eastAsia="en-US"/>
              </w:rPr>
              <w:t>Respect at work</w:t>
            </w:r>
          </w:p>
          <w:p w14:paraId="40BD1ECB" w14:textId="17058192" w:rsidR="002E4CCE" w:rsidRPr="00A251FD" w:rsidRDefault="002E4CCE" w:rsidP="002E4CCE"/>
        </w:tc>
        <w:tc>
          <w:tcPr>
            <w:tcW w:w="2705" w:type="pct"/>
            <w:vAlign w:val="center"/>
          </w:tcPr>
          <w:p w14:paraId="2EF927B6" w14:textId="57AA7DF1" w:rsidR="002E4CCE" w:rsidRPr="00A251FD" w:rsidRDefault="002E4CCE" w:rsidP="002E4CCE">
            <w:pPr>
              <w:spacing w:after="120" w:line="240" w:lineRule="auto"/>
              <w:rPr>
                <w:lang w:eastAsia="en-US"/>
              </w:rPr>
            </w:pPr>
            <w:r w:rsidRPr="00A251FD">
              <w:rPr>
                <w:lang w:eastAsia="en-US"/>
              </w:rPr>
              <w:t xml:space="preserve">The 2024 EA </w:t>
            </w:r>
            <w:r w:rsidR="006D5164" w:rsidRPr="00A251FD">
              <w:rPr>
                <w:lang w:eastAsia="en-US"/>
              </w:rPr>
              <w:t xml:space="preserve">introduces </w:t>
            </w:r>
            <w:r w:rsidRPr="00A251FD">
              <w:rPr>
                <w:lang w:eastAsia="en-US"/>
              </w:rPr>
              <w:t>principles recognising:</w:t>
            </w:r>
          </w:p>
          <w:p w14:paraId="27753DEC" w14:textId="28D4E00E" w:rsidR="002E4CCE" w:rsidRPr="00A251FD" w:rsidRDefault="002E4CCE" w:rsidP="002E4CCE">
            <w:pPr>
              <w:pStyle w:val="ListParagraph"/>
              <w:numPr>
                <w:ilvl w:val="0"/>
                <w:numId w:val="32"/>
              </w:numPr>
              <w:spacing w:before="120" w:after="120" w:line="240" w:lineRule="auto"/>
              <w:rPr>
                <w:lang w:eastAsia="en-US"/>
              </w:rPr>
            </w:pPr>
            <w:r w:rsidRPr="00A251FD">
              <w:rPr>
                <w:lang w:eastAsia="en-US"/>
              </w:rPr>
              <w:t>the value of respect at work and the priority placed on preventing sexual harassment, sex-discrimination, sex-based harassment and victimisation</w:t>
            </w:r>
            <w:r w:rsidR="006D5164" w:rsidRPr="00A251FD">
              <w:rPr>
                <w:lang w:eastAsia="en-US"/>
              </w:rPr>
              <w:t>; and</w:t>
            </w:r>
          </w:p>
          <w:p w14:paraId="57D5412D" w14:textId="77777777" w:rsidR="002E4CCE" w:rsidRPr="00A251FD" w:rsidRDefault="002E4CCE" w:rsidP="002E4CCE">
            <w:pPr>
              <w:pStyle w:val="ListParagraph"/>
              <w:numPr>
                <w:ilvl w:val="0"/>
                <w:numId w:val="32"/>
              </w:numPr>
              <w:spacing w:before="120" w:after="120" w:line="240" w:lineRule="auto"/>
              <w:rPr>
                <w:lang w:eastAsia="en-US"/>
              </w:rPr>
            </w:pPr>
            <w:r w:rsidRPr="00A251FD">
              <w:rPr>
                <w:lang w:eastAsia="en-US"/>
              </w:rPr>
              <w:t>the approaches to be taken toward prevention.</w:t>
            </w:r>
          </w:p>
          <w:p w14:paraId="6A49B552" w14:textId="4417971B" w:rsidR="002E4CCE" w:rsidRPr="00A251FD" w:rsidRDefault="002E4CCE" w:rsidP="002F6837">
            <w:r w:rsidRPr="00A251FD">
              <w:rPr>
                <w:lang w:eastAsia="en-US"/>
              </w:rPr>
              <w:t xml:space="preserve">The 2024 EA also provides that the Commission will consult with employees and unions regarding its approach to prevention. </w:t>
            </w:r>
          </w:p>
        </w:tc>
        <w:tc>
          <w:tcPr>
            <w:tcW w:w="617" w:type="pct"/>
            <w:vAlign w:val="center"/>
          </w:tcPr>
          <w:p w14:paraId="3CB2527B" w14:textId="77777777" w:rsidR="002E4CCE" w:rsidRPr="00A251FD" w:rsidRDefault="002E4CCE" w:rsidP="006B40E1">
            <w:pPr>
              <w:spacing w:after="120" w:line="240" w:lineRule="auto"/>
              <w:jc w:val="center"/>
              <w:rPr>
                <w:lang w:eastAsia="en-US"/>
              </w:rPr>
            </w:pPr>
            <w:r w:rsidRPr="00A251FD">
              <w:rPr>
                <w:lang w:eastAsia="en-US"/>
              </w:rPr>
              <w:t>11.6 – 11.8</w:t>
            </w:r>
          </w:p>
          <w:p w14:paraId="28BE0706" w14:textId="739AA8C9" w:rsidR="002E4CCE" w:rsidRPr="00A251FD" w:rsidRDefault="002E4CCE" w:rsidP="006B40E1">
            <w:pPr>
              <w:jc w:val="center"/>
            </w:pPr>
          </w:p>
        </w:tc>
        <w:tc>
          <w:tcPr>
            <w:tcW w:w="617" w:type="pct"/>
            <w:vAlign w:val="center"/>
          </w:tcPr>
          <w:p w14:paraId="51B92D66" w14:textId="77777777" w:rsidR="002F6837" w:rsidRPr="00A251FD" w:rsidRDefault="002F6837" w:rsidP="006B40E1">
            <w:pPr>
              <w:spacing w:after="120" w:line="240" w:lineRule="auto"/>
              <w:jc w:val="center"/>
              <w:rPr>
                <w:lang w:eastAsia="en-US"/>
              </w:rPr>
            </w:pPr>
            <w:r w:rsidRPr="00A251FD">
              <w:rPr>
                <w:lang w:eastAsia="en-US"/>
              </w:rPr>
              <w:t>N/A</w:t>
            </w:r>
          </w:p>
          <w:p w14:paraId="2E2391FD" w14:textId="77777777" w:rsidR="002E4CCE" w:rsidRPr="00A251FD" w:rsidRDefault="002E4CCE" w:rsidP="006B40E1">
            <w:pPr>
              <w:jc w:val="center"/>
            </w:pPr>
          </w:p>
        </w:tc>
      </w:tr>
      <w:tr w:rsidR="002E4CCE" w:rsidRPr="00A251FD" w14:paraId="1ED9AFFC" w14:textId="25A47279" w:rsidTr="006B40E1">
        <w:trPr>
          <w:trHeight w:val="1173"/>
          <w:jc w:val="center"/>
        </w:trPr>
        <w:tc>
          <w:tcPr>
            <w:tcW w:w="1061" w:type="pct"/>
            <w:vAlign w:val="center"/>
          </w:tcPr>
          <w:p w14:paraId="361EACFC" w14:textId="77777777" w:rsidR="002E4CCE" w:rsidRPr="00A251FD" w:rsidRDefault="002E4CCE" w:rsidP="002E4CCE">
            <w:pPr>
              <w:spacing w:after="120" w:line="240" w:lineRule="auto"/>
              <w:rPr>
                <w:lang w:eastAsia="en-US"/>
              </w:rPr>
            </w:pPr>
            <w:r w:rsidRPr="00A251FD">
              <w:rPr>
                <w:lang w:eastAsia="en-US"/>
              </w:rPr>
              <w:t xml:space="preserve">Family and domestic violence support </w:t>
            </w:r>
          </w:p>
          <w:p w14:paraId="7616C818" w14:textId="1E0583CD" w:rsidR="002E4CCE" w:rsidRPr="00A251FD" w:rsidRDefault="002E4CCE" w:rsidP="002E4CCE"/>
        </w:tc>
        <w:tc>
          <w:tcPr>
            <w:tcW w:w="2705" w:type="pct"/>
            <w:vAlign w:val="center"/>
          </w:tcPr>
          <w:p w14:paraId="5CEAA39E" w14:textId="1ADA3096" w:rsidR="006D5164" w:rsidRPr="00A251FD" w:rsidRDefault="006D5164" w:rsidP="006D5164">
            <w:pPr>
              <w:spacing w:after="120" w:line="240" w:lineRule="auto"/>
              <w:rPr>
                <w:lang w:eastAsia="en-US"/>
              </w:rPr>
            </w:pPr>
            <w:r w:rsidRPr="00A251FD">
              <w:rPr>
                <w:lang w:eastAsia="en-US"/>
              </w:rPr>
              <w:t xml:space="preserve">The 2024 EA contains detailed provisions regarding support for employees affected by family and domestic violence, including the provision of paid miscellaneous leave for all employees experiencing family and domestic violence leave (in addition to an employee's existing leave entitlements). This entitlement does not reduce an employee's entitlement to family and domestic </w:t>
            </w:r>
            <w:r w:rsidRPr="00A251FD">
              <w:rPr>
                <w:lang w:eastAsia="en-US"/>
              </w:rPr>
              <w:lastRenderedPageBreak/>
              <w:t>violence leave under the NES. The 2024 EA lists the types of other supports that may be available including flexible working arrangements, additional access to EAP and alteration of hours and location of work.</w:t>
            </w:r>
          </w:p>
          <w:p w14:paraId="3093CFFF" w14:textId="31EB1BC4" w:rsidR="006D5164" w:rsidRPr="00A251FD" w:rsidRDefault="006D5164" w:rsidP="006D5164">
            <w:pPr>
              <w:spacing w:after="120" w:line="240" w:lineRule="auto"/>
              <w:rPr>
                <w:lang w:eastAsia="en-US"/>
              </w:rPr>
            </w:pPr>
            <w:r w:rsidRPr="00A251FD">
              <w:rPr>
                <w:lang w:eastAsia="en-US"/>
              </w:rPr>
              <w:t>This differs f</w:t>
            </w:r>
            <w:r w:rsidR="0007513B">
              <w:rPr>
                <w:lang w:eastAsia="en-US"/>
              </w:rPr>
              <w:t>rom the 2019 EA, which provides</w:t>
            </w:r>
            <w:r w:rsidRPr="00A251FD">
              <w:rPr>
                <w:lang w:eastAsia="en-US"/>
              </w:rPr>
              <w:t xml:space="preserve"> that the Commission is committed to supporting employees affected by domestic and family violence and will provide leave and support for employees. The 2019 EA refers to further information being contained in the Family and Domestic Violence Policy and the only express entitlement with respect to family and domestic violence support is the ability for miscellaneous leave (which may be with or without pay) to be granted for employees affected by family and domestic violence. </w:t>
            </w:r>
          </w:p>
          <w:p w14:paraId="630747D0" w14:textId="5EC30B4A" w:rsidR="002E4CCE" w:rsidRPr="00A251FD" w:rsidRDefault="006D5164" w:rsidP="0007513B">
            <w:r w:rsidRPr="00A251FD">
              <w:rPr>
                <w:lang w:eastAsia="en-US"/>
              </w:rPr>
              <w:t>The 2024 EA also deals with how information relating to family and domestic violence will be dealt with confidentially. The 2</w:t>
            </w:r>
            <w:r w:rsidR="005A0A2A">
              <w:rPr>
                <w:lang w:eastAsia="en-US"/>
              </w:rPr>
              <w:t xml:space="preserve">019 EA </w:t>
            </w:r>
            <w:r w:rsidRPr="00A251FD">
              <w:rPr>
                <w:lang w:eastAsia="en-US"/>
              </w:rPr>
              <w:t>does not deal with this matter.</w:t>
            </w:r>
          </w:p>
        </w:tc>
        <w:tc>
          <w:tcPr>
            <w:tcW w:w="617" w:type="pct"/>
            <w:vAlign w:val="center"/>
          </w:tcPr>
          <w:p w14:paraId="7BAA669B" w14:textId="6D37AA1A" w:rsidR="002E4CCE" w:rsidRPr="00A251FD" w:rsidRDefault="006D5164" w:rsidP="006B40E1">
            <w:pPr>
              <w:spacing w:after="120" w:line="240" w:lineRule="auto"/>
              <w:jc w:val="center"/>
              <w:rPr>
                <w:lang w:eastAsia="en-US"/>
              </w:rPr>
            </w:pPr>
            <w:r w:rsidRPr="00A251FD">
              <w:rPr>
                <w:lang w:eastAsia="en-US"/>
              </w:rPr>
              <w:lastRenderedPageBreak/>
              <w:t xml:space="preserve">6.85, 6.86 and </w:t>
            </w:r>
            <w:r w:rsidR="002E4CCE" w:rsidRPr="00A251FD">
              <w:rPr>
                <w:lang w:eastAsia="en-US"/>
              </w:rPr>
              <w:t>11.9 – 11.25</w:t>
            </w:r>
          </w:p>
          <w:p w14:paraId="295AE396" w14:textId="6C2D3DF5" w:rsidR="002E4CCE" w:rsidRPr="00A251FD" w:rsidRDefault="002E4CCE" w:rsidP="006B40E1">
            <w:pPr>
              <w:jc w:val="center"/>
            </w:pPr>
          </w:p>
        </w:tc>
        <w:tc>
          <w:tcPr>
            <w:tcW w:w="617" w:type="pct"/>
            <w:vAlign w:val="center"/>
          </w:tcPr>
          <w:p w14:paraId="0D5B3E29" w14:textId="679D88E1" w:rsidR="008C22A6" w:rsidRPr="00A251FD" w:rsidRDefault="008C22A6" w:rsidP="006B40E1">
            <w:pPr>
              <w:spacing w:after="120" w:line="240" w:lineRule="auto"/>
              <w:jc w:val="center"/>
              <w:rPr>
                <w:lang w:eastAsia="en-US"/>
              </w:rPr>
            </w:pPr>
            <w:r w:rsidRPr="00A251FD">
              <w:rPr>
                <w:lang w:eastAsia="en-US"/>
              </w:rPr>
              <w:t>1.7</w:t>
            </w:r>
            <w:r w:rsidR="006D5164" w:rsidRPr="00A251FD">
              <w:t xml:space="preserve"> </w:t>
            </w:r>
            <w:r w:rsidR="006D5164" w:rsidRPr="00A251FD">
              <w:rPr>
                <w:lang w:eastAsia="en-US"/>
              </w:rPr>
              <w:t>and 6.60</w:t>
            </w:r>
          </w:p>
          <w:p w14:paraId="30C86473" w14:textId="77777777" w:rsidR="002E4CCE" w:rsidRPr="00A251FD" w:rsidRDefault="002E4CCE" w:rsidP="006B40E1">
            <w:pPr>
              <w:jc w:val="center"/>
            </w:pPr>
          </w:p>
        </w:tc>
      </w:tr>
      <w:tr w:rsidR="002E4CCE" w:rsidRPr="00A251FD" w14:paraId="447B8B7F" w14:textId="77777777" w:rsidTr="006B40E1">
        <w:trPr>
          <w:trHeight w:val="1173"/>
          <w:jc w:val="center"/>
        </w:trPr>
        <w:tc>
          <w:tcPr>
            <w:tcW w:w="1061" w:type="pct"/>
            <w:vAlign w:val="center"/>
          </w:tcPr>
          <w:p w14:paraId="28BA2E31" w14:textId="77777777" w:rsidR="002E4CCE" w:rsidRPr="00A251FD" w:rsidRDefault="002E4CCE" w:rsidP="002E4CCE">
            <w:pPr>
              <w:spacing w:after="120" w:line="240" w:lineRule="auto"/>
              <w:rPr>
                <w:lang w:eastAsia="en-US"/>
              </w:rPr>
            </w:pPr>
            <w:r w:rsidRPr="00A251FD">
              <w:rPr>
                <w:lang w:eastAsia="en-US"/>
              </w:rPr>
              <w:t>Integrity in the APS</w:t>
            </w:r>
          </w:p>
          <w:p w14:paraId="4640D960" w14:textId="77777777" w:rsidR="002E4CCE" w:rsidRPr="00A251FD" w:rsidRDefault="002E4CCE" w:rsidP="002E4CCE">
            <w:pPr>
              <w:spacing w:after="120" w:line="240" w:lineRule="auto"/>
              <w:rPr>
                <w:lang w:eastAsia="en-US"/>
              </w:rPr>
            </w:pPr>
          </w:p>
        </w:tc>
        <w:tc>
          <w:tcPr>
            <w:tcW w:w="2705" w:type="pct"/>
            <w:vAlign w:val="center"/>
          </w:tcPr>
          <w:p w14:paraId="339CF57D" w14:textId="77777777" w:rsidR="002E4CCE" w:rsidRPr="00A251FD" w:rsidRDefault="002E4CCE" w:rsidP="002E4CCE">
            <w:pPr>
              <w:spacing w:after="120" w:line="240" w:lineRule="auto"/>
              <w:rPr>
                <w:lang w:eastAsia="en-US"/>
              </w:rPr>
            </w:pPr>
            <w:r w:rsidRPr="00A251FD">
              <w:rPr>
                <w:lang w:eastAsia="en-US"/>
              </w:rPr>
              <w:t>The 2024 EA introduces:</w:t>
            </w:r>
          </w:p>
          <w:p w14:paraId="27828CF6" w14:textId="77777777" w:rsidR="002E4CCE" w:rsidRPr="00A251FD" w:rsidRDefault="002E4CCE" w:rsidP="002E4CCE">
            <w:pPr>
              <w:pStyle w:val="ListParagraph"/>
              <w:numPr>
                <w:ilvl w:val="0"/>
                <w:numId w:val="33"/>
              </w:numPr>
              <w:spacing w:before="120" w:after="120" w:line="240" w:lineRule="auto"/>
              <w:rPr>
                <w:lang w:eastAsia="en-US"/>
              </w:rPr>
            </w:pPr>
            <w:r w:rsidRPr="00A251FD">
              <w:rPr>
                <w:lang w:eastAsia="en-US"/>
              </w:rPr>
              <w:t>a recognition of the importance of procedural fairness</w:t>
            </w:r>
          </w:p>
          <w:p w14:paraId="566676F5" w14:textId="19BA85F0" w:rsidR="002E4CCE" w:rsidRPr="00A251FD" w:rsidRDefault="002E4CCE" w:rsidP="002E4CCE">
            <w:pPr>
              <w:pStyle w:val="ListParagraph"/>
              <w:numPr>
                <w:ilvl w:val="0"/>
                <w:numId w:val="33"/>
              </w:numPr>
              <w:spacing w:before="120" w:after="120" w:line="240" w:lineRule="auto"/>
              <w:rPr>
                <w:lang w:eastAsia="en-US"/>
              </w:rPr>
            </w:pPr>
            <w:r w:rsidRPr="00A251FD">
              <w:rPr>
                <w:lang w:eastAsia="en-US"/>
              </w:rPr>
              <w:t>a recognition that employees are to give frank, honest, timely advice based on the best available evidence</w:t>
            </w:r>
            <w:r w:rsidR="006D5164" w:rsidRPr="00A251FD">
              <w:rPr>
                <w:lang w:eastAsia="en-US"/>
              </w:rPr>
              <w:t>; and</w:t>
            </w:r>
          </w:p>
          <w:p w14:paraId="40E00B7F" w14:textId="1CA90A6D" w:rsidR="002E4CCE" w:rsidRPr="00A251FD" w:rsidRDefault="002E4CCE" w:rsidP="002E4CCE">
            <w:pPr>
              <w:pStyle w:val="ListParagraph"/>
              <w:numPr>
                <w:ilvl w:val="0"/>
                <w:numId w:val="33"/>
              </w:numPr>
              <w:spacing w:before="120" w:after="120" w:line="240" w:lineRule="auto"/>
              <w:rPr>
                <w:lang w:eastAsia="en-US"/>
              </w:rPr>
            </w:pPr>
            <w:r w:rsidRPr="00A251FD">
              <w:rPr>
                <w:lang w:eastAsia="en-US"/>
              </w:rPr>
              <w:t>an ability for employees to access ethics advisory services and mandated integrity training during ordinary work hours.</w:t>
            </w:r>
          </w:p>
        </w:tc>
        <w:tc>
          <w:tcPr>
            <w:tcW w:w="617" w:type="pct"/>
            <w:vAlign w:val="center"/>
          </w:tcPr>
          <w:p w14:paraId="0800937B" w14:textId="0BB798E9" w:rsidR="002E4CCE" w:rsidRPr="00A251FD" w:rsidRDefault="005402C6" w:rsidP="006B40E1">
            <w:pPr>
              <w:spacing w:after="120" w:line="240" w:lineRule="auto"/>
              <w:jc w:val="center"/>
              <w:rPr>
                <w:lang w:eastAsia="en-US"/>
              </w:rPr>
            </w:pPr>
            <w:r>
              <w:rPr>
                <w:lang w:eastAsia="en-US"/>
              </w:rPr>
              <w:t>11.26 –</w:t>
            </w:r>
            <w:r w:rsidR="002E4CCE" w:rsidRPr="00A251FD">
              <w:rPr>
                <w:lang w:eastAsia="en-US"/>
              </w:rPr>
              <w:t xml:space="preserve"> 11.28</w:t>
            </w:r>
          </w:p>
          <w:p w14:paraId="6E25D5E2" w14:textId="77777777" w:rsidR="002E4CCE" w:rsidRPr="00A251FD" w:rsidRDefault="002E4CCE" w:rsidP="006B40E1">
            <w:pPr>
              <w:spacing w:after="120" w:line="240" w:lineRule="auto"/>
              <w:jc w:val="center"/>
              <w:rPr>
                <w:lang w:eastAsia="en-US"/>
              </w:rPr>
            </w:pPr>
          </w:p>
        </w:tc>
        <w:tc>
          <w:tcPr>
            <w:tcW w:w="617" w:type="pct"/>
            <w:vAlign w:val="center"/>
          </w:tcPr>
          <w:p w14:paraId="0AC8F28F" w14:textId="77777777" w:rsidR="002E4CCE" w:rsidRPr="00A251FD" w:rsidRDefault="002E4CCE" w:rsidP="006B40E1">
            <w:pPr>
              <w:spacing w:after="120" w:line="240" w:lineRule="auto"/>
              <w:jc w:val="center"/>
              <w:rPr>
                <w:lang w:eastAsia="en-US"/>
              </w:rPr>
            </w:pPr>
            <w:r w:rsidRPr="00A251FD">
              <w:rPr>
                <w:lang w:eastAsia="en-US"/>
              </w:rPr>
              <w:t>N/A</w:t>
            </w:r>
          </w:p>
          <w:p w14:paraId="3C8B3BA2" w14:textId="77777777" w:rsidR="002E4CCE" w:rsidRPr="00A251FD" w:rsidRDefault="002E4CCE" w:rsidP="006B40E1">
            <w:pPr>
              <w:jc w:val="center"/>
            </w:pPr>
          </w:p>
        </w:tc>
      </w:tr>
      <w:tr w:rsidR="002E4CCE" w:rsidRPr="00A251FD" w14:paraId="66ACFCDC" w14:textId="77777777" w:rsidTr="006B40E1">
        <w:trPr>
          <w:trHeight w:val="1173"/>
          <w:jc w:val="center"/>
        </w:trPr>
        <w:tc>
          <w:tcPr>
            <w:tcW w:w="1061" w:type="pct"/>
            <w:vAlign w:val="center"/>
          </w:tcPr>
          <w:p w14:paraId="270C3B27" w14:textId="77777777" w:rsidR="002E4CCE" w:rsidRPr="00A251FD" w:rsidRDefault="002E4CCE" w:rsidP="002E4CCE">
            <w:pPr>
              <w:spacing w:after="120" w:line="240" w:lineRule="auto"/>
              <w:rPr>
                <w:lang w:eastAsia="en-US"/>
              </w:rPr>
            </w:pPr>
            <w:r w:rsidRPr="00A251FD">
              <w:rPr>
                <w:lang w:eastAsia="en-US"/>
              </w:rPr>
              <w:t>First Nations cultural competency training</w:t>
            </w:r>
          </w:p>
          <w:p w14:paraId="312D77F2" w14:textId="77777777" w:rsidR="002E4CCE" w:rsidRPr="00A251FD" w:rsidRDefault="002E4CCE" w:rsidP="002E4CCE">
            <w:pPr>
              <w:spacing w:after="120" w:line="240" w:lineRule="auto"/>
              <w:rPr>
                <w:lang w:eastAsia="en-US"/>
              </w:rPr>
            </w:pPr>
          </w:p>
        </w:tc>
        <w:tc>
          <w:tcPr>
            <w:tcW w:w="2705" w:type="pct"/>
            <w:vAlign w:val="center"/>
          </w:tcPr>
          <w:p w14:paraId="5CA5EDF5" w14:textId="77777777" w:rsidR="002E4CCE" w:rsidRPr="00A251FD" w:rsidRDefault="002E4CCE" w:rsidP="002E4CCE">
            <w:pPr>
              <w:spacing w:after="120" w:line="240" w:lineRule="auto"/>
              <w:rPr>
                <w:lang w:eastAsia="en-US"/>
              </w:rPr>
            </w:pPr>
            <w:r w:rsidRPr="00A251FD">
              <w:rPr>
                <w:lang w:eastAsia="en-US"/>
              </w:rPr>
              <w:t>The 2024 EA introduces a requirement for:</w:t>
            </w:r>
          </w:p>
          <w:p w14:paraId="6136C843" w14:textId="441ED62E" w:rsidR="002E4CCE" w:rsidRPr="00A251FD" w:rsidRDefault="002E4CCE" w:rsidP="00F462EF">
            <w:pPr>
              <w:pStyle w:val="ListParagraph"/>
              <w:numPr>
                <w:ilvl w:val="0"/>
                <w:numId w:val="37"/>
              </w:numPr>
              <w:spacing w:after="120" w:line="240" w:lineRule="auto"/>
              <w:rPr>
                <w:lang w:eastAsia="en-US"/>
              </w:rPr>
            </w:pPr>
            <w:r w:rsidRPr="00A251FD">
              <w:rPr>
                <w:lang w:eastAsia="en-US"/>
              </w:rPr>
              <w:t>the Commissioner to take all reasonable steps to ensure that all ongoing EL2 employees at the commencement of the agreement, and those who start within six months of commencement, complete relevant First Nations cultural competency training within 12 months of the 2024 EA commencing</w:t>
            </w:r>
            <w:r w:rsidR="006D5164" w:rsidRPr="00A251FD">
              <w:rPr>
                <w:lang w:eastAsia="en-US"/>
              </w:rPr>
              <w:t>; and</w:t>
            </w:r>
          </w:p>
          <w:p w14:paraId="385F402D" w14:textId="0B97717F" w:rsidR="002E4CCE" w:rsidRPr="00A251FD" w:rsidRDefault="002E4CCE" w:rsidP="00F462EF">
            <w:pPr>
              <w:pStyle w:val="ListParagraph"/>
              <w:numPr>
                <w:ilvl w:val="0"/>
                <w:numId w:val="37"/>
              </w:numPr>
              <w:spacing w:after="120" w:line="240" w:lineRule="auto"/>
              <w:rPr>
                <w:lang w:eastAsia="en-US"/>
              </w:rPr>
            </w:pPr>
            <w:r w:rsidRPr="00A251FD">
              <w:rPr>
                <w:lang w:eastAsia="en-US"/>
              </w:rPr>
              <w:lastRenderedPageBreak/>
              <w:t xml:space="preserve">any new substantive EL2 employees who starts 6 months after the  commencement of the 2024 EA to complete relevant First Nations cultural competency training within 6 months of their engagement or promotion. </w:t>
            </w:r>
          </w:p>
        </w:tc>
        <w:tc>
          <w:tcPr>
            <w:tcW w:w="617" w:type="pct"/>
            <w:vAlign w:val="center"/>
          </w:tcPr>
          <w:p w14:paraId="2AA2004A" w14:textId="77777777" w:rsidR="002E4CCE" w:rsidRPr="00A251FD" w:rsidRDefault="002E4CCE" w:rsidP="006B40E1">
            <w:pPr>
              <w:spacing w:after="120" w:line="240" w:lineRule="auto"/>
              <w:jc w:val="center"/>
              <w:rPr>
                <w:lang w:eastAsia="en-US"/>
              </w:rPr>
            </w:pPr>
            <w:r w:rsidRPr="00A251FD">
              <w:rPr>
                <w:lang w:eastAsia="en-US"/>
              </w:rPr>
              <w:lastRenderedPageBreak/>
              <w:t>11.29 – 11.30</w:t>
            </w:r>
          </w:p>
          <w:p w14:paraId="392DE034" w14:textId="77777777" w:rsidR="002E4CCE" w:rsidRPr="00A251FD" w:rsidRDefault="002E4CCE" w:rsidP="006B40E1">
            <w:pPr>
              <w:spacing w:after="120" w:line="240" w:lineRule="auto"/>
              <w:jc w:val="center"/>
              <w:rPr>
                <w:lang w:eastAsia="en-US"/>
              </w:rPr>
            </w:pPr>
          </w:p>
        </w:tc>
        <w:tc>
          <w:tcPr>
            <w:tcW w:w="617" w:type="pct"/>
            <w:vAlign w:val="center"/>
          </w:tcPr>
          <w:p w14:paraId="3A593A96" w14:textId="77777777" w:rsidR="002E4CCE" w:rsidRPr="00A251FD" w:rsidRDefault="002E4CCE" w:rsidP="006B40E1">
            <w:pPr>
              <w:spacing w:after="120" w:line="240" w:lineRule="auto"/>
              <w:jc w:val="center"/>
              <w:rPr>
                <w:lang w:eastAsia="en-US"/>
              </w:rPr>
            </w:pPr>
            <w:r w:rsidRPr="00A251FD">
              <w:rPr>
                <w:lang w:eastAsia="en-US"/>
              </w:rPr>
              <w:t>N/A</w:t>
            </w:r>
          </w:p>
          <w:p w14:paraId="2FFF0D46" w14:textId="77777777" w:rsidR="002E4CCE" w:rsidRPr="00A251FD" w:rsidRDefault="002E4CCE" w:rsidP="006B40E1">
            <w:pPr>
              <w:spacing w:after="120" w:line="240" w:lineRule="auto"/>
              <w:jc w:val="center"/>
              <w:rPr>
                <w:lang w:eastAsia="en-US"/>
              </w:rPr>
            </w:pPr>
          </w:p>
        </w:tc>
      </w:tr>
      <w:tr w:rsidR="002E4CCE" w:rsidRPr="00A251FD" w14:paraId="4DC9C826" w14:textId="77777777" w:rsidTr="006B40E1">
        <w:trPr>
          <w:trHeight w:val="1173"/>
          <w:jc w:val="center"/>
        </w:trPr>
        <w:tc>
          <w:tcPr>
            <w:tcW w:w="1061" w:type="pct"/>
            <w:vAlign w:val="center"/>
          </w:tcPr>
          <w:p w14:paraId="17F52CCE" w14:textId="77777777" w:rsidR="002E4CCE" w:rsidRPr="00A251FD" w:rsidRDefault="002E4CCE" w:rsidP="002E4CCE">
            <w:pPr>
              <w:spacing w:after="120" w:line="240" w:lineRule="auto"/>
              <w:rPr>
                <w:lang w:eastAsia="en-US"/>
              </w:rPr>
            </w:pPr>
            <w:r w:rsidRPr="00A251FD">
              <w:rPr>
                <w:lang w:eastAsia="en-US"/>
              </w:rPr>
              <w:t>Lactation and breastfeeding support</w:t>
            </w:r>
          </w:p>
          <w:p w14:paraId="4E1F5188" w14:textId="77777777" w:rsidR="002E4CCE" w:rsidRPr="00A251FD" w:rsidRDefault="002E4CCE" w:rsidP="002E4CCE">
            <w:pPr>
              <w:spacing w:after="120" w:line="240" w:lineRule="auto"/>
              <w:rPr>
                <w:lang w:eastAsia="en-US"/>
              </w:rPr>
            </w:pPr>
          </w:p>
        </w:tc>
        <w:tc>
          <w:tcPr>
            <w:tcW w:w="2705" w:type="pct"/>
            <w:vAlign w:val="center"/>
          </w:tcPr>
          <w:p w14:paraId="172CB6CF" w14:textId="77777777" w:rsidR="002E4CCE" w:rsidRPr="00A251FD" w:rsidRDefault="002E4CCE" w:rsidP="002E4CCE">
            <w:pPr>
              <w:spacing w:after="120" w:line="240" w:lineRule="auto"/>
              <w:rPr>
                <w:lang w:eastAsia="en-US"/>
              </w:rPr>
            </w:pPr>
            <w:r w:rsidRPr="00A251FD">
              <w:rPr>
                <w:lang w:eastAsia="en-US"/>
              </w:rPr>
              <w:t>The 2024 EA introduces:</w:t>
            </w:r>
          </w:p>
          <w:p w14:paraId="172E38D1" w14:textId="0AA3AEBC" w:rsidR="005A0A2A" w:rsidRDefault="002E4CCE" w:rsidP="005A0A2A">
            <w:pPr>
              <w:pStyle w:val="ListParagraph"/>
              <w:numPr>
                <w:ilvl w:val="0"/>
                <w:numId w:val="34"/>
              </w:numPr>
              <w:spacing w:before="120" w:after="120" w:line="240" w:lineRule="auto"/>
              <w:rPr>
                <w:lang w:eastAsia="en-US"/>
              </w:rPr>
            </w:pPr>
            <w:r w:rsidRPr="00A251FD">
              <w:rPr>
                <w:lang w:eastAsia="en-US"/>
              </w:rPr>
              <w:t>an entitlement to reasonable paid time during work hours for lactation/breastfeeding and associated activities</w:t>
            </w:r>
            <w:r w:rsidR="005A0A2A">
              <w:rPr>
                <w:lang w:eastAsia="en-US"/>
              </w:rPr>
              <w:t>; and</w:t>
            </w:r>
          </w:p>
          <w:p w14:paraId="2287A09B" w14:textId="43044DEC" w:rsidR="002E4CCE" w:rsidRPr="00A251FD" w:rsidRDefault="002E4CCE" w:rsidP="005A0A2A">
            <w:pPr>
              <w:pStyle w:val="ListParagraph"/>
              <w:numPr>
                <w:ilvl w:val="0"/>
                <w:numId w:val="34"/>
              </w:numPr>
              <w:spacing w:before="120" w:after="120" w:line="240" w:lineRule="auto"/>
              <w:rPr>
                <w:lang w:eastAsia="en-US"/>
              </w:rPr>
            </w:pPr>
            <w:r w:rsidRPr="00A251FD">
              <w:rPr>
                <w:lang w:eastAsia="en-US"/>
              </w:rPr>
              <w:t xml:space="preserve">an obligation on the Commission to provide access to appropriate facilities for lactation/breastfeeding purposes (or otherwise flexible approaches so that the employee can access support required). </w:t>
            </w:r>
          </w:p>
        </w:tc>
        <w:tc>
          <w:tcPr>
            <w:tcW w:w="617" w:type="pct"/>
            <w:vAlign w:val="center"/>
          </w:tcPr>
          <w:p w14:paraId="0F1FD4C9" w14:textId="23BAB1F9" w:rsidR="002E4CCE" w:rsidRPr="00A251FD" w:rsidRDefault="002E4CCE" w:rsidP="006B40E1">
            <w:pPr>
              <w:spacing w:after="120" w:line="240" w:lineRule="auto"/>
              <w:jc w:val="center"/>
              <w:rPr>
                <w:lang w:eastAsia="en-US"/>
              </w:rPr>
            </w:pPr>
            <w:r w:rsidRPr="00A251FD">
              <w:rPr>
                <w:lang w:eastAsia="en-US"/>
              </w:rPr>
              <w:t>11.31 – 11.36</w:t>
            </w:r>
          </w:p>
          <w:p w14:paraId="482917C0" w14:textId="77777777" w:rsidR="002E4CCE" w:rsidRPr="00A251FD" w:rsidRDefault="002E4CCE" w:rsidP="006B40E1">
            <w:pPr>
              <w:spacing w:after="120" w:line="240" w:lineRule="auto"/>
              <w:jc w:val="center"/>
              <w:rPr>
                <w:lang w:eastAsia="en-US"/>
              </w:rPr>
            </w:pPr>
          </w:p>
        </w:tc>
        <w:tc>
          <w:tcPr>
            <w:tcW w:w="617" w:type="pct"/>
            <w:vAlign w:val="center"/>
          </w:tcPr>
          <w:p w14:paraId="77FECF23" w14:textId="77777777" w:rsidR="002E4CCE" w:rsidRPr="00A251FD" w:rsidRDefault="002E4CCE" w:rsidP="006B40E1">
            <w:pPr>
              <w:spacing w:after="120" w:line="240" w:lineRule="auto"/>
              <w:jc w:val="center"/>
              <w:rPr>
                <w:lang w:eastAsia="en-US"/>
              </w:rPr>
            </w:pPr>
            <w:r w:rsidRPr="00A251FD">
              <w:rPr>
                <w:lang w:eastAsia="en-US"/>
              </w:rPr>
              <w:t>N/A</w:t>
            </w:r>
          </w:p>
          <w:p w14:paraId="6B80F87D" w14:textId="77777777" w:rsidR="002E4CCE" w:rsidRPr="00A251FD" w:rsidRDefault="002E4CCE" w:rsidP="006B40E1">
            <w:pPr>
              <w:spacing w:after="120" w:line="240" w:lineRule="auto"/>
              <w:jc w:val="center"/>
              <w:rPr>
                <w:lang w:eastAsia="en-US"/>
              </w:rPr>
            </w:pPr>
          </w:p>
        </w:tc>
      </w:tr>
      <w:tr w:rsidR="002E4CCE" w:rsidRPr="00A251FD" w14:paraId="3625030B" w14:textId="77777777" w:rsidTr="006B40E1">
        <w:trPr>
          <w:trHeight w:val="1173"/>
          <w:jc w:val="center"/>
        </w:trPr>
        <w:tc>
          <w:tcPr>
            <w:tcW w:w="1061" w:type="pct"/>
            <w:vAlign w:val="center"/>
          </w:tcPr>
          <w:p w14:paraId="7B2AA60E" w14:textId="77777777" w:rsidR="002E4CCE" w:rsidRPr="00A251FD" w:rsidRDefault="002E4CCE" w:rsidP="002E4CCE">
            <w:pPr>
              <w:spacing w:after="120" w:line="240" w:lineRule="auto"/>
              <w:rPr>
                <w:lang w:eastAsia="en-US"/>
              </w:rPr>
            </w:pPr>
            <w:r w:rsidRPr="00A251FD">
              <w:rPr>
                <w:lang w:eastAsia="en-US"/>
              </w:rPr>
              <w:t xml:space="preserve">Disaster support </w:t>
            </w:r>
          </w:p>
          <w:p w14:paraId="11C8853B" w14:textId="77777777" w:rsidR="002E4CCE" w:rsidRPr="00A251FD" w:rsidRDefault="002E4CCE" w:rsidP="002E4CCE">
            <w:pPr>
              <w:spacing w:after="120" w:line="240" w:lineRule="auto"/>
              <w:rPr>
                <w:lang w:eastAsia="en-US"/>
              </w:rPr>
            </w:pPr>
          </w:p>
        </w:tc>
        <w:tc>
          <w:tcPr>
            <w:tcW w:w="2705" w:type="pct"/>
            <w:vAlign w:val="center"/>
          </w:tcPr>
          <w:p w14:paraId="14E95E40" w14:textId="77777777" w:rsidR="002E4CCE" w:rsidRPr="00A251FD" w:rsidRDefault="002E4CCE" w:rsidP="002E4CCE">
            <w:pPr>
              <w:spacing w:after="120" w:line="240" w:lineRule="auto"/>
              <w:rPr>
                <w:lang w:eastAsia="en-US"/>
              </w:rPr>
            </w:pPr>
            <w:r w:rsidRPr="00A251FD">
              <w:rPr>
                <w:lang w:eastAsia="en-US"/>
              </w:rPr>
              <w:t xml:space="preserve">The 2024 EA introduces provisions which provide that if an official emergency or natural disaster is declared which prevents an employee from doing their work, the employee may be supported through: </w:t>
            </w:r>
          </w:p>
          <w:p w14:paraId="57D17E10" w14:textId="77777777" w:rsidR="002E4CCE" w:rsidRPr="00A251FD" w:rsidRDefault="002E4CCE" w:rsidP="002E4CCE">
            <w:pPr>
              <w:pStyle w:val="ListParagraph"/>
              <w:numPr>
                <w:ilvl w:val="0"/>
                <w:numId w:val="35"/>
              </w:numPr>
              <w:spacing w:before="120" w:after="120" w:line="240" w:lineRule="auto"/>
              <w:rPr>
                <w:lang w:eastAsia="en-US"/>
              </w:rPr>
            </w:pPr>
            <w:r w:rsidRPr="00A251FD">
              <w:rPr>
                <w:lang w:eastAsia="en-US"/>
              </w:rPr>
              <w:t>flexible working arrangements; or</w:t>
            </w:r>
          </w:p>
          <w:p w14:paraId="54ABE92C" w14:textId="625586D5" w:rsidR="002E4CCE" w:rsidRPr="00A251FD" w:rsidRDefault="002E4CCE" w:rsidP="002E4CCE">
            <w:pPr>
              <w:pStyle w:val="ListParagraph"/>
              <w:numPr>
                <w:ilvl w:val="0"/>
                <w:numId w:val="35"/>
              </w:numPr>
              <w:spacing w:before="120" w:after="120" w:line="240" w:lineRule="auto"/>
              <w:rPr>
                <w:lang w:eastAsia="en-US"/>
              </w:rPr>
            </w:pPr>
            <w:r w:rsidRPr="00A251FD">
              <w:rPr>
                <w:lang w:eastAsia="en-US"/>
              </w:rPr>
              <w:t>paid miscellaneous leave.</w:t>
            </w:r>
          </w:p>
        </w:tc>
        <w:tc>
          <w:tcPr>
            <w:tcW w:w="617" w:type="pct"/>
            <w:vAlign w:val="center"/>
          </w:tcPr>
          <w:p w14:paraId="3185691C" w14:textId="77777777" w:rsidR="002E4CCE" w:rsidRPr="00A251FD" w:rsidRDefault="002E4CCE" w:rsidP="006B40E1">
            <w:pPr>
              <w:spacing w:after="120" w:line="240" w:lineRule="auto"/>
              <w:jc w:val="center"/>
              <w:rPr>
                <w:lang w:eastAsia="en-US"/>
              </w:rPr>
            </w:pPr>
            <w:r w:rsidRPr="00A251FD">
              <w:rPr>
                <w:lang w:eastAsia="en-US"/>
              </w:rPr>
              <w:t>11.37 – 11.39</w:t>
            </w:r>
          </w:p>
          <w:p w14:paraId="621D146D" w14:textId="77777777" w:rsidR="002E4CCE" w:rsidRPr="00A251FD" w:rsidRDefault="002E4CCE" w:rsidP="006B40E1">
            <w:pPr>
              <w:spacing w:after="120" w:line="240" w:lineRule="auto"/>
              <w:jc w:val="center"/>
              <w:rPr>
                <w:lang w:eastAsia="en-US"/>
              </w:rPr>
            </w:pPr>
          </w:p>
        </w:tc>
        <w:tc>
          <w:tcPr>
            <w:tcW w:w="617" w:type="pct"/>
            <w:vAlign w:val="center"/>
          </w:tcPr>
          <w:p w14:paraId="59A615AC" w14:textId="77777777" w:rsidR="002E4CCE" w:rsidRPr="00A251FD" w:rsidRDefault="002E4CCE" w:rsidP="006B40E1">
            <w:pPr>
              <w:spacing w:after="120" w:line="240" w:lineRule="auto"/>
              <w:jc w:val="center"/>
              <w:rPr>
                <w:lang w:eastAsia="en-US"/>
              </w:rPr>
            </w:pPr>
            <w:r w:rsidRPr="00A251FD">
              <w:rPr>
                <w:lang w:eastAsia="en-US"/>
              </w:rPr>
              <w:t>N/A</w:t>
            </w:r>
          </w:p>
          <w:p w14:paraId="10A57277" w14:textId="77777777" w:rsidR="002E4CCE" w:rsidRPr="00A251FD" w:rsidRDefault="002E4CCE" w:rsidP="006B40E1">
            <w:pPr>
              <w:spacing w:after="120" w:line="240" w:lineRule="auto"/>
              <w:jc w:val="center"/>
              <w:rPr>
                <w:lang w:eastAsia="en-US"/>
              </w:rPr>
            </w:pPr>
          </w:p>
        </w:tc>
      </w:tr>
    </w:tbl>
    <w:p w14:paraId="75DF263B" w14:textId="48077A3C" w:rsidR="006B40E1" w:rsidRPr="006B40E1" w:rsidRDefault="006B40E1" w:rsidP="00C83BFE">
      <w:pPr>
        <w:keepNext/>
        <w:keepLines/>
        <w:spacing w:after="0"/>
        <w:outlineLvl w:val="1"/>
        <w:rPr>
          <w:rFonts w:eastAsiaTheme="majorEastAsia"/>
          <w:b/>
          <w:color w:val="612C69"/>
          <w:sz w:val="32"/>
          <w:szCs w:val="26"/>
        </w:rPr>
      </w:pPr>
      <w:r w:rsidRPr="006B40E1">
        <w:rPr>
          <w:rFonts w:eastAsiaTheme="majorEastAsia"/>
          <w:b/>
          <w:color w:val="612C69"/>
          <w:sz w:val="32"/>
          <w:szCs w:val="26"/>
        </w:rPr>
        <w:t>Part 12: Dispute Resolution Procedure</w:t>
      </w:r>
    </w:p>
    <w:tbl>
      <w:tblPr>
        <w:tblStyle w:val="TableGrid"/>
        <w:tblW w:w="5000" w:type="pct"/>
        <w:jc w:val="center"/>
        <w:tblLook w:val="04A0" w:firstRow="1" w:lastRow="0" w:firstColumn="1" w:lastColumn="0" w:noHBand="0" w:noVBand="1"/>
        <w:tblCaption w:val="EA Fact Sheet - Key Features"/>
        <w:tblDescription w:val="EA Fact Sheet - Key Features"/>
      </w:tblPr>
      <w:tblGrid>
        <w:gridCol w:w="3029"/>
        <w:gridCol w:w="7723"/>
        <w:gridCol w:w="1762"/>
        <w:gridCol w:w="1762"/>
      </w:tblGrid>
      <w:tr w:rsidR="00A251FD" w:rsidRPr="00A251FD" w14:paraId="6D4B19CA" w14:textId="1EDDDEF8" w:rsidTr="00A251FD">
        <w:trPr>
          <w:trHeight w:val="416"/>
          <w:tblHeader/>
          <w:jc w:val="center"/>
        </w:trPr>
        <w:tc>
          <w:tcPr>
            <w:tcW w:w="1061" w:type="pct"/>
            <w:shd w:val="clear" w:color="auto" w:fill="943C84"/>
            <w:vAlign w:val="center"/>
          </w:tcPr>
          <w:p w14:paraId="7CF8F984" w14:textId="4E9421B1" w:rsidR="00C83BFE" w:rsidRPr="00A251FD" w:rsidRDefault="00C83BFE" w:rsidP="004940D8">
            <w:pPr>
              <w:rPr>
                <w:b/>
                <w:color w:val="FFFFFF" w:themeColor="background1"/>
              </w:rPr>
            </w:pPr>
            <w:r w:rsidRPr="00A251FD">
              <w:rPr>
                <w:b/>
                <w:color w:val="FFFFFF" w:themeColor="background1"/>
              </w:rPr>
              <w:t>Employment Condition</w:t>
            </w:r>
          </w:p>
        </w:tc>
        <w:tc>
          <w:tcPr>
            <w:tcW w:w="2705" w:type="pct"/>
            <w:shd w:val="clear" w:color="auto" w:fill="943C84"/>
            <w:vAlign w:val="center"/>
          </w:tcPr>
          <w:p w14:paraId="7689423F" w14:textId="71EEDFE8" w:rsidR="00C83BFE" w:rsidRPr="00A251FD" w:rsidRDefault="00C83BFE" w:rsidP="004940D8">
            <w:pPr>
              <w:rPr>
                <w:b/>
                <w:color w:val="FFFFFF" w:themeColor="background1"/>
              </w:rPr>
            </w:pPr>
            <w:r w:rsidRPr="00A251FD">
              <w:rPr>
                <w:b/>
                <w:color w:val="FFFFFF" w:themeColor="background1"/>
              </w:rPr>
              <w:t>Explanation of key changes from 2019 EA</w:t>
            </w:r>
          </w:p>
        </w:tc>
        <w:tc>
          <w:tcPr>
            <w:tcW w:w="617" w:type="pct"/>
            <w:shd w:val="clear" w:color="auto" w:fill="943C84"/>
            <w:vAlign w:val="center"/>
          </w:tcPr>
          <w:p w14:paraId="0ABF707D" w14:textId="71B731FA" w:rsidR="00C83BFE" w:rsidRPr="00A251FD" w:rsidRDefault="00C83BFE" w:rsidP="004940D8">
            <w:pPr>
              <w:rPr>
                <w:b/>
                <w:color w:val="FFFFFF" w:themeColor="background1"/>
              </w:rPr>
            </w:pPr>
            <w:r w:rsidRPr="00A251FD">
              <w:rPr>
                <w:b/>
                <w:color w:val="FFFFFF" w:themeColor="background1"/>
              </w:rPr>
              <w:t>2024 EA clause</w:t>
            </w:r>
          </w:p>
        </w:tc>
        <w:tc>
          <w:tcPr>
            <w:tcW w:w="617" w:type="pct"/>
            <w:shd w:val="clear" w:color="auto" w:fill="943C84"/>
            <w:vAlign w:val="center"/>
          </w:tcPr>
          <w:p w14:paraId="40BF9BEC" w14:textId="0814010A" w:rsidR="00C83BFE" w:rsidRPr="00A251FD" w:rsidRDefault="00495ACB" w:rsidP="004940D8">
            <w:pPr>
              <w:rPr>
                <w:b/>
                <w:color w:val="FFFFFF" w:themeColor="background1"/>
              </w:rPr>
            </w:pPr>
            <w:r w:rsidRPr="00A251FD">
              <w:rPr>
                <w:b/>
                <w:color w:val="FFFFFF" w:themeColor="background1"/>
              </w:rPr>
              <w:t>2019 EA clause</w:t>
            </w:r>
          </w:p>
        </w:tc>
      </w:tr>
      <w:tr w:rsidR="00C83BFE" w:rsidRPr="00A251FD" w14:paraId="7365316F" w14:textId="11CD7FAF" w:rsidTr="00495ACB">
        <w:trPr>
          <w:trHeight w:val="1173"/>
          <w:jc w:val="center"/>
        </w:trPr>
        <w:tc>
          <w:tcPr>
            <w:tcW w:w="1061" w:type="pct"/>
            <w:vAlign w:val="center"/>
          </w:tcPr>
          <w:p w14:paraId="6236F01C" w14:textId="77777777" w:rsidR="007848EF" w:rsidRPr="00A251FD" w:rsidRDefault="007848EF" w:rsidP="007848EF">
            <w:pPr>
              <w:spacing w:after="120" w:line="240" w:lineRule="auto"/>
              <w:rPr>
                <w:lang w:eastAsia="en-US"/>
              </w:rPr>
            </w:pPr>
            <w:r w:rsidRPr="00A251FD">
              <w:rPr>
                <w:lang w:eastAsia="en-US"/>
              </w:rPr>
              <w:t>Dispute resolution</w:t>
            </w:r>
          </w:p>
          <w:p w14:paraId="752944EE" w14:textId="169BF984" w:rsidR="00C83BFE" w:rsidRPr="00A251FD" w:rsidRDefault="00C83BFE" w:rsidP="004940D8">
            <w:pPr>
              <w:rPr>
                <w:b/>
                <w:bCs/>
              </w:rPr>
            </w:pPr>
          </w:p>
        </w:tc>
        <w:tc>
          <w:tcPr>
            <w:tcW w:w="2705" w:type="pct"/>
            <w:vAlign w:val="center"/>
          </w:tcPr>
          <w:p w14:paraId="5A79EF1E" w14:textId="77777777" w:rsidR="007848EF" w:rsidRPr="00A251FD" w:rsidRDefault="007848EF" w:rsidP="007848EF">
            <w:pPr>
              <w:spacing w:after="120" w:line="240" w:lineRule="auto"/>
            </w:pPr>
            <w:r w:rsidRPr="00A251FD">
              <w:t xml:space="preserve">The 2024 EA provides that: </w:t>
            </w:r>
          </w:p>
          <w:p w14:paraId="12D74478" w14:textId="59A5E43B" w:rsidR="007848EF" w:rsidRPr="00A251FD" w:rsidRDefault="007848EF" w:rsidP="007848EF">
            <w:pPr>
              <w:pStyle w:val="ListParagraph"/>
              <w:numPr>
                <w:ilvl w:val="0"/>
                <w:numId w:val="30"/>
              </w:numPr>
              <w:spacing w:before="120" w:after="120" w:line="240" w:lineRule="auto"/>
            </w:pPr>
            <w:r w:rsidRPr="00A251FD">
              <w:t>an employee or union covered by the agreement may initiate or be a party to a dispute</w:t>
            </w:r>
            <w:r w:rsidR="00CC0D09" w:rsidRPr="00A251FD">
              <w:t>;</w:t>
            </w:r>
          </w:p>
          <w:p w14:paraId="676A58A7" w14:textId="4173C5C3" w:rsidR="007848EF" w:rsidRPr="00A251FD" w:rsidRDefault="007848EF" w:rsidP="007848EF">
            <w:pPr>
              <w:pStyle w:val="ListParagraph"/>
              <w:numPr>
                <w:ilvl w:val="0"/>
                <w:numId w:val="30"/>
              </w:numPr>
              <w:spacing w:before="120" w:after="120" w:line="240" w:lineRule="auto"/>
            </w:pPr>
            <w:r w:rsidRPr="00A251FD">
              <w:t>a representative appointed by an employee who is a party to a dispute will be recognised and dealt with in good faith</w:t>
            </w:r>
            <w:r w:rsidR="00CC0D09" w:rsidRPr="00A251FD">
              <w:t>;</w:t>
            </w:r>
          </w:p>
          <w:p w14:paraId="75D7ED2F" w14:textId="2775B6CD" w:rsidR="007848EF" w:rsidRPr="00A251FD" w:rsidRDefault="007848EF" w:rsidP="007848EF">
            <w:pPr>
              <w:pStyle w:val="ListParagraph"/>
              <w:numPr>
                <w:ilvl w:val="0"/>
                <w:numId w:val="30"/>
              </w:numPr>
              <w:spacing w:before="120" w:after="120" w:line="240" w:lineRule="auto"/>
            </w:pPr>
            <w:r w:rsidRPr="00A251FD">
              <w:lastRenderedPageBreak/>
              <w:t>when the parties are attempting to resolve the dispute at the workplace level, the parties will notify higher level managers to assist in the resolution of the dispute and that parties will give genuine consideration to proposals to resolve the dispute</w:t>
            </w:r>
            <w:r w:rsidR="00CC0D09" w:rsidRPr="00A251FD">
              <w:t>; and</w:t>
            </w:r>
            <w:r w:rsidRPr="00A251FD">
              <w:t xml:space="preserve"> </w:t>
            </w:r>
          </w:p>
          <w:p w14:paraId="701CADE7" w14:textId="77777777" w:rsidR="00C83BFE" w:rsidRPr="00A251FD" w:rsidRDefault="007848EF" w:rsidP="007848EF">
            <w:pPr>
              <w:pStyle w:val="ListParagraph"/>
              <w:numPr>
                <w:ilvl w:val="0"/>
                <w:numId w:val="7"/>
              </w:numPr>
            </w:pPr>
            <w:r w:rsidRPr="00A251FD">
              <w:t>where the dispute resolution provisions have been complied with, an employee/union delegate/employee representative or an employee required to provide evidence, will be provided paid time to attend dispute resolution processes and proceedings in the Fair Work Commission arising from a referral of a dispute to the Commission.</w:t>
            </w:r>
          </w:p>
          <w:p w14:paraId="119585D2" w14:textId="43F43F5C" w:rsidR="00CC0D09" w:rsidRPr="00A251FD" w:rsidRDefault="00CC0D09" w:rsidP="00CC0D09">
            <w:r w:rsidRPr="00A251FD">
              <w:t>The 2024 EA also includes a term which states that disputes formally notified under Part 11 of the 2019 EA before the commencement of the 2024 EA that remained unresolved at the date of commencement of the 2024 EA will be progressed under the 2024 EA dispute resolution procedure.</w:t>
            </w:r>
          </w:p>
        </w:tc>
        <w:tc>
          <w:tcPr>
            <w:tcW w:w="617" w:type="pct"/>
            <w:vAlign w:val="center"/>
          </w:tcPr>
          <w:p w14:paraId="73F4E995" w14:textId="77777777" w:rsidR="007848EF" w:rsidRPr="00A251FD" w:rsidRDefault="007848EF" w:rsidP="007848EF">
            <w:pPr>
              <w:spacing w:after="120" w:line="240" w:lineRule="auto"/>
              <w:rPr>
                <w:lang w:eastAsia="en-US"/>
              </w:rPr>
            </w:pPr>
            <w:r w:rsidRPr="00A251FD">
              <w:rPr>
                <w:lang w:eastAsia="en-US"/>
              </w:rPr>
              <w:lastRenderedPageBreak/>
              <w:t>12.1 – 12.10</w:t>
            </w:r>
          </w:p>
          <w:p w14:paraId="303B70DA" w14:textId="2CD9DAF5" w:rsidR="00C83BFE" w:rsidRPr="00A251FD" w:rsidRDefault="00C83BFE" w:rsidP="004940D8"/>
        </w:tc>
        <w:tc>
          <w:tcPr>
            <w:tcW w:w="617" w:type="pct"/>
            <w:vAlign w:val="center"/>
          </w:tcPr>
          <w:p w14:paraId="6A931D60" w14:textId="6E9BACA5" w:rsidR="003F4A45" w:rsidRPr="00A251FD" w:rsidRDefault="005402C6" w:rsidP="003F4A45">
            <w:pPr>
              <w:spacing w:after="120" w:line="240" w:lineRule="auto"/>
              <w:rPr>
                <w:lang w:eastAsia="en-US"/>
              </w:rPr>
            </w:pPr>
            <w:r>
              <w:rPr>
                <w:lang w:eastAsia="en-US"/>
              </w:rPr>
              <w:t xml:space="preserve">11.1 – </w:t>
            </w:r>
            <w:bookmarkStart w:id="1" w:name="_GoBack"/>
            <w:bookmarkEnd w:id="1"/>
            <w:r w:rsidR="003F4A45" w:rsidRPr="00A251FD">
              <w:rPr>
                <w:lang w:eastAsia="en-US"/>
              </w:rPr>
              <w:t>11.7</w:t>
            </w:r>
          </w:p>
          <w:p w14:paraId="13A812FA" w14:textId="77777777" w:rsidR="00C83BFE" w:rsidRPr="00A251FD" w:rsidRDefault="00C83BFE" w:rsidP="004940D8"/>
        </w:tc>
      </w:tr>
    </w:tbl>
    <w:p w14:paraId="7FF767A5" w14:textId="77777777" w:rsidR="00B4646F" w:rsidRPr="00A251FD" w:rsidRDefault="00B4646F" w:rsidP="00B377DE"/>
    <w:sectPr w:rsidR="00B4646F" w:rsidRPr="00A251FD" w:rsidSect="00440D6C">
      <w:footerReference w:type="default" r:id="rId9"/>
      <w:footerReference w:type="first" r:id="rId10"/>
      <w:pgSz w:w="16838" w:h="11906" w:orient="landscape"/>
      <w:pgMar w:top="1134" w:right="1134" w:bottom="142" w:left="1418" w:header="284"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16BD0" w14:textId="77777777" w:rsidR="00091764" w:rsidRDefault="00091764" w:rsidP="004940D8">
      <w:r>
        <w:separator/>
      </w:r>
    </w:p>
  </w:endnote>
  <w:endnote w:type="continuationSeparator" w:id="0">
    <w:p w14:paraId="4E3CC982" w14:textId="77777777" w:rsidR="00091764" w:rsidRDefault="00091764" w:rsidP="0049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78E4D" w14:textId="5B404047" w:rsidR="005C3B99" w:rsidRDefault="005C3B99" w:rsidP="006B40E1">
    <w:pPr>
      <w:pStyle w:val="Footer"/>
      <w:jc w:val="center"/>
    </w:pPr>
    <w:sdt>
      <w:sdtPr>
        <w:id w:val="235132679"/>
        <w:docPartObj>
          <w:docPartGallery w:val="Page Numbers (Bottom of Page)"/>
          <w:docPartUnique/>
        </w:docPartObj>
      </w:sdtPr>
      <w:sdtEndPr>
        <w:rPr>
          <w:noProof/>
        </w:rPr>
      </w:sdtEndPr>
      <w:sdtContent>
        <w:r w:rsidRPr="00B4646F">
          <w:fldChar w:fldCharType="begin"/>
        </w:r>
        <w:r w:rsidRPr="00B4646F">
          <w:instrText xml:space="preserve"> PAGE   \* MERGEFORMAT </w:instrText>
        </w:r>
        <w:r w:rsidRPr="00B4646F">
          <w:fldChar w:fldCharType="separate"/>
        </w:r>
        <w:r w:rsidR="005402C6">
          <w:rPr>
            <w:noProof/>
          </w:rPr>
          <w:t>30</w:t>
        </w:r>
        <w:r w:rsidRPr="00B4646F">
          <w:rPr>
            <w:noProof/>
          </w:rPr>
          <w:fldChar w:fldCharType="end"/>
        </w:r>
      </w:sdtContent>
    </w:sdt>
    <w:r>
      <w:t xml:space="preserve"> </w:t>
    </w:r>
  </w:p>
  <w:p w14:paraId="4E094838" w14:textId="7F84FCEA" w:rsidR="005C3B99" w:rsidRPr="00623C42" w:rsidRDefault="005C3B99" w:rsidP="006B40E1">
    <w:pPr>
      <w:pStyle w:val="Footer"/>
      <w:jc w:val="center"/>
    </w:pPr>
    <w:r w:rsidRPr="00623C42">
      <w:t>NDIS Quality and Safeguards Commission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03039"/>
      <w:docPartObj>
        <w:docPartGallery w:val="Page Numbers (Bottom of Page)"/>
        <w:docPartUnique/>
      </w:docPartObj>
    </w:sdtPr>
    <w:sdtEndPr>
      <w:rPr>
        <w:noProof/>
      </w:rPr>
    </w:sdtEndPr>
    <w:sdtContent>
      <w:p w14:paraId="70262E1B" w14:textId="77777777" w:rsidR="005C3B99" w:rsidRDefault="005C3B99" w:rsidP="004940D8">
        <w:pPr>
          <w:pStyle w:val="Footer"/>
        </w:pPr>
        <w:r>
          <w:fldChar w:fldCharType="begin"/>
        </w:r>
        <w:r>
          <w:instrText xml:space="preserve"> PAGE   \* MERGEFORMAT </w:instrText>
        </w:r>
        <w:r>
          <w:fldChar w:fldCharType="separate"/>
        </w:r>
        <w:r>
          <w:rPr>
            <w:noProof/>
          </w:rPr>
          <w:t>i</w:t>
        </w:r>
        <w:r>
          <w:rPr>
            <w:noProof/>
          </w:rPr>
          <w:fldChar w:fldCharType="end"/>
        </w:r>
      </w:p>
    </w:sdtContent>
  </w:sdt>
  <w:p w14:paraId="03C3B99F" w14:textId="77777777" w:rsidR="005C3B99" w:rsidRDefault="005C3B99" w:rsidP="00494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82155" w14:textId="77777777" w:rsidR="00091764" w:rsidRDefault="00091764" w:rsidP="004940D8">
      <w:r>
        <w:separator/>
      </w:r>
    </w:p>
  </w:footnote>
  <w:footnote w:type="continuationSeparator" w:id="0">
    <w:p w14:paraId="4DEE7EAC" w14:textId="77777777" w:rsidR="00091764" w:rsidRDefault="00091764" w:rsidP="00494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5A7B"/>
    <w:multiLevelType w:val="hybridMultilevel"/>
    <w:tmpl w:val="C15A1622"/>
    <w:lvl w:ilvl="0" w:tplc="D792A9A6">
      <w:start w:val="1"/>
      <w:numFmt w:val="bullet"/>
      <w:lvlText w:val=""/>
      <w:lvlJc w:val="left"/>
      <w:pPr>
        <w:ind w:left="788" w:hanging="360"/>
      </w:pPr>
      <w:rPr>
        <w:rFonts w:ascii="Symbol" w:hAnsi="Symbol" w:hint="default"/>
      </w:rPr>
    </w:lvl>
    <w:lvl w:ilvl="1" w:tplc="EDE88574" w:tentative="1">
      <w:start w:val="1"/>
      <w:numFmt w:val="bullet"/>
      <w:lvlText w:val="o"/>
      <w:lvlJc w:val="left"/>
      <w:pPr>
        <w:ind w:left="1508" w:hanging="360"/>
      </w:pPr>
      <w:rPr>
        <w:rFonts w:ascii="Courier New" w:hAnsi="Courier New" w:cs="Courier New" w:hint="default"/>
      </w:rPr>
    </w:lvl>
    <w:lvl w:ilvl="2" w:tplc="51860EDA" w:tentative="1">
      <w:start w:val="1"/>
      <w:numFmt w:val="bullet"/>
      <w:lvlText w:val=""/>
      <w:lvlJc w:val="left"/>
      <w:pPr>
        <w:ind w:left="2228" w:hanging="360"/>
      </w:pPr>
      <w:rPr>
        <w:rFonts w:ascii="Wingdings" w:hAnsi="Wingdings" w:hint="default"/>
      </w:rPr>
    </w:lvl>
    <w:lvl w:ilvl="3" w:tplc="FC8E9B92" w:tentative="1">
      <w:start w:val="1"/>
      <w:numFmt w:val="bullet"/>
      <w:lvlText w:val=""/>
      <w:lvlJc w:val="left"/>
      <w:pPr>
        <w:ind w:left="2948" w:hanging="360"/>
      </w:pPr>
      <w:rPr>
        <w:rFonts w:ascii="Symbol" w:hAnsi="Symbol" w:hint="default"/>
      </w:rPr>
    </w:lvl>
    <w:lvl w:ilvl="4" w:tplc="D828F2A0" w:tentative="1">
      <w:start w:val="1"/>
      <w:numFmt w:val="bullet"/>
      <w:lvlText w:val="o"/>
      <w:lvlJc w:val="left"/>
      <w:pPr>
        <w:ind w:left="3668" w:hanging="360"/>
      </w:pPr>
      <w:rPr>
        <w:rFonts w:ascii="Courier New" w:hAnsi="Courier New" w:cs="Courier New" w:hint="default"/>
      </w:rPr>
    </w:lvl>
    <w:lvl w:ilvl="5" w:tplc="82C2DE3C" w:tentative="1">
      <w:start w:val="1"/>
      <w:numFmt w:val="bullet"/>
      <w:lvlText w:val=""/>
      <w:lvlJc w:val="left"/>
      <w:pPr>
        <w:ind w:left="4388" w:hanging="360"/>
      </w:pPr>
      <w:rPr>
        <w:rFonts w:ascii="Wingdings" w:hAnsi="Wingdings" w:hint="default"/>
      </w:rPr>
    </w:lvl>
    <w:lvl w:ilvl="6" w:tplc="5EEAA626" w:tentative="1">
      <w:start w:val="1"/>
      <w:numFmt w:val="bullet"/>
      <w:lvlText w:val=""/>
      <w:lvlJc w:val="left"/>
      <w:pPr>
        <w:ind w:left="5108" w:hanging="360"/>
      </w:pPr>
      <w:rPr>
        <w:rFonts w:ascii="Symbol" w:hAnsi="Symbol" w:hint="default"/>
      </w:rPr>
    </w:lvl>
    <w:lvl w:ilvl="7" w:tplc="6876F86E" w:tentative="1">
      <w:start w:val="1"/>
      <w:numFmt w:val="bullet"/>
      <w:lvlText w:val="o"/>
      <w:lvlJc w:val="left"/>
      <w:pPr>
        <w:ind w:left="5828" w:hanging="360"/>
      </w:pPr>
      <w:rPr>
        <w:rFonts w:ascii="Courier New" w:hAnsi="Courier New" w:cs="Courier New" w:hint="default"/>
      </w:rPr>
    </w:lvl>
    <w:lvl w:ilvl="8" w:tplc="46B05DD6" w:tentative="1">
      <w:start w:val="1"/>
      <w:numFmt w:val="bullet"/>
      <w:lvlText w:val=""/>
      <w:lvlJc w:val="left"/>
      <w:pPr>
        <w:ind w:left="6548" w:hanging="360"/>
      </w:pPr>
      <w:rPr>
        <w:rFonts w:ascii="Wingdings" w:hAnsi="Wingdings" w:hint="default"/>
      </w:rPr>
    </w:lvl>
  </w:abstractNum>
  <w:abstractNum w:abstractNumId="1" w15:restartNumberingAfterBreak="0">
    <w:nsid w:val="05274BE0"/>
    <w:multiLevelType w:val="hybridMultilevel"/>
    <w:tmpl w:val="BBFC229E"/>
    <w:lvl w:ilvl="0" w:tplc="EB666F44">
      <w:start w:val="1"/>
      <w:numFmt w:val="bullet"/>
      <w:lvlText w:val=""/>
      <w:lvlJc w:val="left"/>
      <w:pPr>
        <w:ind w:left="720" w:hanging="360"/>
      </w:pPr>
      <w:rPr>
        <w:rFonts w:ascii="Symbol" w:hAnsi="Symbol" w:hint="default"/>
      </w:rPr>
    </w:lvl>
    <w:lvl w:ilvl="1" w:tplc="160C4596" w:tentative="1">
      <w:start w:val="1"/>
      <w:numFmt w:val="bullet"/>
      <w:lvlText w:val="o"/>
      <w:lvlJc w:val="left"/>
      <w:pPr>
        <w:ind w:left="1440" w:hanging="360"/>
      </w:pPr>
      <w:rPr>
        <w:rFonts w:ascii="Courier New" w:hAnsi="Courier New" w:cs="Courier New" w:hint="default"/>
      </w:rPr>
    </w:lvl>
    <w:lvl w:ilvl="2" w:tplc="F9AC0106" w:tentative="1">
      <w:start w:val="1"/>
      <w:numFmt w:val="bullet"/>
      <w:lvlText w:val=""/>
      <w:lvlJc w:val="left"/>
      <w:pPr>
        <w:ind w:left="2160" w:hanging="360"/>
      </w:pPr>
      <w:rPr>
        <w:rFonts w:ascii="Wingdings" w:hAnsi="Wingdings" w:hint="default"/>
      </w:rPr>
    </w:lvl>
    <w:lvl w:ilvl="3" w:tplc="9B2A3FB8" w:tentative="1">
      <w:start w:val="1"/>
      <w:numFmt w:val="bullet"/>
      <w:lvlText w:val=""/>
      <w:lvlJc w:val="left"/>
      <w:pPr>
        <w:ind w:left="2880" w:hanging="360"/>
      </w:pPr>
      <w:rPr>
        <w:rFonts w:ascii="Symbol" w:hAnsi="Symbol" w:hint="default"/>
      </w:rPr>
    </w:lvl>
    <w:lvl w:ilvl="4" w:tplc="CFB26D4E" w:tentative="1">
      <w:start w:val="1"/>
      <w:numFmt w:val="bullet"/>
      <w:lvlText w:val="o"/>
      <w:lvlJc w:val="left"/>
      <w:pPr>
        <w:ind w:left="3600" w:hanging="360"/>
      </w:pPr>
      <w:rPr>
        <w:rFonts w:ascii="Courier New" w:hAnsi="Courier New" w:cs="Courier New" w:hint="default"/>
      </w:rPr>
    </w:lvl>
    <w:lvl w:ilvl="5" w:tplc="D4E4E480" w:tentative="1">
      <w:start w:val="1"/>
      <w:numFmt w:val="bullet"/>
      <w:lvlText w:val=""/>
      <w:lvlJc w:val="left"/>
      <w:pPr>
        <w:ind w:left="4320" w:hanging="360"/>
      </w:pPr>
      <w:rPr>
        <w:rFonts w:ascii="Wingdings" w:hAnsi="Wingdings" w:hint="default"/>
      </w:rPr>
    </w:lvl>
    <w:lvl w:ilvl="6" w:tplc="933864EE" w:tentative="1">
      <w:start w:val="1"/>
      <w:numFmt w:val="bullet"/>
      <w:lvlText w:val=""/>
      <w:lvlJc w:val="left"/>
      <w:pPr>
        <w:ind w:left="5040" w:hanging="360"/>
      </w:pPr>
      <w:rPr>
        <w:rFonts w:ascii="Symbol" w:hAnsi="Symbol" w:hint="default"/>
      </w:rPr>
    </w:lvl>
    <w:lvl w:ilvl="7" w:tplc="68CA728E" w:tentative="1">
      <w:start w:val="1"/>
      <w:numFmt w:val="bullet"/>
      <w:lvlText w:val="o"/>
      <w:lvlJc w:val="left"/>
      <w:pPr>
        <w:ind w:left="5760" w:hanging="360"/>
      </w:pPr>
      <w:rPr>
        <w:rFonts w:ascii="Courier New" w:hAnsi="Courier New" w:cs="Courier New" w:hint="default"/>
      </w:rPr>
    </w:lvl>
    <w:lvl w:ilvl="8" w:tplc="2CC02C96" w:tentative="1">
      <w:start w:val="1"/>
      <w:numFmt w:val="bullet"/>
      <w:lvlText w:val=""/>
      <w:lvlJc w:val="left"/>
      <w:pPr>
        <w:ind w:left="6480" w:hanging="360"/>
      </w:pPr>
      <w:rPr>
        <w:rFonts w:ascii="Wingdings" w:hAnsi="Wingdings" w:hint="default"/>
      </w:rPr>
    </w:lvl>
  </w:abstractNum>
  <w:abstractNum w:abstractNumId="2" w15:restartNumberingAfterBreak="0">
    <w:nsid w:val="055410A7"/>
    <w:multiLevelType w:val="hybridMultilevel"/>
    <w:tmpl w:val="236EA162"/>
    <w:lvl w:ilvl="0" w:tplc="3EF21496">
      <w:start w:val="1"/>
      <w:numFmt w:val="bullet"/>
      <w:lvlText w:val=""/>
      <w:lvlJc w:val="left"/>
      <w:pPr>
        <w:ind w:left="788" w:hanging="360"/>
      </w:pPr>
      <w:rPr>
        <w:rFonts w:ascii="Symbol" w:hAnsi="Symbol" w:hint="default"/>
      </w:rPr>
    </w:lvl>
    <w:lvl w:ilvl="1" w:tplc="17DE0784" w:tentative="1">
      <w:start w:val="1"/>
      <w:numFmt w:val="bullet"/>
      <w:lvlText w:val="o"/>
      <w:lvlJc w:val="left"/>
      <w:pPr>
        <w:ind w:left="1508" w:hanging="360"/>
      </w:pPr>
      <w:rPr>
        <w:rFonts w:ascii="Courier New" w:hAnsi="Courier New" w:cs="Courier New" w:hint="default"/>
      </w:rPr>
    </w:lvl>
    <w:lvl w:ilvl="2" w:tplc="929A9B9C" w:tentative="1">
      <w:start w:val="1"/>
      <w:numFmt w:val="bullet"/>
      <w:lvlText w:val=""/>
      <w:lvlJc w:val="left"/>
      <w:pPr>
        <w:ind w:left="2228" w:hanging="360"/>
      </w:pPr>
      <w:rPr>
        <w:rFonts w:ascii="Wingdings" w:hAnsi="Wingdings" w:hint="default"/>
      </w:rPr>
    </w:lvl>
    <w:lvl w:ilvl="3" w:tplc="3924762E" w:tentative="1">
      <w:start w:val="1"/>
      <w:numFmt w:val="bullet"/>
      <w:lvlText w:val=""/>
      <w:lvlJc w:val="left"/>
      <w:pPr>
        <w:ind w:left="2948" w:hanging="360"/>
      </w:pPr>
      <w:rPr>
        <w:rFonts w:ascii="Symbol" w:hAnsi="Symbol" w:hint="default"/>
      </w:rPr>
    </w:lvl>
    <w:lvl w:ilvl="4" w:tplc="2B98DDDA" w:tentative="1">
      <w:start w:val="1"/>
      <w:numFmt w:val="bullet"/>
      <w:lvlText w:val="o"/>
      <w:lvlJc w:val="left"/>
      <w:pPr>
        <w:ind w:left="3668" w:hanging="360"/>
      </w:pPr>
      <w:rPr>
        <w:rFonts w:ascii="Courier New" w:hAnsi="Courier New" w:cs="Courier New" w:hint="default"/>
      </w:rPr>
    </w:lvl>
    <w:lvl w:ilvl="5" w:tplc="70CEFEB2" w:tentative="1">
      <w:start w:val="1"/>
      <w:numFmt w:val="bullet"/>
      <w:lvlText w:val=""/>
      <w:lvlJc w:val="left"/>
      <w:pPr>
        <w:ind w:left="4388" w:hanging="360"/>
      </w:pPr>
      <w:rPr>
        <w:rFonts w:ascii="Wingdings" w:hAnsi="Wingdings" w:hint="default"/>
      </w:rPr>
    </w:lvl>
    <w:lvl w:ilvl="6" w:tplc="ABA452F4" w:tentative="1">
      <w:start w:val="1"/>
      <w:numFmt w:val="bullet"/>
      <w:lvlText w:val=""/>
      <w:lvlJc w:val="left"/>
      <w:pPr>
        <w:ind w:left="5108" w:hanging="360"/>
      </w:pPr>
      <w:rPr>
        <w:rFonts w:ascii="Symbol" w:hAnsi="Symbol" w:hint="default"/>
      </w:rPr>
    </w:lvl>
    <w:lvl w:ilvl="7" w:tplc="DB784474" w:tentative="1">
      <w:start w:val="1"/>
      <w:numFmt w:val="bullet"/>
      <w:lvlText w:val="o"/>
      <w:lvlJc w:val="left"/>
      <w:pPr>
        <w:ind w:left="5828" w:hanging="360"/>
      </w:pPr>
      <w:rPr>
        <w:rFonts w:ascii="Courier New" w:hAnsi="Courier New" w:cs="Courier New" w:hint="default"/>
      </w:rPr>
    </w:lvl>
    <w:lvl w:ilvl="8" w:tplc="7C788038" w:tentative="1">
      <w:start w:val="1"/>
      <w:numFmt w:val="bullet"/>
      <w:lvlText w:val=""/>
      <w:lvlJc w:val="left"/>
      <w:pPr>
        <w:ind w:left="6548" w:hanging="360"/>
      </w:pPr>
      <w:rPr>
        <w:rFonts w:ascii="Wingdings" w:hAnsi="Wingdings" w:hint="default"/>
      </w:rPr>
    </w:lvl>
  </w:abstractNum>
  <w:abstractNum w:abstractNumId="3" w15:restartNumberingAfterBreak="0">
    <w:nsid w:val="06867960"/>
    <w:multiLevelType w:val="hybridMultilevel"/>
    <w:tmpl w:val="4A0C3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2633BB"/>
    <w:multiLevelType w:val="hybridMultilevel"/>
    <w:tmpl w:val="7318E1DC"/>
    <w:lvl w:ilvl="0" w:tplc="5BB00226">
      <w:start w:val="1"/>
      <w:numFmt w:val="bullet"/>
      <w:lvlText w:val=""/>
      <w:lvlJc w:val="left"/>
      <w:pPr>
        <w:ind w:left="788" w:hanging="360"/>
      </w:pPr>
      <w:rPr>
        <w:rFonts w:ascii="Symbol" w:hAnsi="Symbol" w:hint="default"/>
      </w:rPr>
    </w:lvl>
    <w:lvl w:ilvl="1" w:tplc="E34ED884" w:tentative="1">
      <w:start w:val="1"/>
      <w:numFmt w:val="bullet"/>
      <w:lvlText w:val="o"/>
      <w:lvlJc w:val="left"/>
      <w:pPr>
        <w:ind w:left="1508" w:hanging="360"/>
      </w:pPr>
      <w:rPr>
        <w:rFonts w:ascii="Courier New" w:hAnsi="Courier New" w:cs="Courier New" w:hint="default"/>
      </w:rPr>
    </w:lvl>
    <w:lvl w:ilvl="2" w:tplc="EBFCBC5C" w:tentative="1">
      <w:start w:val="1"/>
      <w:numFmt w:val="bullet"/>
      <w:lvlText w:val=""/>
      <w:lvlJc w:val="left"/>
      <w:pPr>
        <w:ind w:left="2228" w:hanging="360"/>
      </w:pPr>
      <w:rPr>
        <w:rFonts w:ascii="Wingdings" w:hAnsi="Wingdings" w:hint="default"/>
      </w:rPr>
    </w:lvl>
    <w:lvl w:ilvl="3" w:tplc="95FEB8AA" w:tentative="1">
      <w:start w:val="1"/>
      <w:numFmt w:val="bullet"/>
      <w:lvlText w:val=""/>
      <w:lvlJc w:val="left"/>
      <w:pPr>
        <w:ind w:left="2948" w:hanging="360"/>
      </w:pPr>
      <w:rPr>
        <w:rFonts w:ascii="Symbol" w:hAnsi="Symbol" w:hint="default"/>
      </w:rPr>
    </w:lvl>
    <w:lvl w:ilvl="4" w:tplc="DC00645E" w:tentative="1">
      <w:start w:val="1"/>
      <w:numFmt w:val="bullet"/>
      <w:lvlText w:val="o"/>
      <w:lvlJc w:val="left"/>
      <w:pPr>
        <w:ind w:left="3668" w:hanging="360"/>
      </w:pPr>
      <w:rPr>
        <w:rFonts w:ascii="Courier New" w:hAnsi="Courier New" w:cs="Courier New" w:hint="default"/>
      </w:rPr>
    </w:lvl>
    <w:lvl w:ilvl="5" w:tplc="BF22F68E" w:tentative="1">
      <w:start w:val="1"/>
      <w:numFmt w:val="bullet"/>
      <w:lvlText w:val=""/>
      <w:lvlJc w:val="left"/>
      <w:pPr>
        <w:ind w:left="4388" w:hanging="360"/>
      </w:pPr>
      <w:rPr>
        <w:rFonts w:ascii="Wingdings" w:hAnsi="Wingdings" w:hint="default"/>
      </w:rPr>
    </w:lvl>
    <w:lvl w:ilvl="6" w:tplc="37A896EE" w:tentative="1">
      <w:start w:val="1"/>
      <w:numFmt w:val="bullet"/>
      <w:lvlText w:val=""/>
      <w:lvlJc w:val="left"/>
      <w:pPr>
        <w:ind w:left="5108" w:hanging="360"/>
      </w:pPr>
      <w:rPr>
        <w:rFonts w:ascii="Symbol" w:hAnsi="Symbol" w:hint="default"/>
      </w:rPr>
    </w:lvl>
    <w:lvl w:ilvl="7" w:tplc="91DAC5C4" w:tentative="1">
      <w:start w:val="1"/>
      <w:numFmt w:val="bullet"/>
      <w:lvlText w:val="o"/>
      <w:lvlJc w:val="left"/>
      <w:pPr>
        <w:ind w:left="5828" w:hanging="360"/>
      </w:pPr>
      <w:rPr>
        <w:rFonts w:ascii="Courier New" w:hAnsi="Courier New" w:cs="Courier New" w:hint="default"/>
      </w:rPr>
    </w:lvl>
    <w:lvl w:ilvl="8" w:tplc="79369D52" w:tentative="1">
      <w:start w:val="1"/>
      <w:numFmt w:val="bullet"/>
      <w:lvlText w:val=""/>
      <w:lvlJc w:val="left"/>
      <w:pPr>
        <w:ind w:left="6548" w:hanging="360"/>
      </w:pPr>
      <w:rPr>
        <w:rFonts w:ascii="Wingdings" w:hAnsi="Wingdings" w:hint="default"/>
      </w:rPr>
    </w:lvl>
  </w:abstractNum>
  <w:abstractNum w:abstractNumId="5" w15:restartNumberingAfterBreak="0">
    <w:nsid w:val="0A2719DA"/>
    <w:multiLevelType w:val="hybridMultilevel"/>
    <w:tmpl w:val="D932D05A"/>
    <w:lvl w:ilvl="0" w:tplc="A81606D2">
      <w:start w:val="1"/>
      <w:numFmt w:val="bullet"/>
      <w:lvlText w:val=""/>
      <w:lvlJc w:val="left"/>
      <w:pPr>
        <w:ind w:left="720" w:hanging="360"/>
      </w:pPr>
      <w:rPr>
        <w:rFonts w:ascii="Symbol" w:hAnsi="Symbol" w:hint="default"/>
      </w:rPr>
    </w:lvl>
    <w:lvl w:ilvl="1" w:tplc="FFC6FC0E" w:tentative="1">
      <w:start w:val="1"/>
      <w:numFmt w:val="bullet"/>
      <w:lvlText w:val="o"/>
      <w:lvlJc w:val="left"/>
      <w:pPr>
        <w:ind w:left="1440" w:hanging="360"/>
      </w:pPr>
      <w:rPr>
        <w:rFonts w:ascii="Courier New" w:hAnsi="Courier New" w:cs="Courier New" w:hint="default"/>
      </w:rPr>
    </w:lvl>
    <w:lvl w:ilvl="2" w:tplc="638C7536" w:tentative="1">
      <w:start w:val="1"/>
      <w:numFmt w:val="bullet"/>
      <w:lvlText w:val=""/>
      <w:lvlJc w:val="left"/>
      <w:pPr>
        <w:ind w:left="2160" w:hanging="360"/>
      </w:pPr>
      <w:rPr>
        <w:rFonts w:ascii="Wingdings" w:hAnsi="Wingdings" w:hint="default"/>
      </w:rPr>
    </w:lvl>
    <w:lvl w:ilvl="3" w:tplc="102A77A2" w:tentative="1">
      <w:start w:val="1"/>
      <w:numFmt w:val="bullet"/>
      <w:lvlText w:val=""/>
      <w:lvlJc w:val="left"/>
      <w:pPr>
        <w:ind w:left="2880" w:hanging="360"/>
      </w:pPr>
      <w:rPr>
        <w:rFonts w:ascii="Symbol" w:hAnsi="Symbol" w:hint="default"/>
      </w:rPr>
    </w:lvl>
    <w:lvl w:ilvl="4" w:tplc="EEBAFD2C" w:tentative="1">
      <w:start w:val="1"/>
      <w:numFmt w:val="bullet"/>
      <w:lvlText w:val="o"/>
      <w:lvlJc w:val="left"/>
      <w:pPr>
        <w:ind w:left="3600" w:hanging="360"/>
      </w:pPr>
      <w:rPr>
        <w:rFonts w:ascii="Courier New" w:hAnsi="Courier New" w:cs="Courier New" w:hint="default"/>
      </w:rPr>
    </w:lvl>
    <w:lvl w:ilvl="5" w:tplc="28BC0128" w:tentative="1">
      <w:start w:val="1"/>
      <w:numFmt w:val="bullet"/>
      <w:lvlText w:val=""/>
      <w:lvlJc w:val="left"/>
      <w:pPr>
        <w:ind w:left="4320" w:hanging="360"/>
      </w:pPr>
      <w:rPr>
        <w:rFonts w:ascii="Wingdings" w:hAnsi="Wingdings" w:hint="default"/>
      </w:rPr>
    </w:lvl>
    <w:lvl w:ilvl="6" w:tplc="954297AA" w:tentative="1">
      <w:start w:val="1"/>
      <w:numFmt w:val="bullet"/>
      <w:lvlText w:val=""/>
      <w:lvlJc w:val="left"/>
      <w:pPr>
        <w:ind w:left="5040" w:hanging="360"/>
      </w:pPr>
      <w:rPr>
        <w:rFonts w:ascii="Symbol" w:hAnsi="Symbol" w:hint="default"/>
      </w:rPr>
    </w:lvl>
    <w:lvl w:ilvl="7" w:tplc="C7B40228" w:tentative="1">
      <w:start w:val="1"/>
      <w:numFmt w:val="bullet"/>
      <w:lvlText w:val="o"/>
      <w:lvlJc w:val="left"/>
      <w:pPr>
        <w:ind w:left="5760" w:hanging="360"/>
      </w:pPr>
      <w:rPr>
        <w:rFonts w:ascii="Courier New" w:hAnsi="Courier New" w:cs="Courier New" w:hint="default"/>
      </w:rPr>
    </w:lvl>
    <w:lvl w:ilvl="8" w:tplc="028ACEAA" w:tentative="1">
      <w:start w:val="1"/>
      <w:numFmt w:val="bullet"/>
      <w:lvlText w:val=""/>
      <w:lvlJc w:val="left"/>
      <w:pPr>
        <w:ind w:left="6480" w:hanging="360"/>
      </w:pPr>
      <w:rPr>
        <w:rFonts w:ascii="Wingdings" w:hAnsi="Wingdings" w:hint="default"/>
      </w:rPr>
    </w:lvl>
  </w:abstractNum>
  <w:abstractNum w:abstractNumId="6" w15:restartNumberingAfterBreak="0">
    <w:nsid w:val="11866816"/>
    <w:multiLevelType w:val="hybridMultilevel"/>
    <w:tmpl w:val="C1DCC998"/>
    <w:lvl w:ilvl="0" w:tplc="226288BA">
      <w:start w:val="1"/>
      <w:numFmt w:val="bullet"/>
      <w:lvlText w:val=""/>
      <w:lvlJc w:val="left"/>
      <w:pPr>
        <w:ind w:left="720" w:hanging="360"/>
      </w:pPr>
      <w:rPr>
        <w:rFonts w:ascii="Symbol" w:hAnsi="Symbol" w:hint="default"/>
      </w:rPr>
    </w:lvl>
    <w:lvl w:ilvl="1" w:tplc="C240AC60" w:tentative="1">
      <w:start w:val="1"/>
      <w:numFmt w:val="bullet"/>
      <w:lvlText w:val="o"/>
      <w:lvlJc w:val="left"/>
      <w:pPr>
        <w:ind w:left="1440" w:hanging="360"/>
      </w:pPr>
      <w:rPr>
        <w:rFonts w:ascii="Courier New" w:hAnsi="Courier New" w:cs="Courier New" w:hint="default"/>
      </w:rPr>
    </w:lvl>
    <w:lvl w:ilvl="2" w:tplc="529A7468" w:tentative="1">
      <w:start w:val="1"/>
      <w:numFmt w:val="bullet"/>
      <w:lvlText w:val=""/>
      <w:lvlJc w:val="left"/>
      <w:pPr>
        <w:ind w:left="2160" w:hanging="360"/>
      </w:pPr>
      <w:rPr>
        <w:rFonts w:ascii="Wingdings" w:hAnsi="Wingdings" w:hint="default"/>
      </w:rPr>
    </w:lvl>
    <w:lvl w:ilvl="3" w:tplc="2CCE32C8" w:tentative="1">
      <w:start w:val="1"/>
      <w:numFmt w:val="bullet"/>
      <w:lvlText w:val=""/>
      <w:lvlJc w:val="left"/>
      <w:pPr>
        <w:ind w:left="2880" w:hanging="360"/>
      </w:pPr>
      <w:rPr>
        <w:rFonts w:ascii="Symbol" w:hAnsi="Symbol" w:hint="default"/>
      </w:rPr>
    </w:lvl>
    <w:lvl w:ilvl="4" w:tplc="6F02FA4E" w:tentative="1">
      <w:start w:val="1"/>
      <w:numFmt w:val="bullet"/>
      <w:lvlText w:val="o"/>
      <w:lvlJc w:val="left"/>
      <w:pPr>
        <w:ind w:left="3600" w:hanging="360"/>
      </w:pPr>
      <w:rPr>
        <w:rFonts w:ascii="Courier New" w:hAnsi="Courier New" w:cs="Courier New" w:hint="default"/>
      </w:rPr>
    </w:lvl>
    <w:lvl w:ilvl="5" w:tplc="379854C8" w:tentative="1">
      <w:start w:val="1"/>
      <w:numFmt w:val="bullet"/>
      <w:lvlText w:val=""/>
      <w:lvlJc w:val="left"/>
      <w:pPr>
        <w:ind w:left="4320" w:hanging="360"/>
      </w:pPr>
      <w:rPr>
        <w:rFonts w:ascii="Wingdings" w:hAnsi="Wingdings" w:hint="default"/>
      </w:rPr>
    </w:lvl>
    <w:lvl w:ilvl="6" w:tplc="D7D6CC42" w:tentative="1">
      <w:start w:val="1"/>
      <w:numFmt w:val="bullet"/>
      <w:lvlText w:val=""/>
      <w:lvlJc w:val="left"/>
      <w:pPr>
        <w:ind w:left="5040" w:hanging="360"/>
      </w:pPr>
      <w:rPr>
        <w:rFonts w:ascii="Symbol" w:hAnsi="Symbol" w:hint="default"/>
      </w:rPr>
    </w:lvl>
    <w:lvl w:ilvl="7" w:tplc="8610B9D6" w:tentative="1">
      <w:start w:val="1"/>
      <w:numFmt w:val="bullet"/>
      <w:lvlText w:val="o"/>
      <w:lvlJc w:val="left"/>
      <w:pPr>
        <w:ind w:left="5760" w:hanging="360"/>
      </w:pPr>
      <w:rPr>
        <w:rFonts w:ascii="Courier New" w:hAnsi="Courier New" w:cs="Courier New" w:hint="default"/>
      </w:rPr>
    </w:lvl>
    <w:lvl w:ilvl="8" w:tplc="E4CAB27E" w:tentative="1">
      <w:start w:val="1"/>
      <w:numFmt w:val="bullet"/>
      <w:lvlText w:val=""/>
      <w:lvlJc w:val="left"/>
      <w:pPr>
        <w:ind w:left="6480" w:hanging="360"/>
      </w:pPr>
      <w:rPr>
        <w:rFonts w:ascii="Wingdings" w:hAnsi="Wingdings" w:hint="default"/>
      </w:rPr>
    </w:lvl>
  </w:abstractNum>
  <w:abstractNum w:abstractNumId="7" w15:restartNumberingAfterBreak="0">
    <w:nsid w:val="156201E8"/>
    <w:multiLevelType w:val="hybridMultilevel"/>
    <w:tmpl w:val="9392CBCA"/>
    <w:lvl w:ilvl="0" w:tplc="E83027D0">
      <w:start w:val="1"/>
      <w:numFmt w:val="bullet"/>
      <w:lvlText w:val=""/>
      <w:lvlJc w:val="left"/>
      <w:pPr>
        <w:ind w:left="780" w:hanging="360"/>
      </w:pPr>
      <w:rPr>
        <w:rFonts w:ascii="Symbol" w:hAnsi="Symbol" w:hint="default"/>
      </w:rPr>
    </w:lvl>
    <w:lvl w:ilvl="1" w:tplc="A1862D18">
      <w:start w:val="1"/>
      <w:numFmt w:val="bullet"/>
      <w:lvlText w:val="o"/>
      <w:lvlJc w:val="left"/>
      <w:pPr>
        <w:ind w:left="1500" w:hanging="360"/>
      </w:pPr>
      <w:rPr>
        <w:rFonts w:ascii="Courier New" w:hAnsi="Courier New" w:cs="Courier New" w:hint="default"/>
      </w:rPr>
    </w:lvl>
    <w:lvl w:ilvl="2" w:tplc="6EE004FC">
      <w:start w:val="1"/>
      <w:numFmt w:val="bullet"/>
      <w:lvlText w:val=""/>
      <w:lvlJc w:val="left"/>
      <w:pPr>
        <w:ind w:left="2220" w:hanging="360"/>
      </w:pPr>
      <w:rPr>
        <w:rFonts w:ascii="Wingdings" w:hAnsi="Wingdings" w:hint="default"/>
      </w:rPr>
    </w:lvl>
    <w:lvl w:ilvl="3" w:tplc="AD1236B4">
      <w:start w:val="1"/>
      <w:numFmt w:val="bullet"/>
      <w:lvlText w:val=""/>
      <w:lvlJc w:val="left"/>
      <w:pPr>
        <w:ind w:left="2940" w:hanging="360"/>
      </w:pPr>
      <w:rPr>
        <w:rFonts w:ascii="Symbol" w:hAnsi="Symbol" w:hint="default"/>
      </w:rPr>
    </w:lvl>
    <w:lvl w:ilvl="4" w:tplc="0EA8C986">
      <w:start w:val="1"/>
      <w:numFmt w:val="bullet"/>
      <w:lvlText w:val="o"/>
      <w:lvlJc w:val="left"/>
      <w:pPr>
        <w:ind w:left="3660" w:hanging="360"/>
      </w:pPr>
      <w:rPr>
        <w:rFonts w:ascii="Courier New" w:hAnsi="Courier New" w:cs="Courier New" w:hint="default"/>
      </w:rPr>
    </w:lvl>
    <w:lvl w:ilvl="5" w:tplc="A830C666">
      <w:start w:val="1"/>
      <w:numFmt w:val="bullet"/>
      <w:lvlText w:val=""/>
      <w:lvlJc w:val="left"/>
      <w:pPr>
        <w:ind w:left="4380" w:hanging="360"/>
      </w:pPr>
      <w:rPr>
        <w:rFonts w:ascii="Wingdings" w:hAnsi="Wingdings" w:hint="default"/>
      </w:rPr>
    </w:lvl>
    <w:lvl w:ilvl="6" w:tplc="B3CC2808">
      <w:start w:val="1"/>
      <w:numFmt w:val="bullet"/>
      <w:lvlText w:val=""/>
      <w:lvlJc w:val="left"/>
      <w:pPr>
        <w:ind w:left="5100" w:hanging="360"/>
      </w:pPr>
      <w:rPr>
        <w:rFonts w:ascii="Symbol" w:hAnsi="Symbol" w:hint="default"/>
      </w:rPr>
    </w:lvl>
    <w:lvl w:ilvl="7" w:tplc="1A72D796">
      <w:start w:val="1"/>
      <w:numFmt w:val="bullet"/>
      <w:lvlText w:val="o"/>
      <w:lvlJc w:val="left"/>
      <w:pPr>
        <w:ind w:left="5820" w:hanging="360"/>
      </w:pPr>
      <w:rPr>
        <w:rFonts w:ascii="Courier New" w:hAnsi="Courier New" w:cs="Courier New" w:hint="default"/>
      </w:rPr>
    </w:lvl>
    <w:lvl w:ilvl="8" w:tplc="3C88975A">
      <w:start w:val="1"/>
      <w:numFmt w:val="bullet"/>
      <w:lvlText w:val=""/>
      <w:lvlJc w:val="left"/>
      <w:pPr>
        <w:ind w:left="6540" w:hanging="360"/>
      </w:pPr>
      <w:rPr>
        <w:rFonts w:ascii="Wingdings" w:hAnsi="Wingdings" w:hint="default"/>
      </w:rPr>
    </w:lvl>
  </w:abstractNum>
  <w:abstractNum w:abstractNumId="8" w15:restartNumberingAfterBreak="0">
    <w:nsid w:val="1C081167"/>
    <w:multiLevelType w:val="hybridMultilevel"/>
    <w:tmpl w:val="C4F217D0"/>
    <w:lvl w:ilvl="0" w:tplc="2348FD32">
      <w:start w:val="1"/>
      <w:numFmt w:val="bullet"/>
      <w:lvlText w:val=""/>
      <w:lvlJc w:val="left"/>
      <w:pPr>
        <w:ind w:left="720" w:hanging="360"/>
      </w:pPr>
      <w:rPr>
        <w:rFonts w:ascii="Symbol" w:hAnsi="Symbol" w:hint="default"/>
      </w:rPr>
    </w:lvl>
    <w:lvl w:ilvl="1" w:tplc="1F52D264" w:tentative="1">
      <w:start w:val="1"/>
      <w:numFmt w:val="bullet"/>
      <w:lvlText w:val="o"/>
      <w:lvlJc w:val="left"/>
      <w:pPr>
        <w:ind w:left="1440" w:hanging="360"/>
      </w:pPr>
      <w:rPr>
        <w:rFonts w:ascii="Courier New" w:hAnsi="Courier New" w:cs="Courier New" w:hint="default"/>
      </w:rPr>
    </w:lvl>
    <w:lvl w:ilvl="2" w:tplc="E58E04DC" w:tentative="1">
      <w:start w:val="1"/>
      <w:numFmt w:val="bullet"/>
      <w:lvlText w:val=""/>
      <w:lvlJc w:val="left"/>
      <w:pPr>
        <w:ind w:left="2160" w:hanging="360"/>
      </w:pPr>
      <w:rPr>
        <w:rFonts w:ascii="Wingdings" w:hAnsi="Wingdings" w:hint="default"/>
      </w:rPr>
    </w:lvl>
    <w:lvl w:ilvl="3" w:tplc="CCB4926C" w:tentative="1">
      <w:start w:val="1"/>
      <w:numFmt w:val="bullet"/>
      <w:lvlText w:val=""/>
      <w:lvlJc w:val="left"/>
      <w:pPr>
        <w:ind w:left="2880" w:hanging="360"/>
      </w:pPr>
      <w:rPr>
        <w:rFonts w:ascii="Symbol" w:hAnsi="Symbol" w:hint="default"/>
      </w:rPr>
    </w:lvl>
    <w:lvl w:ilvl="4" w:tplc="DB1AFE50" w:tentative="1">
      <w:start w:val="1"/>
      <w:numFmt w:val="bullet"/>
      <w:lvlText w:val="o"/>
      <w:lvlJc w:val="left"/>
      <w:pPr>
        <w:ind w:left="3600" w:hanging="360"/>
      </w:pPr>
      <w:rPr>
        <w:rFonts w:ascii="Courier New" w:hAnsi="Courier New" w:cs="Courier New" w:hint="default"/>
      </w:rPr>
    </w:lvl>
    <w:lvl w:ilvl="5" w:tplc="D71020B4" w:tentative="1">
      <w:start w:val="1"/>
      <w:numFmt w:val="bullet"/>
      <w:lvlText w:val=""/>
      <w:lvlJc w:val="left"/>
      <w:pPr>
        <w:ind w:left="4320" w:hanging="360"/>
      </w:pPr>
      <w:rPr>
        <w:rFonts w:ascii="Wingdings" w:hAnsi="Wingdings" w:hint="default"/>
      </w:rPr>
    </w:lvl>
    <w:lvl w:ilvl="6" w:tplc="1BE0A53A" w:tentative="1">
      <w:start w:val="1"/>
      <w:numFmt w:val="bullet"/>
      <w:lvlText w:val=""/>
      <w:lvlJc w:val="left"/>
      <w:pPr>
        <w:ind w:left="5040" w:hanging="360"/>
      </w:pPr>
      <w:rPr>
        <w:rFonts w:ascii="Symbol" w:hAnsi="Symbol" w:hint="default"/>
      </w:rPr>
    </w:lvl>
    <w:lvl w:ilvl="7" w:tplc="0FC69300" w:tentative="1">
      <w:start w:val="1"/>
      <w:numFmt w:val="bullet"/>
      <w:lvlText w:val="o"/>
      <w:lvlJc w:val="left"/>
      <w:pPr>
        <w:ind w:left="5760" w:hanging="360"/>
      </w:pPr>
      <w:rPr>
        <w:rFonts w:ascii="Courier New" w:hAnsi="Courier New" w:cs="Courier New" w:hint="default"/>
      </w:rPr>
    </w:lvl>
    <w:lvl w:ilvl="8" w:tplc="14CACEDE" w:tentative="1">
      <w:start w:val="1"/>
      <w:numFmt w:val="bullet"/>
      <w:lvlText w:val=""/>
      <w:lvlJc w:val="left"/>
      <w:pPr>
        <w:ind w:left="6480" w:hanging="360"/>
      </w:pPr>
      <w:rPr>
        <w:rFonts w:ascii="Wingdings" w:hAnsi="Wingdings" w:hint="default"/>
      </w:rPr>
    </w:lvl>
  </w:abstractNum>
  <w:abstractNum w:abstractNumId="9" w15:restartNumberingAfterBreak="0">
    <w:nsid w:val="2EC500D1"/>
    <w:multiLevelType w:val="hybridMultilevel"/>
    <w:tmpl w:val="12CA37E0"/>
    <w:lvl w:ilvl="0" w:tplc="1DC0D7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E669E9"/>
    <w:multiLevelType w:val="hybridMultilevel"/>
    <w:tmpl w:val="DCE49800"/>
    <w:lvl w:ilvl="0" w:tplc="5F50133A">
      <w:start w:val="1"/>
      <w:numFmt w:val="bullet"/>
      <w:lvlText w:val=""/>
      <w:lvlJc w:val="left"/>
      <w:pPr>
        <w:ind w:left="788" w:hanging="360"/>
      </w:pPr>
      <w:rPr>
        <w:rFonts w:ascii="Symbol" w:hAnsi="Symbol" w:hint="default"/>
      </w:rPr>
    </w:lvl>
    <w:lvl w:ilvl="1" w:tplc="F7D40C00" w:tentative="1">
      <w:start w:val="1"/>
      <w:numFmt w:val="bullet"/>
      <w:lvlText w:val="o"/>
      <w:lvlJc w:val="left"/>
      <w:pPr>
        <w:ind w:left="1508" w:hanging="360"/>
      </w:pPr>
      <w:rPr>
        <w:rFonts w:ascii="Courier New" w:hAnsi="Courier New" w:cs="Courier New" w:hint="default"/>
      </w:rPr>
    </w:lvl>
    <w:lvl w:ilvl="2" w:tplc="CF60481E" w:tentative="1">
      <w:start w:val="1"/>
      <w:numFmt w:val="bullet"/>
      <w:lvlText w:val=""/>
      <w:lvlJc w:val="left"/>
      <w:pPr>
        <w:ind w:left="2228" w:hanging="360"/>
      </w:pPr>
      <w:rPr>
        <w:rFonts w:ascii="Wingdings" w:hAnsi="Wingdings" w:hint="default"/>
      </w:rPr>
    </w:lvl>
    <w:lvl w:ilvl="3" w:tplc="0A2E0250" w:tentative="1">
      <w:start w:val="1"/>
      <w:numFmt w:val="bullet"/>
      <w:lvlText w:val=""/>
      <w:lvlJc w:val="left"/>
      <w:pPr>
        <w:ind w:left="2948" w:hanging="360"/>
      </w:pPr>
      <w:rPr>
        <w:rFonts w:ascii="Symbol" w:hAnsi="Symbol" w:hint="default"/>
      </w:rPr>
    </w:lvl>
    <w:lvl w:ilvl="4" w:tplc="F6407E22" w:tentative="1">
      <w:start w:val="1"/>
      <w:numFmt w:val="bullet"/>
      <w:lvlText w:val="o"/>
      <w:lvlJc w:val="left"/>
      <w:pPr>
        <w:ind w:left="3668" w:hanging="360"/>
      </w:pPr>
      <w:rPr>
        <w:rFonts w:ascii="Courier New" w:hAnsi="Courier New" w:cs="Courier New" w:hint="default"/>
      </w:rPr>
    </w:lvl>
    <w:lvl w:ilvl="5" w:tplc="47B432C6" w:tentative="1">
      <w:start w:val="1"/>
      <w:numFmt w:val="bullet"/>
      <w:lvlText w:val=""/>
      <w:lvlJc w:val="left"/>
      <w:pPr>
        <w:ind w:left="4388" w:hanging="360"/>
      </w:pPr>
      <w:rPr>
        <w:rFonts w:ascii="Wingdings" w:hAnsi="Wingdings" w:hint="default"/>
      </w:rPr>
    </w:lvl>
    <w:lvl w:ilvl="6" w:tplc="37900D66" w:tentative="1">
      <w:start w:val="1"/>
      <w:numFmt w:val="bullet"/>
      <w:lvlText w:val=""/>
      <w:lvlJc w:val="left"/>
      <w:pPr>
        <w:ind w:left="5108" w:hanging="360"/>
      </w:pPr>
      <w:rPr>
        <w:rFonts w:ascii="Symbol" w:hAnsi="Symbol" w:hint="default"/>
      </w:rPr>
    </w:lvl>
    <w:lvl w:ilvl="7" w:tplc="4B2672D4" w:tentative="1">
      <w:start w:val="1"/>
      <w:numFmt w:val="bullet"/>
      <w:lvlText w:val="o"/>
      <w:lvlJc w:val="left"/>
      <w:pPr>
        <w:ind w:left="5828" w:hanging="360"/>
      </w:pPr>
      <w:rPr>
        <w:rFonts w:ascii="Courier New" w:hAnsi="Courier New" w:cs="Courier New" w:hint="default"/>
      </w:rPr>
    </w:lvl>
    <w:lvl w:ilvl="8" w:tplc="C5CCACDC" w:tentative="1">
      <w:start w:val="1"/>
      <w:numFmt w:val="bullet"/>
      <w:lvlText w:val=""/>
      <w:lvlJc w:val="left"/>
      <w:pPr>
        <w:ind w:left="6548" w:hanging="360"/>
      </w:pPr>
      <w:rPr>
        <w:rFonts w:ascii="Wingdings" w:hAnsi="Wingdings" w:hint="default"/>
      </w:rPr>
    </w:lvl>
  </w:abstractNum>
  <w:abstractNum w:abstractNumId="11" w15:restartNumberingAfterBreak="0">
    <w:nsid w:val="2FA92D7E"/>
    <w:multiLevelType w:val="hybridMultilevel"/>
    <w:tmpl w:val="F126BFCA"/>
    <w:lvl w:ilvl="0" w:tplc="B1989ED4">
      <w:start w:val="1"/>
      <w:numFmt w:val="bullet"/>
      <w:lvlText w:val=""/>
      <w:lvlJc w:val="left"/>
      <w:pPr>
        <w:ind w:left="788" w:hanging="360"/>
      </w:pPr>
      <w:rPr>
        <w:rFonts w:ascii="Symbol" w:hAnsi="Symbol" w:hint="default"/>
      </w:rPr>
    </w:lvl>
    <w:lvl w:ilvl="1" w:tplc="C6B23934" w:tentative="1">
      <w:start w:val="1"/>
      <w:numFmt w:val="bullet"/>
      <w:lvlText w:val="o"/>
      <w:lvlJc w:val="left"/>
      <w:pPr>
        <w:ind w:left="1508" w:hanging="360"/>
      </w:pPr>
      <w:rPr>
        <w:rFonts w:ascii="Courier New" w:hAnsi="Courier New" w:cs="Courier New" w:hint="default"/>
      </w:rPr>
    </w:lvl>
    <w:lvl w:ilvl="2" w:tplc="0C184D00" w:tentative="1">
      <w:start w:val="1"/>
      <w:numFmt w:val="bullet"/>
      <w:lvlText w:val=""/>
      <w:lvlJc w:val="left"/>
      <w:pPr>
        <w:ind w:left="2228" w:hanging="360"/>
      </w:pPr>
      <w:rPr>
        <w:rFonts w:ascii="Wingdings" w:hAnsi="Wingdings" w:hint="default"/>
      </w:rPr>
    </w:lvl>
    <w:lvl w:ilvl="3" w:tplc="60EE04A4" w:tentative="1">
      <w:start w:val="1"/>
      <w:numFmt w:val="bullet"/>
      <w:lvlText w:val=""/>
      <w:lvlJc w:val="left"/>
      <w:pPr>
        <w:ind w:left="2948" w:hanging="360"/>
      </w:pPr>
      <w:rPr>
        <w:rFonts w:ascii="Symbol" w:hAnsi="Symbol" w:hint="default"/>
      </w:rPr>
    </w:lvl>
    <w:lvl w:ilvl="4" w:tplc="5EEAB374" w:tentative="1">
      <w:start w:val="1"/>
      <w:numFmt w:val="bullet"/>
      <w:lvlText w:val="o"/>
      <w:lvlJc w:val="left"/>
      <w:pPr>
        <w:ind w:left="3668" w:hanging="360"/>
      </w:pPr>
      <w:rPr>
        <w:rFonts w:ascii="Courier New" w:hAnsi="Courier New" w:cs="Courier New" w:hint="default"/>
      </w:rPr>
    </w:lvl>
    <w:lvl w:ilvl="5" w:tplc="F72E2194" w:tentative="1">
      <w:start w:val="1"/>
      <w:numFmt w:val="bullet"/>
      <w:lvlText w:val=""/>
      <w:lvlJc w:val="left"/>
      <w:pPr>
        <w:ind w:left="4388" w:hanging="360"/>
      </w:pPr>
      <w:rPr>
        <w:rFonts w:ascii="Wingdings" w:hAnsi="Wingdings" w:hint="default"/>
      </w:rPr>
    </w:lvl>
    <w:lvl w:ilvl="6" w:tplc="AC0E28B6" w:tentative="1">
      <w:start w:val="1"/>
      <w:numFmt w:val="bullet"/>
      <w:lvlText w:val=""/>
      <w:lvlJc w:val="left"/>
      <w:pPr>
        <w:ind w:left="5108" w:hanging="360"/>
      </w:pPr>
      <w:rPr>
        <w:rFonts w:ascii="Symbol" w:hAnsi="Symbol" w:hint="default"/>
      </w:rPr>
    </w:lvl>
    <w:lvl w:ilvl="7" w:tplc="533CAD02" w:tentative="1">
      <w:start w:val="1"/>
      <w:numFmt w:val="bullet"/>
      <w:lvlText w:val="o"/>
      <w:lvlJc w:val="left"/>
      <w:pPr>
        <w:ind w:left="5828" w:hanging="360"/>
      </w:pPr>
      <w:rPr>
        <w:rFonts w:ascii="Courier New" w:hAnsi="Courier New" w:cs="Courier New" w:hint="default"/>
      </w:rPr>
    </w:lvl>
    <w:lvl w:ilvl="8" w:tplc="BF7C7D90" w:tentative="1">
      <w:start w:val="1"/>
      <w:numFmt w:val="bullet"/>
      <w:lvlText w:val=""/>
      <w:lvlJc w:val="left"/>
      <w:pPr>
        <w:ind w:left="6548" w:hanging="360"/>
      </w:pPr>
      <w:rPr>
        <w:rFonts w:ascii="Wingdings" w:hAnsi="Wingdings" w:hint="default"/>
      </w:rPr>
    </w:lvl>
  </w:abstractNum>
  <w:abstractNum w:abstractNumId="12" w15:restartNumberingAfterBreak="0">
    <w:nsid w:val="305901B3"/>
    <w:multiLevelType w:val="hybridMultilevel"/>
    <w:tmpl w:val="DB90A772"/>
    <w:lvl w:ilvl="0" w:tplc="68947854">
      <w:start w:val="1"/>
      <w:numFmt w:val="bullet"/>
      <w:lvlText w:val=""/>
      <w:lvlJc w:val="left"/>
      <w:pPr>
        <w:ind w:left="780" w:hanging="360"/>
      </w:pPr>
      <w:rPr>
        <w:rFonts w:ascii="Symbol" w:hAnsi="Symbol" w:hint="default"/>
      </w:rPr>
    </w:lvl>
    <w:lvl w:ilvl="1" w:tplc="B3CA0058" w:tentative="1">
      <w:start w:val="1"/>
      <w:numFmt w:val="bullet"/>
      <w:lvlText w:val="o"/>
      <w:lvlJc w:val="left"/>
      <w:pPr>
        <w:ind w:left="1500" w:hanging="360"/>
      </w:pPr>
      <w:rPr>
        <w:rFonts w:ascii="Courier New" w:hAnsi="Courier New" w:cs="Courier New" w:hint="default"/>
      </w:rPr>
    </w:lvl>
    <w:lvl w:ilvl="2" w:tplc="A30EEC52" w:tentative="1">
      <w:start w:val="1"/>
      <w:numFmt w:val="bullet"/>
      <w:lvlText w:val=""/>
      <w:lvlJc w:val="left"/>
      <w:pPr>
        <w:ind w:left="2220" w:hanging="360"/>
      </w:pPr>
      <w:rPr>
        <w:rFonts w:ascii="Wingdings" w:hAnsi="Wingdings" w:hint="default"/>
      </w:rPr>
    </w:lvl>
    <w:lvl w:ilvl="3" w:tplc="97A06E78" w:tentative="1">
      <w:start w:val="1"/>
      <w:numFmt w:val="bullet"/>
      <w:lvlText w:val=""/>
      <w:lvlJc w:val="left"/>
      <w:pPr>
        <w:ind w:left="2940" w:hanging="360"/>
      </w:pPr>
      <w:rPr>
        <w:rFonts w:ascii="Symbol" w:hAnsi="Symbol" w:hint="default"/>
      </w:rPr>
    </w:lvl>
    <w:lvl w:ilvl="4" w:tplc="4D90F888" w:tentative="1">
      <w:start w:val="1"/>
      <w:numFmt w:val="bullet"/>
      <w:lvlText w:val="o"/>
      <w:lvlJc w:val="left"/>
      <w:pPr>
        <w:ind w:left="3660" w:hanging="360"/>
      </w:pPr>
      <w:rPr>
        <w:rFonts w:ascii="Courier New" w:hAnsi="Courier New" w:cs="Courier New" w:hint="default"/>
      </w:rPr>
    </w:lvl>
    <w:lvl w:ilvl="5" w:tplc="1A6CE408" w:tentative="1">
      <w:start w:val="1"/>
      <w:numFmt w:val="bullet"/>
      <w:lvlText w:val=""/>
      <w:lvlJc w:val="left"/>
      <w:pPr>
        <w:ind w:left="4380" w:hanging="360"/>
      </w:pPr>
      <w:rPr>
        <w:rFonts w:ascii="Wingdings" w:hAnsi="Wingdings" w:hint="default"/>
      </w:rPr>
    </w:lvl>
    <w:lvl w:ilvl="6" w:tplc="BFF24A54" w:tentative="1">
      <w:start w:val="1"/>
      <w:numFmt w:val="bullet"/>
      <w:lvlText w:val=""/>
      <w:lvlJc w:val="left"/>
      <w:pPr>
        <w:ind w:left="5100" w:hanging="360"/>
      </w:pPr>
      <w:rPr>
        <w:rFonts w:ascii="Symbol" w:hAnsi="Symbol" w:hint="default"/>
      </w:rPr>
    </w:lvl>
    <w:lvl w:ilvl="7" w:tplc="DC7ADA04" w:tentative="1">
      <w:start w:val="1"/>
      <w:numFmt w:val="bullet"/>
      <w:lvlText w:val="o"/>
      <w:lvlJc w:val="left"/>
      <w:pPr>
        <w:ind w:left="5820" w:hanging="360"/>
      </w:pPr>
      <w:rPr>
        <w:rFonts w:ascii="Courier New" w:hAnsi="Courier New" w:cs="Courier New" w:hint="default"/>
      </w:rPr>
    </w:lvl>
    <w:lvl w:ilvl="8" w:tplc="589E3E44" w:tentative="1">
      <w:start w:val="1"/>
      <w:numFmt w:val="bullet"/>
      <w:lvlText w:val=""/>
      <w:lvlJc w:val="left"/>
      <w:pPr>
        <w:ind w:left="6540" w:hanging="360"/>
      </w:pPr>
      <w:rPr>
        <w:rFonts w:ascii="Wingdings" w:hAnsi="Wingdings" w:hint="default"/>
      </w:rPr>
    </w:lvl>
  </w:abstractNum>
  <w:abstractNum w:abstractNumId="13" w15:restartNumberingAfterBreak="0">
    <w:nsid w:val="353E44C9"/>
    <w:multiLevelType w:val="hybridMultilevel"/>
    <w:tmpl w:val="1EAADA68"/>
    <w:lvl w:ilvl="0" w:tplc="8C88C91C">
      <w:start w:val="1"/>
      <w:numFmt w:val="bullet"/>
      <w:lvlText w:val=""/>
      <w:lvlJc w:val="left"/>
      <w:pPr>
        <w:ind w:left="360" w:hanging="360"/>
      </w:pPr>
      <w:rPr>
        <w:rFonts w:ascii="Symbol" w:hAnsi="Symbol" w:hint="default"/>
      </w:rPr>
    </w:lvl>
    <w:lvl w:ilvl="1" w:tplc="CE6ED0AC" w:tentative="1">
      <w:start w:val="1"/>
      <w:numFmt w:val="bullet"/>
      <w:lvlText w:val="o"/>
      <w:lvlJc w:val="left"/>
      <w:pPr>
        <w:ind w:left="1080" w:hanging="360"/>
      </w:pPr>
      <w:rPr>
        <w:rFonts w:ascii="Courier New" w:hAnsi="Courier New" w:cs="Courier New" w:hint="default"/>
      </w:rPr>
    </w:lvl>
    <w:lvl w:ilvl="2" w:tplc="F6305272" w:tentative="1">
      <w:start w:val="1"/>
      <w:numFmt w:val="bullet"/>
      <w:lvlText w:val=""/>
      <w:lvlJc w:val="left"/>
      <w:pPr>
        <w:ind w:left="1800" w:hanging="360"/>
      </w:pPr>
      <w:rPr>
        <w:rFonts w:ascii="Wingdings" w:hAnsi="Wingdings" w:hint="default"/>
      </w:rPr>
    </w:lvl>
    <w:lvl w:ilvl="3" w:tplc="5212FB78" w:tentative="1">
      <w:start w:val="1"/>
      <w:numFmt w:val="bullet"/>
      <w:lvlText w:val=""/>
      <w:lvlJc w:val="left"/>
      <w:pPr>
        <w:ind w:left="2520" w:hanging="360"/>
      </w:pPr>
      <w:rPr>
        <w:rFonts w:ascii="Symbol" w:hAnsi="Symbol" w:hint="default"/>
      </w:rPr>
    </w:lvl>
    <w:lvl w:ilvl="4" w:tplc="B0147010" w:tentative="1">
      <w:start w:val="1"/>
      <w:numFmt w:val="bullet"/>
      <w:lvlText w:val="o"/>
      <w:lvlJc w:val="left"/>
      <w:pPr>
        <w:ind w:left="3240" w:hanging="360"/>
      </w:pPr>
      <w:rPr>
        <w:rFonts w:ascii="Courier New" w:hAnsi="Courier New" w:cs="Courier New" w:hint="default"/>
      </w:rPr>
    </w:lvl>
    <w:lvl w:ilvl="5" w:tplc="9FDE8928" w:tentative="1">
      <w:start w:val="1"/>
      <w:numFmt w:val="bullet"/>
      <w:lvlText w:val=""/>
      <w:lvlJc w:val="left"/>
      <w:pPr>
        <w:ind w:left="3960" w:hanging="360"/>
      </w:pPr>
      <w:rPr>
        <w:rFonts w:ascii="Wingdings" w:hAnsi="Wingdings" w:hint="default"/>
      </w:rPr>
    </w:lvl>
    <w:lvl w:ilvl="6" w:tplc="6C626C78" w:tentative="1">
      <w:start w:val="1"/>
      <w:numFmt w:val="bullet"/>
      <w:lvlText w:val=""/>
      <w:lvlJc w:val="left"/>
      <w:pPr>
        <w:ind w:left="4680" w:hanging="360"/>
      </w:pPr>
      <w:rPr>
        <w:rFonts w:ascii="Symbol" w:hAnsi="Symbol" w:hint="default"/>
      </w:rPr>
    </w:lvl>
    <w:lvl w:ilvl="7" w:tplc="D812CF76" w:tentative="1">
      <w:start w:val="1"/>
      <w:numFmt w:val="bullet"/>
      <w:lvlText w:val="o"/>
      <w:lvlJc w:val="left"/>
      <w:pPr>
        <w:ind w:left="5400" w:hanging="360"/>
      </w:pPr>
      <w:rPr>
        <w:rFonts w:ascii="Courier New" w:hAnsi="Courier New" w:cs="Courier New" w:hint="default"/>
      </w:rPr>
    </w:lvl>
    <w:lvl w:ilvl="8" w:tplc="92240E60" w:tentative="1">
      <w:start w:val="1"/>
      <w:numFmt w:val="bullet"/>
      <w:lvlText w:val=""/>
      <w:lvlJc w:val="left"/>
      <w:pPr>
        <w:ind w:left="6120" w:hanging="360"/>
      </w:pPr>
      <w:rPr>
        <w:rFonts w:ascii="Wingdings" w:hAnsi="Wingdings" w:hint="default"/>
      </w:rPr>
    </w:lvl>
  </w:abstractNum>
  <w:abstractNum w:abstractNumId="14" w15:restartNumberingAfterBreak="0">
    <w:nsid w:val="364C33F0"/>
    <w:multiLevelType w:val="hybridMultilevel"/>
    <w:tmpl w:val="61D0E8D4"/>
    <w:lvl w:ilvl="0" w:tplc="6476A2C0">
      <w:start w:val="1"/>
      <w:numFmt w:val="bullet"/>
      <w:lvlText w:val=""/>
      <w:lvlJc w:val="left"/>
      <w:pPr>
        <w:ind w:left="780" w:hanging="360"/>
      </w:pPr>
      <w:rPr>
        <w:rFonts w:ascii="Symbol" w:hAnsi="Symbol" w:hint="default"/>
      </w:rPr>
    </w:lvl>
    <w:lvl w:ilvl="1" w:tplc="38D0F5E2" w:tentative="1">
      <w:start w:val="1"/>
      <w:numFmt w:val="bullet"/>
      <w:lvlText w:val="o"/>
      <w:lvlJc w:val="left"/>
      <w:pPr>
        <w:ind w:left="1500" w:hanging="360"/>
      </w:pPr>
      <w:rPr>
        <w:rFonts w:ascii="Courier New" w:hAnsi="Courier New" w:cs="Courier New" w:hint="default"/>
      </w:rPr>
    </w:lvl>
    <w:lvl w:ilvl="2" w:tplc="8E10823E" w:tentative="1">
      <w:start w:val="1"/>
      <w:numFmt w:val="bullet"/>
      <w:lvlText w:val=""/>
      <w:lvlJc w:val="left"/>
      <w:pPr>
        <w:ind w:left="2220" w:hanging="360"/>
      </w:pPr>
      <w:rPr>
        <w:rFonts w:ascii="Wingdings" w:hAnsi="Wingdings" w:hint="default"/>
      </w:rPr>
    </w:lvl>
    <w:lvl w:ilvl="3" w:tplc="0054D520" w:tentative="1">
      <w:start w:val="1"/>
      <w:numFmt w:val="bullet"/>
      <w:lvlText w:val=""/>
      <w:lvlJc w:val="left"/>
      <w:pPr>
        <w:ind w:left="2940" w:hanging="360"/>
      </w:pPr>
      <w:rPr>
        <w:rFonts w:ascii="Symbol" w:hAnsi="Symbol" w:hint="default"/>
      </w:rPr>
    </w:lvl>
    <w:lvl w:ilvl="4" w:tplc="D334F2B0" w:tentative="1">
      <w:start w:val="1"/>
      <w:numFmt w:val="bullet"/>
      <w:lvlText w:val="o"/>
      <w:lvlJc w:val="left"/>
      <w:pPr>
        <w:ind w:left="3660" w:hanging="360"/>
      </w:pPr>
      <w:rPr>
        <w:rFonts w:ascii="Courier New" w:hAnsi="Courier New" w:cs="Courier New" w:hint="default"/>
      </w:rPr>
    </w:lvl>
    <w:lvl w:ilvl="5" w:tplc="C99E32A4" w:tentative="1">
      <w:start w:val="1"/>
      <w:numFmt w:val="bullet"/>
      <w:lvlText w:val=""/>
      <w:lvlJc w:val="left"/>
      <w:pPr>
        <w:ind w:left="4380" w:hanging="360"/>
      </w:pPr>
      <w:rPr>
        <w:rFonts w:ascii="Wingdings" w:hAnsi="Wingdings" w:hint="default"/>
      </w:rPr>
    </w:lvl>
    <w:lvl w:ilvl="6" w:tplc="12128490" w:tentative="1">
      <w:start w:val="1"/>
      <w:numFmt w:val="bullet"/>
      <w:lvlText w:val=""/>
      <w:lvlJc w:val="left"/>
      <w:pPr>
        <w:ind w:left="5100" w:hanging="360"/>
      </w:pPr>
      <w:rPr>
        <w:rFonts w:ascii="Symbol" w:hAnsi="Symbol" w:hint="default"/>
      </w:rPr>
    </w:lvl>
    <w:lvl w:ilvl="7" w:tplc="F5185232" w:tentative="1">
      <w:start w:val="1"/>
      <w:numFmt w:val="bullet"/>
      <w:lvlText w:val="o"/>
      <w:lvlJc w:val="left"/>
      <w:pPr>
        <w:ind w:left="5820" w:hanging="360"/>
      </w:pPr>
      <w:rPr>
        <w:rFonts w:ascii="Courier New" w:hAnsi="Courier New" w:cs="Courier New" w:hint="default"/>
      </w:rPr>
    </w:lvl>
    <w:lvl w:ilvl="8" w:tplc="BCB045B2" w:tentative="1">
      <w:start w:val="1"/>
      <w:numFmt w:val="bullet"/>
      <w:lvlText w:val=""/>
      <w:lvlJc w:val="left"/>
      <w:pPr>
        <w:ind w:left="6540" w:hanging="360"/>
      </w:pPr>
      <w:rPr>
        <w:rFonts w:ascii="Wingdings" w:hAnsi="Wingdings" w:hint="default"/>
      </w:rPr>
    </w:lvl>
  </w:abstractNum>
  <w:abstractNum w:abstractNumId="15" w15:restartNumberingAfterBreak="0">
    <w:nsid w:val="3A5872B9"/>
    <w:multiLevelType w:val="hybridMultilevel"/>
    <w:tmpl w:val="E8DCFFC4"/>
    <w:lvl w:ilvl="0" w:tplc="F5DED22E">
      <w:start w:val="1"/>
      <w:numFmt w:val="bullet"/>
      <w:lvlText w:val=""/>
      <w:lvlJc w:val="left"/>
      <w:pPr>
        <w:ind w:left="720" w:hanging="360"/>
      </w:pPr>
      <w:rPr>
        <w:rFonts w:ascii="Symbol" w:hAnsi="Symbol" w:hint="default"/>
      </w:rPr>
    </w:lvl>
    <w:lvl w:ilvl="1" w:tplc="A746D5FC" w:tentative="1">
      <w:start w:val="1"/>
      <w:numFmt w:val="bullet"/>
      <w:lvlText w:val="o"/>
      <w:lvlJc w:val="left"/>
      <w:pPr>
        <w:ind w:left="1440" w:hanging="360"/>
      </w:pPr>
      <w:rPr>
        <w:rFonts w:ascii="Courier New" w:hAnsi="Courier New" w:cs="Courier New" w:hint="default"/>
      </w:rPr>
    </w:lvl>
    <w:lvl w:ilvl="2" w:tplc="9E6C2AD6" w:tentative="1">
      <w:start w:val="1"/>
      <w:numFmt w:val="bullet"/>
      <w:lvlText w:val=""/>
      <w:lvlJc w:val="left"/>
      <w:pPr>
        <w:ind w:left="2160" w:hanging="360"/>
      </w:pPr>
      <w:rPr>
        <w:rFonts w:ascii="Wingdings" w:hAnsi="Wingdings" w:hint="default"/>
      </w:rPr>
    </w:lvl>
    <w:lvl w:ilvl="3" w:tplc="999A2748" w:tentative="1">
      <w:start w:val="1"/>
      <w:numFmt w:val="bullet"/>
      <w:lvlText w:val=""/>
      <w:lvlJc w:val="left"/>
      <w:pPr>
        <w:ind w:left="2880" w:hanging="360"/>
      </w:pPr>
      <w:rPr>
        <w:rFonts w:ascii="Symbol" w:hAnsi="Symbol" w:hint="default"/>
      </w:rPr>
    </w:lvl>
    <w:lvl w:ilvl="4" w:tplc="53F0AC20" w:tentative="1">
      <w:start w:val="1"/>
      <w:numFmt w:val="bullet"/>
      <w:lvlText w:val="o"/>
      <w:lvlJc w:val="left"/>
      <w:pPr>
        <w:ind w:left="3600" w:hanging="360"/>
      </w:pPr>
      <w:rPr>
        <w:rFonts w:ascii="Courier New" w:hAnsi="Courier New" w:cs="Courier New" w:hint="default"/>
      </w:rPr>
    </w:lvl>
    <w:lvl w:ilvl="5" w:tplc="CAC4584E" w:tentative="1">
      <w:start w:val="1"/>
      <w:numFmt w:val="bullet"/>
      <w:lvlText w:val=""/>
      <w:lvlJc w:val="left"/>
      <w:pPr>
        <w:ind w:left="4320" w:hanging="360"/>
      </w:pPr>
      <w:rPr>
        <w:rFonts w:ascii="Wingdings" w:hAnsi="Wingdings" w:hint="default"/>
      </w:rPr>
    </w:lvl>
    <w:lvl w:ilvl="6" w:tplc="19320930" w:tentative="1">
      <w:start w:val="1"/>
      <w:numFmt w:val="bullet"/>
      <w:lvlText w:val=""/>
      <w:lvlJc w:val="left"/>
      <w:pPr>
        <w:ind w:left="5040" w:hanging="360"/>
      </w:pPr>
      <w:rPr>
        <w:rFonts w:ascii="Symbol" w:hAnsi="Symbol" w:hint="default"/>
      </w:rPr>
    </w:lvl>
    <w:lvl w:ilvl="7" w:tplc="B35ECF2E" w:tentative="1">
      <w:start w:val="1"/>
      <w:numFmt w:val="bullet"/>
      <w:lvlText w:val="o"/>
      <w:lvlJc w:val="left"/>
      <w:pPr>
        <w:ind w:left="5760" w:hanging="360"/>
      </w:pPr>
      <w:rPr>
        <w:rFonts w:ascii="Courier New" w:hAnsi="Courier New" w:cs="Courier New" w:hint="default"/>
      </w:rPr>
    </w:lvl>
    <w:lvl w:ilvl="8" w:tplc="A85676B4" w:tentative="1">
      <w:start w:val="1"/>
      <w:numFmt w:val="bullet"/>
      <w:lvlText w:val=""/>
      <w:lvlJc w:val="left"/>
      <w:pPr>
        <w:ind w:left="6480" w:hanging="360"/>
      </w:pPr>
      <w:rPr>
        <w:rFonts w:ascii="Wingdings" w:hAnsi="Wingdings" w:hint="default"/>
      </w:rPr>
    </w:lvl>
  </w:abstractNum>
  <w:abstractNum w:abstractNumId="16" w15:restartNumberingAfterBreak="0">
    <w:nsid w:val="40B806C4"/>
    <w:multiLevelType w:val="hybridMultilevel"/>
    <w:tmpl w:val="8638BAEE"/>
    <w:lvl w:ilvl="0" w:tplc="5A4C6DE0">
      <w:start w:val="1"/>
      <w:numFmt w:val="bullet"/>
      <w:lvlText w:val=""/>
      <w:lvlJc w:val="left"/>
      <w:pPr>
        <w:ind w:left="788" w:hanging="360"/>
      </w:pPr>
      <w:rPr>
        <w:rFonts w:ascii="Symbol" w:hAnsi="Symbol" w:hint="default"/>
      </w:rPr>
    </w:lvl>
    <w:lvl w:ilvl="1" w:tplc="A6E66538" w:tentative="1">
      <w:start w:val="1"/>
      <w:numFmt w:val="bullet"/>
      <w:lvlText w:val="o"/>
      <w:lvlJc w:val="left"/>
      <w:pPr>
        <w:ind w:left="1508" w:hanging="360"/>
      </w:pPr>
      <w:rPr>
        <w:rFonts w:ascii="Courier New" w:hAnsi="Courier New" w:cs="Courier New" w:hint="default"/>
      </w:rPr>
    </w:lvl>
    <w:lvl w:ilvl="2" w:tplc="B442EFB6" w:tentative="1">
      <w:start w:val="1"/>
      <w:numFmt w:val="bullet"/>
      <w:lvlText w:val=""/>
      <w:lvlJc w:val="left"/>
      <w:pPr>
        <w:ind w:left="2228" w:hanging="360"/>
      </w:pPr>
      <w:rPr>
        <w:rFonts w:ascii="Wingdings" w:hAnsi="Wingdings" w:hint="default"/>
      </w:rPr>
    </w:lvl>
    <w:lvl w:ilvl="3" w:tplc="A3DEE9E2" w:tentative="1">
      <w:start w:val="1"/>
      <w:numFmt w:val="bullet"/>
      <w:lvlText w:val=""/>
      <w:lvlJc w:val="left"/>
      <w:pPr>
        <w:ind w:left="2948" w:hanging="360"/>
      </w:pPr>
      <w:rPr>
        <w:rFonts w:ascii="Symbol" w:hAnsi="Symbol" w:hint="default"/>
      </w:rPr>
    </w:lvl>
    <w:lvl w:ilvl="4" w:tplc="016625FC" w:tentative="1">
      <w:start w:val="1"/>
      <w:numFmt w:val="bullet"/>
      <w:lvlText w:val="o"/>
      <w:lvlJc w:val="left"/>
      <w:pPr>
        <w:ind w:left="3668" w:hanging="360"/>
      </w:pPr>
      <w:rPr>
        <w:rFonts w:ascii="Courier New" w:hAnsi="Courier New" w:cs="Courier New" w:hint="default"/>
      </w:rPr>
    </w:lvl>
    <w:lvl w:ilvl="5" w:tplc="B0042AB2" w:tentative="1">
      <w:start w:val="1"/>
      <w:numFmt w:val="bullet"/>
      <w:lvlText w:val=""/>
      <w:lvlJc w:val="left"/>
      <w:pPr>
        <w:ind w:left="4388" w:hanging="360"/>
      </w:pPr>
      <w:rPr>
        <w:rFonts w:ascii="Wingdings" w:hAnsi="Wingdings" w:hint="default"/>
      </w:rPr>
    </w:lvl>
    <w:lvl w:ilvl="6" w:tplc="5F1409FC" w:tentative="1">
      <w:start w:val="1"/>
      <w:numFmt w:val="bullet"/>
      <w:lvlText w:val=""/>
      <w:lvlJc w:val="left"/>
      <w:pPr>
        <w:ind w:left="5108" w:hanging="360"/>
      </w:pPr>
      <w:rPr>
        <w:rFonts w:ascii="Symbol" w:hAnsi="Symbol" w:hint="default"/>
      </w:rPr>
    </w:lvl>
    <w:lvl w:ilvl="7" w:tplc="7DC43588" w:tentative="1">
      <w:start w:val="1"/>
      <w:numFmt w:val="bullet"/>
      <w:lvlText w:val="o"/>
      <w:lvlJc w:val="left"/>
      <w:pPr>
        <w:ind w:left="5828" w:hanging="360"/>
      </w:pPr>
      <w:rPr>
        <w:rFonts w:ascii="Courier New" w:hAnsi="Courier New" w:cs="Courier New" w:hint="default"/>
      </w:rPr>
    </w:lvl>
    <w:lvl w:ilvl="8" w:tplc="0CA0962A" w:tentative="1">
      <w:start w:val="1"/>
      <w:numFmt w:val="bullet"/>
      <w:lvlText w:val=""/>
      <w:lvlJc w:val="left"/>
      <w:pPr>
        <w:ind w:left="6548" w:hanging="360"/>
      </w:pPr>
      <w:rPr>
        <w:rFonts w:ascii="Wingdings" w:hAnsi="Wingdings" w:hint="default"/>
      </w:rPr>
    </w:lvl>
  </w:abstractNum>
  <w:abstractNum w:abstractNumId="17" w15:restartNumberingAfterBreak="0">
    <w:nsid w:val="41B33DE6"/>
    <w:multiLevelType w:val="hybridMultilevel"/>
    <w:tmpl w:val="CF822B7A"/>
    <w:lvl w:ilvl="0" w:tplc="1DC0D7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3622A6"/>
    <w:multiLevelType w:val="hybridMultilevel"/>
    <w:tmpl w:val="0D408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4F15C1"/>
    <w:multiLevelType w:val="hybridMultilevel"/>
    <w:tmpl w:val="876A5724"/>
    <w:lvl w:ilvl="0" w:tplc="AFA84760">
      <w:start w:val="1"/>
      <w:numFmt w:val="bullet"/>
      <w:lvlText w:val=""/>
      <w:lvlJc w:val="left"/>
      <w:pPr>
        <w:ind w:left="720" w:hanging="360"/>
      </w:pPr>
      <w:rPr>
        <w:rFonts w:ascii="Symbol" w:hAnsi="Symbol" w:hint="default"/>
      </w:rPr>
    </w:lvl>
    <w:lvl w:ilvl="1" w:tplc="A29EFD0C" w:tentative="1">
      <w:start w:val="1"/>
      <w:numFmt w:val="bullet"/>
      <w:lvlText w:val="o"/>
      <w:lvlJc w:val="left"/>
      <w:pPr>
        <w:ind w:left="1440" w:hanging="360"/>
      </w:pPr>
      <w:rPr>
        <w:rFonts w:ascii="Courier New" w:hAnsi="Courier New" w:cs="Courier New" w:hint="default"/>
      </w:rPr>
    </w:lvl>
    <w:lvl w:ilvl="2" w:tplc="3A5072AA" w:tentative="1">
      <w:start w:val="1"/>
      <w:numFmt w:val="bullet"/>
      <w:lvlText w:val=""/>
      <w:lvlJc w:val="left"/>
      <w:pPr>
        <w:ind w:left="2160" w:hanging="360"/>
      </w:pPr>
      <w:rPr>
        <w:rFonts w:ascii="Wingdings" w:hAnsi="Wingdings" w:hint="default"/>
      </w:rPr>
    </w:lvl>
    <w:lvl w:ilvl="3" w:tplc="52F2747E" w:tentative="1">
      <w:start w:val="1"/>
      <w:numFmt w:val="bullet"/>
      <w:lvlText w:val=""/>
      <w:lvlJc w:val="left"/>
      <w:pPr>
        <w:ind w:left="2880" w:hanging="360"/>
      </w:pPr>
      <w:rPr>
        <w:rFonts w:ascii="Symbol" w:hAnsi="Symbol" w:hint="default"/>
      </w:rPr>
    </w:lvl>
    <w:lvl w:ilvl="4" w:tplc="7936770C" w:tentative="1">
      <w:start w:val="1"/>
      <w:numFmt w:val="bullet"/>
      <w:lvlText w:val="o"/>
      <w:lvlJc w:val="left"/>
      <w:pPr>
        <w:ind w:left="3600" w:hanging="360"/>
      </w:pPr>
      <w:rPr>
        <w:rFonts w:ascii="Courier New" w:hAnsi="Courier New" w:cs="Courier New" w:hint="default"/>
      </w:rPr>
    </w:lvl>
    <w:lvl w:ilvl="5" w:tplc="6576E266" w:tentative="1">
      <w:start w:val="1"/>
      <w:numFmt w:val="bullet"/>
      <w:lvlText w:val=""/>
      <w:lvlJc w:val="left"/>
      <w:pPr>
        <w:ind w:left="4320" w:hanging="360"/>
      </w:pPr>
      <w:rPr>
        <w:rFonts w:ascii="Wingdings" w:hAnsi="Wingdings" w:hint="default"/>
      </w:rPr>
    </w:lvl>
    <w:lvl w:ilvl="6" w:tplc="0648544C" w:tentative="1">
      <w:start w:val="1"/>
      <w:numFmt w:val="bullet"/>
      <w:lvlText w:val=""/>
      <w:lvlJc w:val="left"/>
      <w:pPr>
        <w:ind w:left="5040" w:hanging="360"/>
      </w:pPr>
      <w:rPr>
        <w:rFonts w:ascii="Symbol" w:hAnsi="Symbol" w:hint="default"/>
      </w:rPr>
    </w:lvl>
    <w:lvl w:ilvl="7" w:tplc="3EAA5C3E" w:tentative="1">
      <w:start w:val="1"/>
      <w:numFmt w:val="bullet"/>
      <w:lvlText w:val="o"/>
      <w:lvlJc w:val="left"/>
      <w:pPr>
        <w:ind w:left="5760" w:hanging="360"/>
      </w:pPr>
      <w:rPr>
        <w:rFonts w:ascii="Courier New" w:hAnsi="Courier New" w:cs="Courier New" w:hint="default"/>
      </w:rPr>
    </w:lvl>
    <w:lvl w:ilvl="8" w:tplc="238E563A" w:tentative="1">
      <w:start w:val="1"/>
      <w:numFmt w:val="bullet"/>
      <w:lvlText w:val=""/>
      <w:lvlJc w:val="left"/>
      <w:pPr>
        <w:ind w:left="6480" w:hanging="360"/>
      </w:pPr>
      <w:rPr>
        <w:rFonts w:ascii="Wingdings" w:hAnsi="Wingdings" w:hint="default"/>
      </w:rPr>
    </w:lvl>
  </w:abstractNum>
  <w:abstractNum w:abstractNumId="20" w15:restartNumberingAfterBreak="0">
    <w:nsid w:val="4BB23DCC"/>
    <w:multiLevelType w:val="hybridMultilevel"/>
    <w:tmpl w:val="1B26BF52"/>
    <w:lvl w:ilvl="0" w:tplc="FE909A64">
      <w:start w:val="1"/>
      <w:numFmt w:val="bullet"/>
      <w:lvlText w:val=""/>
      <w:lvlJc w:val="left"/>
      <w:pPr>
        <w:ind w:left="780" w:hanging="360"/>
      </w:pPr>
      <w:rPr>
        <w:rFonts w:ascii="Symbol" w:hAnsi="Symbol" w:hint="default"/>
      </w:rPr>
    </w:lvl>
    <w:lvl w:ilvl="1" w:tplc="7EF284FA" w:tentative="1">
      <w:start w:val="1"/>
      <w:numFmt w:val="bullet"/>
      <w:lvlText w:val="o"/>
      <w:lvlJc w:val="left"/>
      <w:pPr>
        <w:ind w:left="1500" w:hanging="360"/>
      </w:pPr>
      <w:rPr>
        <w:rFonts w:ascii="Courier New" w:hAnsi="Courier New" w:cs="Courier New" w:hint="default"/>
      </w:rPr>
    </w:lvl>
    <w:lvl w:ilvl="2" w:tplc="D5107FA6" w:tentative="1">
      <w:start w:val="1"/>
      <w:numFmt w:val="bullet"/>
      <w:lvlText w:val=""/>
      <w:lvlJc w:val="left"/>
      <w:pPr>
        <w:ind w:left="2220" w:hanging="360"/>
      </w:pPr>
      <w:rPr>
        <w:rFonts w:ascii="Wingdings" w:hAnsi="Wingdings" w:hint="default"/>
      </w:rPr>
    </w:lvl>
    <w:lvl w:ilvl="3" w:tplc="9006CAEC" w:tentative="1">
      <w:start w:val="1"/>
      <w:numFmt w:val="bullet"/>
      <w:lvlText w:val=""/>
      <w:lvlJc w:val="left"/>
      <w:pPr>
        <w:ind w:left="2940" w:hanging="360"/>
      </w:pPr>
      <w:rPr>
        <w:rFonts w:ascii="Symbol" w:hAnsi="Symbol" w:hint="default"/>
      </w:rPr>
    </w:lvl>
    <w:lvl w:ilvl="4" w:tplc="38DEFAD6" w:tentative="1">
      <w:start w:val="1"/>
      <w:numFmt w:val="bullet"/>
      <w:lvlText w:val="o"/>
      <w:lvlJc w:val="left"/>
      <w:pPr>
        <w:ind w:left="3660" w:hanging="360"/>
      </w:pPr>
      <w:rPr>
        <w:rFonts w:ascii="Courier New" w:hAnsi="Courier New" w:cs="Courier New" w:hint="default"/>
      </w:rPr>
    </w:lvl>
    <w:lvl w:ilvl="5" w:tplc="AD3A13D2" w:tentative="1">
      <w:start w:val="1"/>
      <w:numFmt w:val="bullet"/>
      <w:lvlText w:val=""/>
      <w:lvlJc w:val="left"/>
      <w:pPr>
        <w:ind w:left="4380" w:hanging="360"/>
      </w:pPr>
      <w:rPr>
        <w:rFonts w:ascii="Wingdings" w:hAnsi="Wingdings" w:hint="default"/>
      </w:rPr>
    </w:lvl>
    <w:lvl w:ilvl="6" w:tplc="D50A85E8" w:tentative="1">
      <w:start w:val="1"/>
      <w:numFmt w:val="bullet"/>
      <w:lvlText w:val=""/>
      <w:lvlJc w:val="left"/>
      <w:pPr>
        <w:ind w:left="5100" w:hanging="360"/>
      </w:pPr>
      <w:rPr>
        <w:rFonts w:ascii="Symbol" w:hAnsi="Symbol" w:hint="default"/>
      </w:rPr>
    </w:lvl>
    <w:lvl w:ilvl="7" w:tplc="75D02EFE" w:tentative="1">
      <w:start w:val="1"/>
      <w:numFmt w:val="bullet"/>
      <w:lvlText w:val="o"/>
      <w:lvlJc w:val="left"/>
      <w:pPr>
        <w:ind w:left="5820" w:hanging="360"/>
      </w:pPr>
      <w:rPr>
        <w:rFonts w:ascii="Courier New" w:hAnsi="Courier New" w:cs="Courier New" w:hint="default"/>
      </w:rPr>
    </w:lvl>
    <w:lvl w:ilvl="8" w:tplc="40AA446E" w:tentative="1">
      <w:start w:val="1"/>
      <w:numFmt w:val="bullet"/>
      <w:lvlText w:val=""/>
      <w:lvlJc w:val="left"/>
      <w:pPr>
        <w:ind w:left="6540" w:hanging="360"/>
      </w:pPr>
      <w:rPr>
        <w:rFonts w:ascii="Wingdings" w:hAnsi="Wingdings" w:hint="default"/>
      </w:rPr>
    </w:lvl>
  </w:abstractNum>
  <w:abstractNum w:abstractNumId="21" w15:restartNumberingAfterBreak="0">
    <w:nsid w:val="4D5A4C03"/>
    <w:multiLevelType w:val="hybridMultilevel"/>
    <w:tmpl w:val="29BEC2A8"/>
    <w:lvl w:ilvl="0" w:tplc="1DC0D78E">
      <w:start w:val="1"/>
      <w:numFmt w:val="bullet"/>
      <w:lvlText w:val=""/>
      <w:lvlJc w:val="left"/>
      <w:pPr>
        <w:ind w:left="720" w:hanging="360"/>
      </w:pPr>
      <w:rPr>
        <w:rFonts w:ascii="Symbol" w:hAnsi="Symbol" w:hint="default"/>
      </w:rPr>
    </w:lvl>
    <w:lvl w:ilvl="1" w:tplc="E572D2CA" w:tentative="1">
      <w:start w:val="1"/>
      <w:numFmt w:val="bullet"/>
      <w:lvlText w:val="o"/>
      <w:lvlJc w:val="left"/>
      <w:pPr>
        <w:ind w:left="1440" w:hanging="360"/>
      </w:pPr>
      <w:rPr>
        <w:rFonts w:ascii="Courier New" w:hAnsi="Courier New" w:cs="Courier New" w:hint="default"/>
      </w:rPr>
    </w:lvl>
    <w:lvl w:ilvl="2" w:tplc="39F61B10" w:tentative="1">
      <w:start w:val="1"/>
      <w:numFmt w:val="bullet"/>
      <w:lvlText w:val=""/>
      <w:lvlJc w:val="left"/>
      <w:pPr>
        <w:ind w:left="2160" w:hanging="360"/>
      </w:pPr>
      <w:rPr>
        <w:rFonts w:ascii="Wingdings" w:hAnsi="Wingdings" w:hint="default"/>
      </w:rPr>
    </w:lvl>
    <w:lvl w:ilvl="3" w:tplc="9C107A86" w:tentative="1">
      <w:start w:val="1"/>
      <w:numFmt w:val="bullet"/>
      <w:lvlText w:val=""/>
      <w:lvlJc w:val="left"/>
      <w:pPr>
        <w:ind w:left="2880" w:hanging="360"/>
      </w:pPr>
      <w:rPr>
        <w:rFonts w:ascii="Symbol" w:hAnsi="Symbol" w:hint="default"/>
      </w:rPr>
    </w:lvl>
    <w:lvl w:ilvl="4" w:tplc="D5606A84" w:tentative="1">
      <w:start w:val="1"/>
      <w:numFmt w:val="bullet"/>
      <w:lvlText w:val="o"/>
      <w:lvlJc w:val="left"/>
      <w:pPr>
        <w:ind w:left="3600" w:hanging="360"/>
      </w:pPr>
      <w:rPr>
        <w:rFonts w:ascii="Courier New" w:hAnsi="Courier New" w:cs="Courier New" w:hint="default"/>
      </w:rPr>
    </w:lvl>
    <w:lvl w:ilvl="5" w:tplc="DDBACB74" w:tentative="1">
      <w:start w:val="1"/>
      <w:numFmt w:val="bullet"/>
      <w:lvlText w:val=""/>
      <w:lvlJc w:val="left"/>
      <w:pPr>
        <w:ind w:left="4320" w:hanging="360"/>
      </w:pPr>
      <w:rPr>
        <w:rFonts w:ascii="Wingdings" w:hAnsi="Wingdings" w:hint="default"/>
      </w:rPr>
    </w:lvl>
    <w:lvl w:ilvl="6" w:tplc="C8EC8298" w:tentative="1">
      <w:start w:val="1"/>
      <w:numFmt w:val="bullet"/>
      <w:lvlText w:val=""/>
      <w:lvlJc w:val="left"/>
      <w:pPr>
        <w:ind w:left="5040" w:hanging="360"/>
      </w:pPr>
      <w:rPr>
        <w:rFonts w:ascii="Symbol" w:hAnsi="Symbol" w:hint="default"/>
      </w:rPr>
    </w:lvl>
    <w:lvl w:ilvl="7" w:tplc="62885234" w:tentative="1">
      <w:start w:val="1"/>
      <w:numFmt w:val="bullet"/>
      <w:lvlText w:val="o"/>
      <w:lvlJc w:val="left"/>
      <w:pPr>
        <w:ind w:left="5760" w:hanging="360"/>
      </w:pPr>
      <w:rPr>
        <w:rFonts w:ascii="Courier New" w:hAnsi="Courier New" w:cs="Courier New" w:hint="default"/>
      </w:rPr>
    </w:lvl>
    <w:lvl w:ilvl="8" w:tplc="FCA4A892" w:tentative="1">
      <w:start w:val="1"/>
      <w:numFmt w:val="bullet"/>
      <w:lvlText w:val=""/>
      <w:lvlJc w:val="left"/>
      <w:pPr>
        <w:ind w:left="6480" w:hanging="360"/>
      </w:pPr>
      <w:rPr>
        <w:rFonts w:ascii="Wingdings" w:hAnsi="Wingdings" w:hint="default"/>
      </w:rPr>
    </w:lvl>
  </w:abstractNum>
  <w:abstractNum w:abstractNumId="22" w15:restartNumberingAfterBreak="0">
    <w:nsid w:val="4DB73CF7"/>
    <w:multiLevelType w:val="hybridMultilevel"/>
    <w:tmpl w:val="279CE98E"/>
    <w:lvl w:ilvl="0" w:tplc="9EC69CC2">
      <w:start w:val="1"/>
      <w:numFmt w:val="bullet"/>
      <w:lvlText w:val=""/>
      <w:lvlJc w:val="left"/>
      <w:pPr>
        <w:ind w:left="720" w:hanging="360"/>
      </w:pPr>
      <w:rPr>
        <w:rFonts w:ascii="Symbol" w:hAnsi="Symbol" w:hint="default"/>
      </w:rPr>
    </w:lvl>
    <w:lvl w:ilvl="1" w:tplc="3EB4D442" w:tentative="1">
      <w:start w:val="1"/>
      <w:numFmt w:val="bullet"/>
      <w:lvlText w:val="o"/>
      <w:lvlJc w:val="left"/>
      <w:pPr>
        <w:ind w:left="1440" w:hanging="360"/>
      </w:pPr>
      <w:rPr>
        <w:rFonts w:ascii="Courier New" w:hAnsi="Courier New" w:cs="Courier New" w:hint="default"/>
      </w:rPr>
    </w:lvl>
    <w:lvl w:ilvl="2" w:tplc="9EBC31D0" w:tentative="1">
      <w:start w:val="1"/>
      <w:numFmt w:val="bullet"/>
      <w:lvlText w:val=""/>
      <w:lvlJc w:val="left"/>
      <w:pPr>
        <w:ind w:left="2160" w:hanging="360"/>
      </w:pPr>
      <w:rPr>
        <w:rFonts w:ascii="Wingdings" w:hAnsi="Wingdings" w:hint="default"/>
      </w:rPr>
    </w:lvl>
    <w:lvl w:ilvl="3" w:tplc="45BA55CA" w:tentative="1">
      <w:start w:val="1"/>
      <w:numFmt w:val="bullet"/>
      <w:lvlText w:val=""/>
      <w:lvlJc w:val="left"/>
      <w:pPr>
        <w:ind w:left="2880" w:hanging="360"/>
      </w:pPr>
      <w:rPr>
        <w:rFonts w:ascii="Symbol" w:hAnsi="Symbol" w:hint="default"/>
      </w:rPr>
    </w:lvl>
    <w:lvl w:ilvl="4" w:tplc="A2A8716A" w:tentative="1">
      <w:start w:val="1"/>
      <w:numFmt w:val="bullet"/>
      <w:lvlText w:val="o"/>
      <w:lvlJc w:val="left"/>
      <w:pPr>
        <w:ind w:left="3600" w:hanging="360"/>
      </w:pPr>
      <w:rPr>
        <w:rFonts w:ascii="Courier New" w:hAnsi="Courier New" w:cs="Courier New" w:hint="default"/>
      </w:rPr>
    </w:lvl>
    <w:lvl w:ilvl="5" w:tplc="62BC3618" w:tentative="1">
      <w:start w:val="1"/>
      <w:numFmt w:val="bullet"/>
      <w:lvlText w:val=""/>
      <w:lvlJc w:val="left"/>
      <w:pPr>
        <w:ind w:left="4320" w:hanging="360"/>
      </w:pPr>
      <w:rPr>
        <w:rFonts w:ascii="Wingdings" w:hAnsi="Wingdings" w:hint="default"/>
      </w:rPr>
    </w:lvl>
    <w:lvl w:ilvl="6" w:tplc="C3529588" w:tentative="1">
      <w:start w:val="1"/>
      <w:numFmt w:val="bullet"/>
      <w:lvlText w:val=""/>
      <w:lvlJc w:val="left"/>
      <w:pPr>
        <w:ind w:left="5040" w:hanging="360"/>
      </w:pPr>
      <w:rPr>
        <w:rFonts w:ascii="Symbol" w:hAnsi="Symbol" w:hint="default"/>
      </w:rPr>
    </w:lvl>
    <w:lvl w:ilvl="7" w:tplc="F0C693CC" w:tentative="1">
      <w:start w:val="1"/>
      <w:numFmt w:val="bullet"/>
      <w:lvlText w:val="o"/>
      <w:lvlJc w:val="left"/>
      <w:pPr>
        <w:ind w:left="5760" w:hanging="360"/>
      </w:pPr>
      <w:rPr>
        <w:rFonts w:ascii="Courier New" w:hAnsi="Courier New" w:cs="Courier New" w:hint="default"/>
      </w:rPr>
    </w:lvl>
    <w:lvl w:ilvl="8" w:tplc="A81002DC" w:tentative="1">
      <w:start w:val="1"/>
      <w:numFmt w:val="bullet"/>
      <w:lvlText w:val=""/>
      <w:lvlJc w:val="left"/>
      <w:pPr>
        <w:ind w:left="6480" w:hanging="360"/>
      </w:pPr>
      <w:rPr>
        <w:rFonts w:ascii="Wingdings" w:hAnsi="Wingdings" w:hint="default"/>
      </w:rPr>
    </w:lvl>
  </w:abstractNum>
  <w:abstractNum w:abstractNumId="23" w15:restartNumberingAfterBreak="0">
    <w:nsid w:val="502A1174"/>
    <w:multiLevelType w:val="hybridMultilevel"/>
    <w:tmpl w:val="6C38371E"/>
    <w:lvl w:ilvl="0" w:tplc="9A90F2EE">
      <w:start w:val="1"/>
      <w:numFmt w:val="bullet"/>
      <w:lvlText w:val=""/>
      <w:lvlJc w:val="left"/>
      <w:pPr>
        <w:ind w:left="720" w:hanging="360"/>
      </w:pPr>
      <w:rPr>
        <w:rFonts w:ascii="Symbol" w:hAnsi="Symbol" w:hint="default"/>
      </w:rPr>
    </w:lvl>
    <w:lvl w:ilvl="1" w:tplc="57028418" w:tentative="1">
      <w:start w:val="1"/>
      <w:numFmt w:val="bullet"/>
      <w:lvlText w:val="o"/>
      <w:lvlJc w:val="left"/>
      <w:pPr>
        <w:ind w:left="1440" w:hanging="360"/>
      </w:pPr>
      <w:rPr>
        <w:rFonts w:ascii="Courier New" w:hAnsi="Courier New" w:cs="Courier New" w:hint="default"/>
      </w:rPr>
    </w:lvl>
    <w:lvl w:ilvl="2" w:tplc="16CE5B6C" w:tentative="1">
      <w:start w:val="1"/>
      <w:numFmt w:val="bullet"/>
      <w:lvlText w:val=""/>
      <w:lvlJc w:val="left"/>
      <w:pPr>
        <w:ind w:left="2160" w:hanging="360"/>
      </w:pPr>
      <w:rPr>
        <w:rFonts w:ascii="Wingdings" w:hAnsi="Wingdings" w:hint="default"/>
      </w:rPr>
    </w:lvl>
    <w:lvl w:ilvl="3" w:tplc="A6C8C522" w:tentative="1">
      <w:start w:val="1"/>
      <w:numFmt w:val="bullet"/>
      <w:lvlText w:val=""/>
      <w:lvlJc w:val="left"/>
      <w:pPr>
        <w:ind w:left="2880" w:hanging="360"/>
      </w:pPr>
      <w:rPr>
        <w:rFonts w:ascii="Symbol" w:hAnsi="Symbol" w:hint="default"/>
      </w:rPr>
    </w:lvl>
    <w:lvl w:ilvl="4" w:tplc="34728262" w:tentative="1">
      <w:start w:val="1"/>
      <w:numFmt w:val="bullet"/>
      <w:lvlText w:val="o"/>
      <w:lvlJc w:val="left"/>
      <w:pPr>
        <w:ind w:left="3600" w:hanging="360"/>
      </w:pPr>
      <w:rPr>
        <w:rFonts w:ascii="Courier New" w:hAnsi="Courier New" w:cs="Courier New" w:hint="default"/>
      </w:rPr>
    </w:lvl>
    <w:lvl w:ilvl="5" w:tplc="812E2110" w:tentative="1">
      <w:start w:val="1"/>
      <w:numFmt w:val="bullet"/>
      <w:lvlText w:val=""/>
      <w:lvlJc w:val="left"/>
      <w:pPr>
        <w:ind w:left="4320" w:hanging="360"/>
      </w:pPr>
      <w:rPr>
        <w:rFonts w:ascii="Wingdings" w:hAnsi="Wingdings" w:hint="default"/>
      </w:rPr>
    </w:lvl>
    <w:lvl w:ilvl="6" w:tplc="D78821AA" w:tentative="1">
      <w:start w:val="1"/>
      <w:numFmt w:val="bullet"/>
      <w:lvlText w:val=""/>
      <w:lvlJc w:val="left"/>
      <w:pPr>
        <w:ind w:left="5040" w:hanging="360"/>
      </w:pPr>
      <w:rPr>
        <w:rFonts w:ascii="Symbol" w:hAnsi="Symbol" w:hint="default"/>
      </w:rPr>
    </w:lvl>
    <w:lvl w:ilvl="7" w:tplc="CA60804A" w:tentative="1">
      <w:start w:val="1"/>
      <w:numFmt w:val="bullet"/>
      <w:lvlText w:val="o"/>
      <w:lvlJc w:val="left"/>
      <w:pPr>
        <w:ind w:left="5760" w:hanging="360"/>
      </w:pPr>
      <w:rPr>
        <w:rFonts w:ascii="Courier New" w:hAnsi="Courier New" w:cs="Courier New" w:hint="default"/>
      </w:rPr>
    </w:lvl>
    <w:lvl w:ilvl="8" w:tplc="F77284FA" w:tentative="1">
      <w:start w:val="1"/>
      <w:numFmt w:val="bullet"/>
      <w:lvlText w:val=""/>
      <w:lvlJc w:val="left"/>
      <w:pPr>
        <w:ind w:left="6480" w:hanging="360"/>
      </w:pPr>
      <w:rPr>
        <w:rFonts w:ascii="Wingdings" w:hAnsi="Wingdings" w:hint="default"/>
      </w:rPr>
    </w:lvl>
  </w:abstractNum>
  <w:abstractNum w:abstractNumId="24" w15:restartNumberingAfterBreak="0">
    <w:nsid w:val="51BA21E0"/>
    <w:multiLevelType w:val="hybridMultilevel"/>
    <w:tmpl w:val="BC720DC4"/>
    <w:lvl w:ilvl="0" w:tplc="519C5DEE">
      <w:start w:val="1"/>
      <w:numFmt w:val="bullet"/>
      <w:lvlText w:val=""/>
      <w:lvlJc w:val="left"/>
      <w:pPr>
        <w:ind w:left="720" w:hanging="360"/>
      </w:pPr>
      <w:rPr>
        <w:rFonts w:ascii="Symbol" w:hAnsi="Symbol" w:hint="default"/>
      </w:rPr>
    </w:lvl>
    <w:lvl w:ilvl="1" w:tplc="D25469D6" w:tentative="1">
      <w:start w:val="1"/>
      <w:numFmt w:val="bullet"/>
      <w:lvlText w:val="o"/>
      <w:lvlJc w:val="left"/>
      <w:pPr>
        <w:ind w:left="1440" w:hanging="360"/>
      </w:pPr>
      <w:rPr>
        <w:rFonts w:ascii="Courier New" w:hAnsi="Courier New" w:cs="Courier New" w:hint="default"/>
      </w:rPr>
    </w:lvl>
    <w:lvl w:ilvl="2" w:tplc="B956D1E6" w:tentative="1">
      <w:start w:val="1"/>
      <w:numFmt w:val="bullet"/>
      <w:lvlText w:val=""/>
      <w:lvlJc w:val="left"/>
      <w:pPr>
        <w:ind w:left="2160" w:hanging="360"/>
      </w:pPr>
      <w:rPr>
        <w:rFonts w:ascii="Wingdings" w:hAnsi="Wingdings" w:hint="default"/>
      </w:rPr>
    </w:lvl>
    <w:lvl w:ilvl="3" w:tplc="1BCA7482" w:tentative="1">
      <w:start w:val="1"/>
      <w:numFmt w:val="bullet"/>
      <w:lvlText w:val=""/>
      <w:lvlJc w:val="left"/>
      <w:pPr>
        <w:ind w:left="2880" w:hanging="360"/>
      </w:pPr>
      <w:rPr>
        <w:rFonts w:ascii="Symbol" w:hAnsi="Symbol" w:hint="default"/>
      </w:rPr>
    </w:lvl>
    <w:lvl w:ilvl="4" w:tplc="0A54B4F0" w:tentative="1">
      <w:start w:val="1"/>
      <w:numFmt w:val="bullet"/>
      <w:lvlText w:val="o"/>
      <w:lvlJc w:val="left"/>
      <w:pPr>
        <w:ind w:left="3600" w:hanging="360"/>
      </w:pPr>
      <w:rPr>
        <w:rFonts w:ascii="Courier New" w:hAnsi="Courier New" w:cs="Courier New" w:hint="default"/>
      </w:rPr>
    </w:lvl>
    <w:lvl w:ilvl="5" w:tplc="0E3C6FBC" w:tentative="1">
      <w:start w:val="1"/>
      <w:numFmt w:val="bullet"/>
      <w:lvlText w:val=""/>
      <w:lvlJc w:val="left"/>
      <w:pPr>
        <w:ind w:left="4320" w:hanging="360"/>
      </w:pPr>
      <w:rPr>
        <w:rFonts w:ascii="Wingdings" w:hAnsi="Wingdings" w:hint="default"/>
      </w:rPr>
    </w:lvl>
    <w:lvl w:ilvl="6" w:tplc="223A57C0" w:tentative="1">
      <w:start w:val="1"/>
      <w:numFmt w:val="bullet"/>
      <w:lvlText w:val=""/>
      <w:lvlJc w:val="left"/>
      <w:pPr>
        <w:ind w:left="5040" w:hanging="360"/>
      </w:pPr>
      <w:rPr>
        <w:rFonts w:ascii="Symbol" w:hAnsi="Symbol" w:hint="default"/>
      </w:rPr>
    </w:lvl>
    <w:lvl w:ilvl="7" w:tplc="F5FC5856" w:tentative="1">
      <w:start w:val="1"/>
      <w:numFmt w:val="bullet"/>
      <w:lvlText w:val="o"/>
      <w:lvlJc w:val="left"/>
      <w:pPr>
        <w:ind w:left="5760" w:hanging="360"/>
      </w:pPr>
      <w:rPr>
        <w:rFonts w:ascii="Courier New" w:hAnsi="Courier New" w:cs="Courier New" w:hint="default"/>
      </w:rPr>
    </w:lvl>
    <w:lvl w:ilvl="8" w:tplc="62AE44F6" w:tentative="1">
      <w:start w:val="1"/>
      <w:numFmt w:val="bullet"/>
      <w:lvlText w:val=""/>
      <w:lvlJc w:val="left"/>
      <w:pPr>
        <w:ind w:left="6480" w:hanging="360"/>
      </w:pPr>
      <w:rPr>
        <w:rFonts w:ascii="Wingdings" w:hAnsi="Wingdings" w:hint="default"/>
      </w:rPr>
    </w:lvl>
  </w:abstractNum>
  <w:abstractNum w:abstractNumId="25" w15:restartNumberingAfterBreak="0">
    <w:nsid w:val="544A5657"/>
    <w:multiLevelType w:val="hybridMultilevel"/>
    <w:tmpl w:val="0B66BBD6"/>
    <w:lvl w:ilvl="0" w:tplc="30F6DC30">
      <w:start w:val="1"/>
      <w:numFmt w:val="bullet"/>
      <w:lvlText w:val=""/>
      <w:lvlJc w:val="left"/>
      <w:pPr>
        <w:ind w:left="788" w:hanging="360"/>
      </w:pPr>
      <w:rPr>
        <w:rFonts w:ascii="Symbol" w:hAnsi="Symbol" w:hint="default"/>
      </w:rPr>
    </w:lvl>
    <w:lvl w:ilvl="1" w:tplc="CAEA014E" w:tentative="1">
      <w:start w:val="1"/>
      <w:numFmt w:val="bullet"/>
      <w:lvlText w:val="o"/>
      <w:lvlJc w:val="left"/>
      <w:pPr>
        <w:ind w:left="1508" w:hanging="360"/>
      </w:pPr>
      <w:rPr>
        <w:rFonts w:ascii="Courier New" w:hAnsi="Courier New" w:cs="Courier New" w:hint="default"/>
      </w:rPr>
    </w:lvl>
    <w:lvl w:ilvl="2" w:tplc="5088E56C" w:tentative="1">
      <w:start w:val="1"/>
      <w:numFmt w:val="bullet"/>
      <w:lvlText w:val=""/>
      <w:lvlJc w:val="left"/>
      <w:pPr>
        <w:ind w:left="2228" w:hanging="360"/>
      </w:pPr>
      <w:rPr>
        <w:rFonts w:ascii="Wingdings" w:hAnsi="Wingdings" w:hint="default"/>
      </w:rPr>
    </w:lvl>
    <w:lvl w:ilvl="3" w:tplc="FC1ECF52" w:tentative="1">
      <w:start w:val="1"/>
      <w:numFmt w:val="bullet"/>
      <w:lvlText w:val=""/>
      <w:lvlJc w:val="left"/>
      <w:pPr>
        <w:ind w:left="2948" w:hanging="360"/>
      </w:pPr>
      <w:rPr>
        <w:rFonts w:ascii="Symbol" w:hAnsi="Symbol" w:hint="default"/>
      </w:rPr>
    </w:lvl>
    <w:lvl w:ilvl="4" w:tplc="05E45B4E" w:tentative="1">
      <w:start w:val="1"/>
      <w:numFmt w:val="bullet"/>
      <w:lvlText w:val="o"/>
      <w:lvlJc w:val="left"/>
      <w:pPr>
        <w:ind w:left="3668" w:hanging="360"/>
      </w:pPr>
      <w:rPr>
        <w:rFonts w:ascii="Courier New" w:hAnsi="Courier New" w:cs="Courier New" w:hint="default"/>
      </w:rPr>
    </w:lvl>
    <w:lvl w:ilvl="5" w:tplc="18909B74" w:tentative="1">
      <w:start w:val="1"/>
      <w:numFmt w:val="bullet"/>
      <w:lvlText w:val=""/>
      <w:lvlJc w:val="left"/>
      <w:pPr>
        <w:ind w:left="4388" w:hanging="360"/>
      </w:pPr>
      <w:rPr>
        <w:rFonts w:ascii="Wingdings" w:hAnsi="Wingdings" w:hint="default"/>
      </w:rPr>
    </w:lvl>
    <w:lvl w:ilvl="6" w:tplc="5F42DE20" w:tentative="1">
      <w:start w:val="1"/>
      <w:numFmt w:val="bullet"/>
      <w:lvlText w:val=""/>
      <w:lvlJc w:val="left"/>
      <w:pPr>
        <w:ind w:left="5108" w:hanging="360"/>
      </w:pPr>
      <w:rPr>
        <w:rFonts w:ascii="Symbol" w:hAnsi="Symbol" w:hint="default"/>
      </w:rPr>
    </w:lvl>
    <w:lvl w:ilvl="7" w:tplc="30A0BE9E" w:tentative="1">
      <w:start w:val="1"/>
      <w:numFmt w:val="bullet"/>
      <w:lvlText w:val="o"/>
      <w:lvlJc w:val="left"/>
      <w:pPr>
        <w:ind w:left="5828" w:hanging="360"/>
      </w:pPr>
      <w:rPr>
        <w:rFonts w:ascii="Courier New" w:hAnsi="Courier New" w:cs="Courier New" w:hint="default"/>
      </w:rPr>
    </w:lvl>
    <w:lvl w:ilvl="8" w:tplc="57E0AFCE" w:tentative="1">
      <w:start w:val="1"/>
      <w:numFmt w:val="bullet"/>
      <w:lvlText w:val=""/>
      <w:lvlJc w:val="left"/>
      <w:pPr>
        <w:ind w:left="6548" w:hanging="360"/>
      </w:pPr>
      <w:rPr>
        <w:rFonts w:ascii="Wingdings" w:hAnsi="Wingdings" w:hint="default"/>
      </w:rPr>
    </w:lvl>
  </w:abstractNum>
  <w:abstractNum w:abstractNumId="26" w15:restartNumberingAfterBreak="0">
    <w:nsid w:val="54737EDC"/>
    <w:multiLevelType w:val="hybridMultilevel"/>
    <w:tmpl w:val="0FB4A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8C4641"/>
    <w:multiLevelType w:val="hybridMultilevel"/>
    <w:tmpl w:val="BCD49750"/>
    <w:lvl w:ilvl="0" w:tplc="7C6CAD96">
      <w:start w:val="1"/>
      <w:numFmt w:val="bullet"/>
      <w:lvlText w:val=""/>
      <w:lvlJc w:val="left"/>
      <w:pPr>
        <w:ind w:left="720" w:hanging="360"/>
      </w:pPr>
      <w:rPr>
        <w:rFonts w:ascii="Symbol" w:hAnsi="Symbol" w:hint="default"/>
      </w:rPr>
    </w:lvl>
    <w:lvl w:ilvl="1" w:tplc="DEA028A0" w:tentative="1">
      <w:start w:val="1"/>
      <w:numFmt w:val="bullet"/>
      <w:lvlText w:val="o"/>
      <w:lvlJc w:val="left"/>
      <w:pPr>
        <w:ind w:left="1440" w:hanging="360"/>
      </w:pPr>
      <w:rPr>
        <w:rFonts w:ascii="Courier New" w:hAnsi="Courier New" w:cs="Courier New" w:hint="default"/>
      </w:rPr>
    </w:lvl>
    <w:lvl w:ilvl="2" w:tplc="FD5A341C" w:tentative="1">
      <w:start w:val="1"/>
      <w:numFmt w:val="bullet"/>
      <w:lvlText w:val=""/>
      <w:lvlJc w:val="left"/>
      <w:pPr>
        <w:ind w:left="2160" w:hanging="360"/>
      </w:pPr>
      <w:rPr>
        <w:rFonts w:ascii="Wingdings" w:hAnsi="Wingdings" w:hint="default"/>
      </w:rPr>
    </w:lvl>
    <w:lvl w:ilvl="3" w:tplc="9F1EBABE" w:tentative="1">
      <w:start w:val="1"/>
      <w:numFmt w:val="bullet"/>
      <w:lvlText w:val=""/>
      <w:lvlJc w:val="left"/>
      <w:pPr>
        <w:ind w:left="2880" w:hanging="360"/>
      </w:pPr>
      <w:rPr>
        <w:rFonts w:ascii="Symbol" w:hAnsi="Symbol" w:hint="default"/>
      </w:rPr>
    </w:lvl>
    <w:lvl w:ilvl="4" w:tplc="C03E9CB4" w:tentative="1">
      <w:start w:val="1"/>
      <w:numFmt w:val="bullet"/>
      <w:lvlText w:val="o"/>
      <w:lvlJc w:val="left"/>
      <w:pPr>
        <w:ind w:left="3600" w:hanging="360"/>
      </w:pPr>
      <w:rPr>
        <w:rFonts w:ascii="Courier New" w:hAnsi="Courier New" w:cs="Courier New" w:hint="default"/>
      </w:rPr>
    </w:lvl>
    <w:lvl w:ilvl="5" w:tplc="0B30802A" w:tentative="1">
      <w:start w:val="1"/>
      <w:numFmt w:val="bullet"/>
      <w:lvlText w:val=""/>
      <w:lvlJc w:val="left"/>
      <w:pPr>
        <w:ind w:left="4320" w:hanging="360"/>
      </w:pPr>
      <w:rPr>
        <w:rFonts w:ascii="Wingdings" w:hAnsi="Wingdings" w:hint="default"/>
      </w:rPr>
    </w:lvl>
    <w:lvl w:ilvl="6" w:tplc="67C45A06" w:tentative="1">
      <w:start w:val="1"/>
      <w:numFmt w:val="bullet"/>
      <w:lvlText w:val=""/>
      <w:lvlJc w:val="left"/>
      <w:pPr>
        <w:ind w:left="5040" w:hanging="360"/>
      </w:pPr>
      <w:rPr>
        <w:rFonts w:ascii="Symbol" w:hAnsi="Symbol" w:hint="default"/>
      </w:rPr>
    </w:lvl>
    <w:lvl w:ilvl="7" w:tplc="F47A8606" w:tentative="1">
      <w:start w:val="1"/>
      <w:numFmt w:val="bullet"/>
      <w:lvlText w:val="o"/>
      <w:lvlJc w:val="left"/>
      <w:pPr>
        <w:ind w:left="5760" w:hanging="360"/>
      </w:pPr>
      <w:rPr>
        <w:rFonts w:ascii="Courier New" w:hAnsi="Courier New" w:cs="Courier New" w:hint="default"/>
      </w:rPr>
    </w:lvl>
    <w:lvl w:ilvl="8" w:tplc="158C11B6" w:tentative="1">
      <w:start w:val="1"/>
      <w:numFmt w:val="bullet"/>
      <w:lvlText w:val=""/>
      <w:lvlJc w:val="left"/>
      <w:pPr>
        <w:ind w:left="6480" w:hanging="360"/>
      </w:pPr>
      <w:rPr>
        <w:rFonts w:ascii="Wingdings" w:hAnsi="Wingdings" w:hint="default"/>
      </w:rPr>
    </w:lvl>
  </w:abstractNum>
  <w:abstractNum w:abstractNumId="28" w15:restartNumberingAfterBreak="0">
    <w:nsid w:val="56C455E0"/>
    <w:multiLevelType w:val="hybridMultilevel"/>
    <w:tmpl w:val="6C243BCE"/>
    <w:lvl w:ilvl="0" w:tplc="1DC0D78E">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9" w15:restartNumberingAfterBreak="0">
    <w:nsid w:val="5BF80096"/>
    <w:multiLevelType w:val="hybridMultilevel"/>
    <w:tmpl w:val="41A489B6"/>
    <w:lvl w:ilvl="0" w:tplc="06DEE91E">
      <w:start w:val="1"/>
      <w:numFmt w:val="bullet"/>
      <w:lvlText w:val=""/>
      <w:lvlJc w:val="left"/>
      <w:pPr>
        <w:ind w:left="720" w:hanging="360"/>
      </w:pPr>
      <w:rPr>
        <w:rFonts w:ascii="Symbol" w:hAnsi="Symbol" w:hint="default"/>
      </w:rPr>
    </w:lvl>
    <w:lvl w:ilvl="1" w:tplc="E99CB148" w:tentative="1">
      <w:start w:val="1"/>
      <w:numFmt w:val="bullet"/>
      <w:lvlText w:val="o"/>
      <w:lvlJc w:val="left"/>
      <w:pPr>
        <w:ind w:left="1440" w:hanging="360"/>
      </w:pPr>
      <w:rPr>
        <w:rFonts w:ascii="Courier New" w:hAnsi="Courier New" w:cs="Courier New" w:hint="default"/>
      </w:rPr>
    </w:lvl>
    <w:lvl w:ilvl="2" w:tplc="BE50B5C4" w:tentative="1">
      <w:start w:val="1"/>
      <w:numFmt w:val="bullet"/>
      <w:lvlText w:val=""/>
      <w:lvlJc w:val="left"/>
      <w:pPr>
        <w:ind w:left="2160" w:hanging="360"/>
      </w:pPr>
      <w:rPr>
        <w:rFonts w:ascii="Wingdings" w:hAnsi="Wingdings" w:hint="default"/>
      </w:rPr>
    </w:lvl>
    <w:lvl w:ilvl="3" w:tplc="D74E5C78" w:tentative="1">
      <w:start w:val="1"/>
      <w:numFmt w:val="bullet"/>
      <w:lvlText w:val=""/>
      <w:lvlJc w:val="left"/>
      <w:pPr>
        <w:ind w:left="2880" w:hanging="360"/>
      </w:pPr>
      <w:rPr>
        <w:rFonts w:ascii="Symbol" w:hAnsi="Symbol" w:hint="default"/>
      </w:rPr>
    </w:lvl>
    <w:lvl w:ilvl="4" w:tplc="BEB4B7C8" w:tentative="1">
      <w:start w:val="1"/>
      <w:numFmt w:val="bullet"/>
      <w:lvlText w:val="o"/>
      <w:lvlJc w:val="left"/>
      <w:pPr>
        <w:ind w:left="3600" w:hanging="360"/>
      </w:pPr>
      <w:rPr>
        <w:rFonts w:ascii="Courier New" w:hAnsi="Courier New" w:cs="Courier New" w:hint="default"/>
      </w:rPr>
    </w:lvl>
    <w:lvl w:ilvl="5" w:tplc="1174EA28" w:tentative="1">
      <w:start w:val="1"/>
      <w:numFmt w:val="bullet"/>
      <w:lvlText w:val=""/>
      <w:lvlJc w:val="left"/>
      <w:pPr>
        <w:ind w:left="4320" w:hanging="360"/>
      </w:pPr>
      <w:rPr>
        <w:rFonts w:ascii="Wingdings" w:hAnsi="Wingdings" w:hint="default"/>
      </w:rPr>
    </w:lvl>
    <w:lvl w:ilvl="6" w:tplc="A1C47230" w:tentative="1">
      <w:start w:val="1"/>
      <w:numFmt w:val="bullet"/>
      <w:lvlText w:val=""/>
      <w:lvlJc w:val="left"/>
      <w:pPr>
        <w:ind w:left="5040" w:hanging="360"/>
      </w:pPr>
      <w:rPr>
        <w:rFonts w:ascii="Symbol" w:hAnsi="Symbol" w:hint="default"/>
      </w:rPr>
    </w:lvl>
    <w:lvl w:ilvl="7" w:tplc="3B9672F6" w:tentative="1">
      <w:start w:val="1"/>
      <w:numFmt w:val="bullet"/>
      <w:lvlText w:val="o"/>
      <w:lvlJc w:val="left"/>
      <w:pPr>
        <w:ind w:left="5760" w:hanging="360"/>
      </w:pPr>
      <w:rPr>
        <w:rFonts w:ascii="Courier New" w:hAnsi="Courier New" w:cs="Courier New" w:hint="default"/>
      </w:rPr>
    </w:lvl>
    <w:lvl w:ilvl="8" w:tplc="B352D7DA" w:tentative="1">
      <w:start w:val="1"/>
      <w:numFmt w:val="bullet"/>
      <w:lvlText w:val=""/>
      <w:lvlJc w:val="left"/>
      <w:pPr>
        <w:ind w:left="6480" w:hanging="360"/>
      </w:pPr>
      <w:rPr>
        <w:rFonts w:ascii="Wingdings" w:hAnsi="Wingdings" w:hint="default"/>
      </w:rPr>
    </w:lvl>
  </w:abstractNum>
  <w:abstractNum w:abstractNumId="30" w15:restartNumberingAfterBreak="0">
    <w:nsid w:val="5FF752B8"/>
    <w:multiLevelType w:val="hybridMultilevel"/>
    <w:tmpl w:val="85022C14"/>
    <w:lvl w:ilvl="0" w:tplc="123288AE">
      <w:start w:val="1"/>
      <w:numFmt w:val="bullet"/>
      <w:pStyle w:val="mbullet1"/>
      <w:lvlText w:val=""/>
      <w:lvlJc w:val="left"/>
      <w:pPr>
        <w:tabs>
          <w:tab w:val="num" w:pos="360"/>
        </w:tabs>
        <w:ind w:left="360" w:hanging="360"/>
      </w:pPr>
      <w:rPr>
        <w:rFonts w:ascii="Symbol" w:hAnsi="Symbol" w:hint="default"/>
        <w:color w:val="auto"/>
        <w:sz w:val="16"/>
        <w:szCs w:val="16"/>
      </w:rPr>
    </w:lvl>
    <w:lvl w:ilvl="1" w:tplc="124ADCCE">
      <w:start w:val="1"/>
      <w:numFmt w:val="bullet"/>
      <w:lvlText w:val="o"/>
      <w:lvlJc w:val="left"/>
      <w:pPr>
        <w:tabs>
          <w:tab w:val="num" w:pos="1080"/>
        </w:tabs>
        <w:ind w:left="1080" w:hanging="360"/>
      </w:pPr>
      <w:rPr>
        <w:rFonts w:ascii="Courier New" w:hAnsi="Courier New" w:cs="Courier New" w:hint="default"/>
        <w:b w:val="0"/>
        <w:i w:val="0"/>
        <w:color w:val="323232"/>
        <w:sz w:val="16"/>
        <w:szCs w:val="16"/>
      </w:rPr>
    </w:lvl>
    <w:lvl w:ilvl="2" w:tplc="53900F26">
      <w:start w:val="1"/>
      <w:numFmt w:val="bullet"/>
      <w:lvlText w:val=""/>
      <w:lvlJc w:val="left"/>
      <w:pPr>
        <w:tabs>
          <w:tab w:val="num" w:pos="1800"/>
        </w:tabs>
        <w:ind w:left="1800" w:hanging="180"/>
      </w:pPr>
      <w:rPr>
        <w:rFonts w:ascii="Symbol" w:hAnsi="Symbol" w:hint="default"/>
      </w:rPr>
    </w:lvl>
    <w:lvl w:ilvl="3" w:tplc="A3404558" w:tentative="1">
      <w:start w:val="1"/>
      <w:numFmt w:val="decimal"/>
      <w:lvlText w:val="%4."/>
      <w:lvlJc w:val="left"/>
      <w:pPr>
        <w:tabs>
          <w:tab w:val="num" w:pos="2520"/>
        </w:tabs>
        <w:ind w:left="2520" w:hanging="360"/>
      </w:pPr>
    </w:lvl>
    <w:lvl w:ilvl="4" w:tplc="C8527312" w:tentative="1">
      <w:start w:val="1"/>
      <w:numFmt w:val="lowerLetter"/>
      <w:lvlText w:val="%5."/>
      <w:lvlJc w:val="left"/>
      <w:pPr>
        <w:tabs>
          <w:tab w:val="num" w:pos="3240"/>
        </w:tabs>
        <w:ind w:left="3240" w:hanging="360"/>
      </w:pPr>
    </w:lvl>
    <w:lvl w:ilvl="5" w:tplc="F828AAE2" w:tentative="1">
      <w:start w:val="1"/>
      <w:numFmt w:val="lowerRoman"/>
      <w:lvlText w:val="%6."/>
      <w:lvlJc w:val="right"/>
      <w:pPr>
        <w:tabs>
          <w:tab w:val="num" w:pos="3960"/>
        </w:tabs>
        <w:ind w:left="3960" w:hanging="180"/>
      </w:pPr>
    </w:lvl>
    <w:lvl w:ilvl="6" w:tplc="1D7A48CE" w:tentative="1">
      <w:start w:val="1"/>
      <w:numFmt w:val="decimal"/>
      <w:lvlText w:val="%7."/>
      <w:lvlJc w:val="left"/>
      <w:pPr>
        <w:tabs>
          <w:tab w:val="num" w:pos="4680"/>
        </w:tabs>
        <w:ind w:left="4680" w:hanging="360"/>
      </w:pPr>
    </w:lvl>
    <w:lvl w:ilvl="7" w:tplc="6DC8171A" w:tentative="1">
      <w:start w:val="1"/>
      <w:numFmt w:val="lowerLetter"/>
      <w:lvlText w:val="%8."/>
      <w:lvlJc w:val="left"/>
      <w:pPr>
        <w:tabs>
          <w:tab w:val="num" w:pos="5400"/>
        </w:tabs>
        <w:ind w:left="5400" w:hanging="360"/>
      </w:pPr>
    </w:lvl>
    <w:lvl w:ilvl="8" w:tplc="95A2DDA0" w:tentative="1">
      <w:start w:val="1"/>
      <w:numFmt w:val="lowerRoman"/>
      <w:lvlText w:val="%9."/>
      <w:lvlJc w:val="right"/>
      <w:pPr>
        <w:tabs>
          <w:tab w:val="num" w:pos="6120"/>
        </w:tabs>
        <w:ind w:left="6120" w:hanging="180"/>
      </w:pPr>
    </w:lvl>
  </w:abstractNum>
  <w:abstractNum w:abstractNumId="31" w15:restartNumberingAfterBreak="0">
    <w:nsid w:val="62C43C63"/>
    <w:multiLevelType w:val="hybridMultilevel"/>
    <w:tmpl w:val="AE8A9194"/>
    <w:lvl w:ilvl="0" w:tplc="99A85230">
      <w:start w:val="1"/>
      <w:numFmt w:val="bullet"/>
      <w:lvlText w:val=""/>
      <w:lvlJc w:val="left"/>
      <w:pPr>
        <w:ind w:left="720" w:hanging="360"/>
      </w:pPr>
      <w:rPr>
        <w:rFonts w:ascii="Symbol" w:hAnsi="Symbol" w:hint="default"/>
      </w:rPr>
    </w:lvl>
    <w:lvl w:ilvl="1" w:tplc="90DE414C" w:tentative="1">
      <w:start w:val="1"/>
      <w:numFmt w:val="bullet"/>
      <w:lvlText w:val="o"/>
      <w:lvlJc w:val="left"/>
      <w:pPr>
        <w:ind w:left="1440" w:hanging="360"/>
      </w:pPr>
      <w:rPr>
        <w:rFonts w:ascii="Courier New" w:hAnsi="Courier New" w:cs="Courier New" w:hint="default"/>
      </w:rPr>
    </w:lvl>
    <w:lvl w:ilvl="2" w:tplc="8B302690" w:tentative="1">
      <w:start w:val="1"/>
      <w:numFmt w:val="bullet"/>
      <w:lvlText w:val=""/>
      <w:lvlJc w:val="left"/>
      <w:pPr>
        <w:ind w:left="2160" w:hanging="360"/>
      </w:pPr>
      <w:rPr>
        <w:rFonts w:ascii="Wingdings" w:hAnsi="Wingdings" w:hint="default"/>
      </w:rPr>
    </w:lvl>
    <w:lvl w:ilvl="3" w:tplc="BDA28EF8" w:tentative="1">
      <w:start w:val="1"/>
      <w:numFmt w:val="bullet"/>
      <w:lvlText w:val=""/>
      <w:lvlJc w:val="left"/>
      <w:pPr>
        <w:ind w:left="2880" w:hanging="360"/>
      </w:pPr>
      <w:rPr>
        <w:rFonts w:ascii="Symbol" w:hAnsi="Symbol" w:hint="default"/>
      </w:rPr>
    </w:lvl>
    <w:lvl w:ilvl="4" w:tplc="38129AEC" w:tentative="1">
      <w:start w:val="1"/>
      <w:numFmt w:val="bullet"/>
      <w:lvlText w:val="o"/>
      <w:lvlJc w:val="left"/>
      <w:pPr>
        <w:ind w:left="3600" w:hanging="360"/>
      </w:pPr>
      <w:rPr>
        <w:rFonts w:ascii="Courier New" w:hAnsi="Courier New" w:cs="Courier New" w:hint="default"/>
      </w:rPr>
    </w:lvl>
    <w:lvl w:ilvl="5" w:tplc="D1BC96A2" w:tentative="1">
      <w:start w:val="1"/>
      <w:numFmt w:val="bullet"/>
      <w:lvlText w:val=""/>
      <w:lvlJc w:val="left"/>
      <w:pPr>
        <w:ind w:left="4320" w:hanging="360"/>
      </w:pPr>
      <w:rPr>
        <w:rFonts w:ascii="Wingdings" w:hAnsi="Wingdings" w:hint="default"/>
      </w:rPr>
    </w:lvl>
    <w:lvl w:ilvl="6" w:tplc="31DE9E38" w:tentative="1">
      <w:start w:val="1"/>
      <w:numFmt w:val="bullet"/>
      <w:lvlText w:val=""/>
      <w:lvlJc w:val="left"/>
      <w:pPr>
        <w:ind w:left="5040" w:hanging="360"/>
      </w:pPr>
      <w:rPr>
        <w:rFonts w:ascii="Symbol" w:hAnsi="Symbol" w:hint="default"/>
      </w:rPr>
    </w:lvl>
    <w:lvl w:ilvl="7" w:tplc="5868E5DC" w:tentative="1">
      <w:start w:val="1"/>
      <w:numFmt w:val="bullet"/>
      <w:lvlText w:val="o"/>
      <w:lvlJc w:val="left"/>
      <w:pPr>
        <w:ind w:left="5760" w:hanging="360"/>
      </w:pPr>
      <w:rPr>
        <w:rFonts w:ascii="Courier New" w:hAnsi="Courier New" w:cs="Courier New" w:hint="default"/>
      </w:rPr>
    </w:lvl>
    <w:lvl w:ilvl="8" w:tplc="B4BAD634" w:tentative="1">
      <w:start w:val="1"/>
      <w:numFmt w:val="bullet"/>
      <w:lvlText w:val=""/>
      <w:lvlJc w:val="left"/>
      <w:pPr>
        <w:ind w:left="6480" w:hanging="360"/>
      </w:pPr>
      <w:rPr>
        <w:rFonts w:ascii="Wingdings" w:hAnsi="Wingdings" w:hint="default"/>
      </w:rPr>
    </w:lvl>
  </w:abstractNum>
  <w:abstractNum w:abstractNumId="32" w15:restartNumberingAfterBreak="0">
    <w:nsid w:val="6820628F"/>
    <w:multiLevelType w:val="hybridMultilevel"/>
    <w:tmpl w:val="B08C7138"/>
    <w:lvl w:ilvl="0" w:tplc="14EC29BE">
      <w:start w:val="1"/>
      <w:numFmt w:val="bullet"/>
      <w:lvlText w:val=""/>
      <w:lvlJc w:val="left"/>
      <w:pPr>
        <w:ind w:left="720" w:hanging="360"/>
      </w:pPr>
      <w:rPr>
        <w:rFonts w:ascii="Symbol" w:hAnsi="Symbol" w:hint="default"/>
      </w:rPr>
    </w:lvl>
    <w:lvl w:ilvl="1" w:tplc="E4646432" w:tentative="1">
      <w:start w:val="1"/>
      <w:numFmt w:val="bullet"/>
      <w:lvlText w:val="o"/>
      <w:lvlJc w:val="left"/>
      <w:pPr>
        <w:ind w:left="1440" w:hanging="360"/>
      </w:pPr>
      <w:rPr>
        <w:rFonts w:ascii="Courier New" w:hAnsi="Courier New" w:cs="Courier New" w:hint="default"/>
      </w:rPr>
    </w:lvl>
    <w:lvl w:ilvl="2" w:tplc="552E478A" w:tentative="1">
      <w:start w:val="1"/>
      <w:numFmt w:val="bullet"/>
      <w:lvlText w:val=""/>
      <w:lvlJc w:val="left"/>
      <w:pPr>
        <w:ind w:left="2160" w:hanging="360"/>
      </w:pPr>
      <w:rPr>
        <w:rFonts w:ascii="Wingdings" w:hAnsi="Wingdings" w:hint="default"/>
      </w:rPr>
    </w:lvl>
    <w:lvl w:ilvl="3" w:tplc="D4789B8A" w:tentative="1">
      <w:start w:val="1"/>
      <w:numFmt w:val="bullet"/>
      <w:lvlText w:val=""/>
      <w:lvlJc w:val="left"/>
      <w:pPr>
        <w:ind w:left="2880" w:hanging="360"/>
      </w:pPr>
      <w:rPr>
        <w:rFonts w:ascii="Symbol" w:hAnsi="Symbol" w:hint="default"/>
      </w:rPr>
    </w:lvl>
    <w:lvl w:ilvl="4" w:tplc="7E448AC6" w:tentative="1">
      <w:start w:val="1"/>
      <w:numFmt w:val="bullet"/>
      <w:lvlText w:val="o"/>
      <w:lvlJc w:val="left"/>
      <w:pPr>
        <w:ind w:left="3600" w:hanging="360"/>
      </w:pPr>
      <w:rPr>
        <w:rFonts w:ascii="Courier New" w:hAnsi="Courier New" w:cs="Courier New" w:hint="default"/>
      </w:rPr>
    </w:lvl>
    <w:lvl w:ilvl="5" w:tplc="7A2A1166" w:tentative="1">
      <w:start w:val="1"/>
      <w:numFmt w:val="bullet"/>
      <w:lvlText w:val=""/>
      <w:lvlJc w:val="left"/>
      <w:pPr>
        <w:ind w:left="4320" w:hanging="360"/>
      </w:pPr>
      <w:rPr>
        <w:rFonts w:ascii="Wingdings" w:hAnsi="Wingdings" w:hint="default"/>
      </w:rPr>
    </w:lvl>
    <w:lvl w:ilvl="6" w:tplc="E13E96FA" w:tentative="1">
      <w:start w:val="1"/>
      <w:numFmt w:val="bullet"/>
      <w:lvlText w:val=""/>
      <w:lvlJc w:val="left"/>
      <w:pPr>
        <w:ind w:left="5040" w:hanging="360"/>
      </w:pPr>
      <w:rPr>
        <w:rFonts w:ascii="Symbol" w:hAnsi="Symbol" w:hint="default"/>
      </w:rPr>
    </w:lvl>
    <w:lvl w:ilvl="7" w:tplc="9B4675CC" w:tentative="1">
      <w:start w:val="1"/>
      <w:numFmt w:val="bullet"/>
      <w:lvlText w:val="o"/>
      <w:lvlJc w:val="left"/>
      <w:pPr>
        <w:ind w:left="5760" w:hanging="360"/>
      </w:pPr>
      <w:rPr>
        <w:rFonts w:ascii="Courier New" w:hAnsi="Courier New" w:cs="Courier New" w:hint="default"/>
      </w:rPr>
    </w:lvl>
    <w:lvl w:ilvl="8" w:tplc="947CC594" w:tentative="1">
      <w:start w:val="1"/>
      <w:numFmt w:val="bullet"/>
      <w:lvlText w:val=""/>
      <w:lvlJc w:val="left"/>
      <w:pPr>
        <w:ind w:left="6480" w:hanging="360"/>
      </w:pPr>
      <w:rPr>
        <w:rFonts w:ascii="Wingdings" w:hAnsi="Wingdings" w:hint="default"/>
      </w:rPr>
    </w:lvl>
  </w:abstractNum>
  <w:abstractNum w:abstractNumId="33" w15:restartNumberingAfterBreak="0">
    <w:nsid w:val="691236F1"/>
    <w:multiLevelType w:val="hybridMultilevel"/>
    <w:tmpl w:val="E2E63CC2"/>
    <w:lvl w:ilvl="0" w:tplc="DD6631D0">
      <w:start w:val="1"/>
      <w:numFmt w:val="bullet"/>
      <w:lvlText w:val=""/>
      <w:lvlJc w:val="left"/>
      <w:pPr>
        <w:ind w:left="720" w:hanging="360"/>
      </w:pPr>
      <w:rPr>
        <w:rFonts w:ascii="Symbol" w:hAnsi="Symbol" w:hint="default"/>
      </w:rPr>
    </w:lvl>
    <w:lvl w:ilvl="1" w:tplc="5186F872" w:tentative="1">
      <w:start w:val="1"/>
      <w:numFmt w:val="bullet"/>
      <w:lvlText w:val="o"/>
      <w:lvlJc w:val="left"/>
      <w:pPr>
        <w:ind w:left="1440" w:hanging="360"/>
      </w:pPr>
      <w:rPr>
        <w:rFonts w:ascii="Courier New" w:hAnsi="Courier New" w:cs="Courier New" w:hint="default"/>
      </w:rPr>
    </w:lvl>
    <w:lvl w:ilvl="2" w:tplc="C4B62262" w:tentative="1">
      <w:start w:val="1"/>
      <w:numFmt w:val="bullet"/>
      <w:lvlText w:val=""/>
      <w:lvlJc w:val="left"/>
      <w:pPr>
        <w:ind w:left="2160" w:hanging="360"/>
      </w:pPr>
      <w:rPr>
        <w:rFonts w:ascii="Wingdings" w:hAnsi="Wingdings" w:hint="default"/>
      </w:rPr>
    </w:lvl>
    <w:lvl w:ilvl="3" w:tplc="4E104404" w:tentative="1">
      <w:start w:val="1"/>
      <w:numFmt w:val="bullet"/>
      <w:lvlText w:val=""/>
      <w:lvlJc w:val="left"/>
      <w:pPr>
        <w:ind w:left="2880" w:hanging="360"/>
      </w:pPr>
      <w:rPr>
        <w:rFonts w:ascii="Symbol" w:hAnsi="Symbol" w:hint="default"/>
      </w:rPr>
    </w:lvl>
    <w:lvl w:ilvl="4" w:tplc="BDF86DFE" w:tentative="1">
      <w:start w:val="1"/>
      <w:numFmt w:val="bullet"/>
      <w:lvlText w:val="o"/>
      <w:lvlJc w:val="left"/>
      <w:pPr>
        <w:ind w:left="3600" w:hanging="360"/>
      </w:pPr>
      <w:rPr>
        <w:rFonts w:ascii="Courier New" w:hAnsi="Courier New" w:cs="Courier New" w:hint="default"/>
      </w:rPr>
    </w:lvl>
    <w:lvl w:ilvl="5" w:tplc="3BB05158" w:tentative="1">
      <w:start w:val="1"/>
      <w:numFmt w:val="bullet"/>
      <w:lvlText w:val=""/>
      <w:lvlJc w:val="left"/>
      <w:pPr>
        <w:ind w:left="4320" w:hanging="360"/>
      </w:pPr>
      <w:rPr>
        <w:rFonts w:ascii="Wingdings" w:hAnsi="Wingdings" w:hint="default"/>
      </w:rPr>
    </w:lvl>
    <w:lvl w:ilvl="6" w:tplc="F2925622" w:tentative="1">
      <w:start w:val="1"/>
      <w:numFmt w:val="bullet"/>
      <w:lvlText w:val=""/>
      <w:lvlJc w:val="left"/>
      <w:pPr>
        <w:ind w:left="5040" w:hanging="360"/>
      </w:pPr>
      <w:rPr>
        <w:rFonts w:ascii="Symbol" w:hAnsi="Symbol" w:hint="default"/>
      </w:rPr>
    </w:lvl>
    <w:lvl w:ilvl="7" w:tplc="E1D08572" w:tentative="1">
      <w:start w:val="1"/>
      <w:numFmt w:val="bullet"/>
      <w:lvlText w:val="o"/>
      <w:lvlJc w:val="left"/>
      <w:pPr>
        <w:ind w:left="5760" w:hanging="360"/>
      </w:pPr>
      <w:rPr>
        <w:rFonts w:ascii="Courier New" w:hAnsi="Courier New" w:cs="Courier New" w:hint="default"/>
      </w:rPr>
    </w:lvl>
    <w:lvl w:ilvl="8" w:tplc="023AEE4C" w:tentative="1">
      <w:start w:val="1"/>
      <w:numFmt w:val="bullet"/>
      <w:lvlText w:val=""/>
      <w:lvlJc w:val="left"/>
      <w:pPr>
        <w:ind w:left="6480" w:hanging="360"/>
      </w:pPr>
      <w:rPr>
        <w:rFonts w:ascii="Wingdings" w:hAnsi="Wingdings" w:hint="default"/>
      </w:rPr>
    </w:lvl>
  </w:abstractNum>
  <w:abstractNum w:abstractNumId="34" w15:restartNumberingAfterBreak="0">
    <w:nsid w:val="74FD5165"/>
    <w:multiLevelType w:val="hybridMultilevel"/>
    <w:tmpl w:val="97D8E030"/>
    <w:lvl w:ilvl="0" w:tplc="A4F00A8A">
      <w:start w:val="1"/>
      <w:numFmt w:val="bullet"/>
      <w:lvlText w:val=""/>
      <w:lvlJc w:val="left"/>
      <w:pPr>
        <w:ind w:left="720" w:hanging="360"/>
      </w:pPr>
      <w:rPr>
        <w:rFonts w:ascii="Symbol" w:hAnsi="Symbol" w:hint="default"/>
      </w:rPr>
    </w:lvl>
    <w:lvl w:ilvl="1" w:tplc="B91033AC" w:tentative="1">
      <w:start w:val="1"/>
      <w:numFmt w:val="bullet"/>
      <w:lvlText w:val="o"/>
      <w:lvlJc w:val="left"/>
      <w:pPr>
        <w:ind w:left="1440" w:hanging="360"/>
      </w:pPr>
      <w:rPr>
        <w:rFonts w:ascii="Courier New" w:hAnsi="Courier New" w:cs="Courier New" w:hint="default"/>
      </w:rPr>
    </w:lvl>
    <w:lvl w:ilvl="2" w:tplc="A56473A4" w:tentative="1">
      <w:start w:val="1"/>
      <w:numFmt w:val="bullet"/>
      <w:lvlText w:val=""/>
      <w:lvlJc w:val="left"/>
      <w:pPr>
        <w:ind w:left="2160" w:hanging="360"/>
      </w:pPr>
      <w:rPr>
        <w:rFonts w:ascii="Wingdings" w:hAnsi="Wingdings" w:hint="default"/>
      </w:rPr>
    </w:lvl>
    <w:lvl w:ilvl="3" w:tplc="BB007AC8" w:tentative="1">
      <w:start w:val="1"/>
      <w:numFmt w:val="bullet"/>
      <w:lvlText w:val=""/>
      <w:lvlJc w:val="left"/>
      <w:pPr>
        <w:ind w:left="2880" w:hanging="360"/>
      </w:pPr>
      <w:rPr>
        <w:rFonts w:ascii="Symbol" w:hAnsi="Symbol" w:hint="default"/>
      </w:rPr>
    </w:lvl>
    <w:lvl w:ilvl="4" w:tplc="C17C419C" w:tentative="1">
      <w:start w:val="1"/>
      <w:numFmt w:val="bullet"/>
      <w:lvlText w:val="o"/>
      <w:lvlJc w:val="left"/>
      <w:pPr>
        <w:ind w:left="3600" w:hanging="360"/>
      </w:pPr>
      <w:rPr>
        <w:rFonts w:ascii="Courier New" w:hAnsi="Courier New" w:cs="Courier New" w:hint="default"/>
      </w:rPr>
    </w:lvl>
    <w:lvl w:ilvl="5" w:tplc="4EF2ED1A" w:tentative="1">
      <w:start w:val="1"/>
      <w:numFmt w:val="bullet"/>
      <w:lvlText w:val=""/>
      <w:lvlJc w:val="left"/>
      <w:pPr>
        <w:ind w:left="4320" w:hanging="360"/>
      </w:pPr>
      <w:rPr>
        <w:rFonts w:ascii="Wingdings" w:hAnsi="Wingdings" w:hint="default"/>
      </w:rPr>
    </w:lvl>
    <w:lvl w:ilvl="6" w:tplc="99F257FE" w:tentative="1">
      <w:start w:val="1"/>
      <w:numFmt w:val="bullet"/>
      <w:lvlText w:val=""/>
      <w:lvlJc w:val="left"/>
      <w:pPr>
        <w:ind w:left="5040" w:hanging="360"/>
      </w:pPr>
      <w:rPr>
        <w:rFonts w:ascii="Symbol" w:hAnsi="Symbol" w:hint="default"/>
      </w:rPr>
    </w:lvl>
    <w:lvl w:ilvl="7" w:tplc="00563794" w:tentative="1">
      <w:start w:val="1"/>
      <w:numFmt w:val="bullet"/>
      <w:lvlText w:val="o"/>
      <w:lvlJc w:val="left"/>
      <w:pPr>
        <w:ind w:left="5760" w:hanging="360"/>
      </w:pPr>
      <w:rPr>
        <w:rFonts w:ascii="Courier New" w:hAnsi="Courier New" w:cs="Courier New" w:hint="default"/>
      </w:rPr>
    </w:lvl>
    <w:lvl w:ilvl="8" w:tplc="807C9838" w:tentative="1">
      <w:start w:val="1"/>
      <w:numFmt w:val="bullet"/>
      <w:lvlText w:val=""/>
      <w:lvlJc w:val="left"/>
      <w:pPr>
        <w:ind w:left="6480" w:hanging="360"/>
      </w:pPr>
      <w:rPr>
        <w:rFonts w:ascii="Wingdings" w:hAnsi="Wingdings" w:hint="default"/>
      </w:rPr>
    </w:lvl>
  </w:abstractNum>
  <w:abstractNum w:abstractNumId="35" w15:restartNumberingAfterBreak="0">
    <w:nsid w:val="7C5A64CE"/>
    <w:multiLevelType w:val="hybridMultilevel"/>
    <w:tmpl w:val="08421CA0"/>
    <w:lvl w:ilvl="0" w:tplc="1DC0D7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A14C90"/>
    <w:multiLevelType w:val="hybridMultilevel"/>
    <w:tmpl w:val="F9F0220A"/>
    <w:lvl w:ilvl="0" w:tplc="4D621F18">
      <w:start w:val="1"/>
      <w:numFmt w:val="bullet"/>
      <w:lvlText w:val=""/>
      <w:lvlJc w:val="left"/>
      <w:pPr>
        <w:ind w:left="720" w:hanging="360"/>
      </w:pPr>
      <w:rPr>
        <w:rFonts w:ascii="Symbol" w:hAnsi="Symbol" w:hint="default"/>
      </w:rPr>
    </w:lvl>
    <w:lvl w:ilvl="1" w:tplc="52A4C106" w:tentative="1">
      <w:start w:val="1"/>
      <w:numFmt w:val="bullet"/>
      <w:lvlText w:val="o"/>
      <w:lvlJc w:val="left"/>
      <w:pPr>
        <w:ind w:left="1440" w:hanging="360"/>
      </w:pPr>
      <w:rPr>
        <w:rFonts w:ascii="Courier New" w:hAnsi="Courier New" w:cs="Courier New" w:hint="default"/>
      </w:rPr>
    </w:lvl>
    <w:lvl w:ilvl="2" w:tplc="99EA0CFE" w:tentative="1">
      <w:start w:val="1"/>
      <w:numFmt w:val="bullet"/>
      <w:lvlText w:val=""/>
      <w:lvlJc w:val="left"/>
      <w:pPr>
        <w:ind w:left="2160" w:hanging="360"/>
      </w:pPr>
      <w:rPr>
        <w:rFonts w:ascii="Wingdings" w:hAnsi="Wingdings" w:hint="default"/>
      </w:rPr>
    </w:lvl>
    <w:lvl w:ilvl="3" w:tplc="D6506584" w:tentative="1">
      <w:start w:val="1"/>
      <w:numFmt w:val="bullet"/>
      <w:lvlText w:val=""/>
      <w:lvlJc w:val="left"/>
      <w:pPr>
        <w:ind w:left="2880" w:hanging="360"/>
      </w:pPr>
      <w:rPr>
        <w:rFonts w:ascii="Symbol" w:hAnsi="Symbol" w:hint="default"/>
      </w:rPr>
    </w:lvl>
    <w:lvl w:ilvl="4" w:tplc="14FA1332" w:tentative="1">
      <w:start w:val="1"/>
      <w:numFmt w:val="bullet"/>
      <w:lvlText w:val="o"/>
      <w:lvlJc w:val="left"/>
      <w:pPr>
        <w:ind w:left="3600" w:hanging="360"/>
      </w:pPr>
      <w:rPr>
        <w:rFonts w:ascii="Courier New" w:hAnsi="Courier New" w:cs="Courier New" w:hint="default"/>
      </w:rPr>
    </w:lvl>
    <w:lvl w:ilvl="5" w:tplc="E8824A8C" w:tentative="1">
      <w:start w:val="1"/>
      <w:numFmt w:val="bullet"/>
      <w:lvlText w:val=""/>
      <w:lvlJc w:val="left"/>
      <w:pPr>
        <w:ind w:left="4320" w:hanging="360"/>
      </w:pPr>
      <w:rPr>
        <w:rFonts w:ascii="Wingdings" w:hAnsi="Wingdings" w:hint="default"/>
      </w:rPr>
    </w:lvl>
    <w:lvl w:ilvl="6" w:tplc="68E2312E" w:tentative="1">
      <w:start w:val="1"/>
      <w:numFmt w:val="bullet"/>
      <w:lvlText w:val=""/>
      <w:lvlJc w:val="left"/>
      <w:pPr>
        <w:ind w:left="5040" w:hanging="360"/>
      </w:pPr>
      <w:rPr>
        <w:rFonts w:ascii="Symbol" w:hAnsi="Symbol" w:hint="default"/>
      </w:rPr>
    </w:lvl>
    <w:lvl w:ilvl="7" w:tplc="F78417AE" w:tentative="1">
      <w:start w:val="1"/>
      <w:numFmt w:val="bullet"/>
      <w:lvlText w:val="o"/>
      <w:lvlJc w:val="left"/>
      <w:pPr>
        <w:ind w:left="5760" w:hanging="360"/>
      </w:pPr>
      <w:rPr>
        <w:rFonts w:ascii="Courier New" w:hAnsi="Courier New" w:cs="Courier New" w:hint="default"/>
      </w:rPr>
    </w:lvl>
    <w:lvl w:ilvl="8" w:tplc="EFC4B7B6"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23"/>
  </w:num>
  <w:num w:numId="4">
    <w:abstractNumId w:val="15"/>
  </w:num>
  <w:num w:numId="5">
    <w:abstractNumId w:val="14"/>
  </w:num>
  <w:num w:numId="6">
    <w:abstractNumId w:val="34"/>
  </w:num>
  <w:num w:numId="7">
    <w:abstractNumId w:val="19"/>
  </w:num>
  <w:num w:numId="8">
    <w:abstractNumId w:val="20"/>
  </w:num>
  <w:num w:numId="9">
    <w:abstractNumId w:val="14"/>
  </w:num>
  <w:num w:numId="10">
    <w:abstractNumId w:val="24"/>
  </w:num>
  <w:num w:numId="11">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5"/>
  </w:num>
  <w:num w:numId="14">
    <w:abstractNumId w:val="13"/>
  </w:num>
  <w:num w:numId="15">
    <w:abstractNumId w:val="0"/>
  </w:num>
  <w:num w:numId="16">
    <w:abstractNumId w:val="12"/>
  </w:num>
  <w:num w:numId="17">
    <w:abstractNumId w:val="21"/>
  </w:num>
  <w:num w:numId="18">
    <w:abstractNumId w:val="27"/>
  </w:num>
  <w:num w:numId="19">
    <w:abstractNumId w:val="10"/>
  </w:num>
  <w:num w:numId="20">
    <w:abstractNumId w:val="6"/>
  </w:num>
  <w:num w:numId="21">
    <w:abstractNumId w:val="23"/>
  </w:num>
  <w:num w:numId="22">
    <w:abstractNumId w:val="15"/>
  </w:num>
  <w:num w:numId="23">
    <w:abstractNumId w:val="32"/>
  </w:num>
  <w:num w:numId="24">
    <w:abstractNumId w:val="2"/>
  </w:num>
  <w:num w:numId="25">
    <w:abstractNumId w:val="22"/>
  </w:num>
  <w:num w:numId="26">
    <w:abstractNumId w:val="8"/>
  </w:num>
  <w:num w:numId="27">
    <w:abstractNumId w:val="19"/>
  </w:num>
  <w:num w:numId="28">
    <w:abstractNumId w:val="31"/>
  </w:num>
  <w:num w:numId="29">
    <w:abstractNumId w:val="34"/>
  </w:num>
  <w:num w:numId="30">
    <w:abstractNumId w:val="36"/>
  </w:num>
  <w:num w:numId="31">
    <w:abstractNumId w:val="1"/>
  </w:num>
  <w:num w:numId="32">
    <w:abstractNumId w:val="4"/>
  </w:num>
  <w:num w:numId="33">
    <w:abstractNumId w:val="25"/>
  </w:num>
  <w:num w:numId="34">
    <w:abstractNumId w:val="29"/>
  </w:num>
  <w:num w:numId="35">
    <w:abstractNumId w:val="33"/>
  </w:num>
  <w:num w:numId="36">
    <w:abstractNumId w:val="3"/>
  </w:num>
  <w:num w:numId="37">
    <w:abstractNumId w:val="18"/>
  </w:num>
  <w:num w:numId="38">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26"/>
  </w:num>
  <w:num w:numId="41">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9"/>
  </w:num>
  <w:num w:numId="45">
    <w:abstractNumId w:val="17"/>
  </w:num>
  <w:num w:numId="46">
    <w:abstractNumId w:val="8"/>
  </w:num>
  <w:num w:numId="47">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ED"/>
    <w:rsid w:val="00001849"/>
    <w:rsid w:val="00007730"/>
    <w:rsid w:val="00007D76"/>
    <w:rsid w:val="00013910"/>
    <w:rsid w:val="000142BF"/>
    <w:rsid w:val="0003217A"/>
    <w:rsid w:val="00037376"/>
    <w:rsid w:val="0004566C"/>
    <w:rsid w:val="000532EB"/>
    <w:rsid w:val="000647BF"/>
    <w:rsid w:val="00074446"/>
    <w:rsid w:val="0007513B"/>
    <w:rsid w:val="00086E5C"/>
    <w:rsid w:val="00091764"/>
    <w:rsid w:val="000A06A7"/>
    <w:rsid w:val="000A329D"/>
    <w:rsid w:val="000B1507"/>
    <w:rsid w:val="000C6920"/>
    <w:rsid w:val="000D2D9C"/>
    <w:rsid w:val="000F3B3C"/>
    <w:rsid w:val="000F6236"/>
    <w:rsid w:val="00100549"/>
    <w:rsid w:val="00105871"/>
    <w:rsid w:val="00114A0F"/>
    <w:rsid w:val="00116CC7"/>
    <w:rsid w:val="00120208"/>
    <w:rsid w:val="001407A8"/>
    <w:rsid w:val="00147E60"/>
    <w:rsid w:val="00150B08"/>
    <w:rsid w:val="00152EA8"/>
    <w:rsid w:val="00161C49"/>
    <w:rsid w:val="001666BD"/>
    <w:rsid w:val="001760B4"/>
    <w:rsid w:val="00182C44"/>
    <w:rsid w:val="001C4539"/>
    <w:rsid w:val="001D0AF4"/>
    <w:rsid w:val="001E42ED"/>
    <w:rsid w:val="001E53E8"/>
    <w:rsid w:val="00212D31"/>
    <w:rsid w:val="0022214A"/>
    <w:rsid w:val="00233DB2"/>
    <w:rsid w:val="00234545"/>
    <w:rsid w:val="00234E20"/>
    <w:rsid w:val="00236445"/>
    <w:rsid w:val="00241E88"/>
    <w:rsid w:val="00244D57"/>
    <w:rsid w:val="00254E0E"/>
    <w:rsid w:val="00256309"/>
    <w:rsid w:val="00277DE7"/>
    <w:rsid w:val="00277E0C"/>
    <w:rsid w:val="00280DE7"/>
    <w:rsid w:val="00281DFB"/>
    <w:rsid w:val="002A5D40"/>
    <w:rsid w:val="002E4026"/>
    <w:rsid w:val="002E4CCE"/>
    <w:rsid w:val="002F6837"/>
    <w:rsid w:val="0030733F"/>
    <w:rsid w:val="00312B97"/>
    <w:rsid w:val="00314F1C"/>
    <w:rsid w:val="003336F8"/>
    <w:rsid w:val="00335E11"/>
    <w:rsid w:val="0034371F"/>
    <w:rsid w:val="00350F30"/>
    <w:rsid w:val="00384C98"/>
    <w:rsid w:val="00385D62"/>
    <w:rsid w:val="003976CC"/>
    <w:rsid w:val="003E2A20"/>
    <w:rsid w:val="003E332E"/>
    <w:rsid w:val="003E381B"/>
    <w:rsid w:val="003E4460"/>
    <w:rsid w:val="003E4E63"/>
    <w:rsid w:val="003E7971"/>
    <w:rsid w:val="003F1C32"/>
    <w:rsid w:val="003F4A45"/>
    <w:rsid w:val="003F4E45"/>
    <w:rsid w:val="0041051C"/>
    <w:rsid w:val="00412E0C"/>
    <w:rsid w:val="00422BE1"/>
    <w:rsid w:val="004339EB"/>
    <w:rsid w:val="00434E87"/>
    <w:rsid w:val="00440D6C"/>
    <w:rsid w:val="00475D20"/>
    <w:rsid w:val="0048678F"/>
    <w:rsid w:val="004940D8"/>
    <w:rsid w:val="00495ACB"/>
    <w:rsid w:val="004A09A7"/>
    <w:rsid w:val="004A6C3F"/>
    <w:rsid w:val="004B6F97"/>
    <w:rsid w:val="004C29ED"/>
    <w:rsid w:val="004E1858"/>
    <w:rsid w:val="004E3A29"/>
    <w:rsid w:val="004F29A4"/>
    <w:rsid w:val="004F521E"/>
    <w:rsid w:val="00505C48"/>
    <w:rsid w:val="00533D86"/>
    <w:rsid w:val="005402C6"/>
    <w:rsid w:val="00550148"/>
    <w:rsid w:val="00563BF8"/>
    <w:rsid w:val="0058762E"/>
    <w:rsid w:val="00596EF1"/>
    <w:rsid w:val="005A0A2A"/>
    <w:rsid w:val="005A7DCE"/>
    <w:rsid w:val="005B530C"/>
    <w:rsid w:val="005B6965"/>
    <w:rsid w:val="005C3B99"/>
    <w:rsid w:val="005D7FE1"/>
    <w:rsid w:val="00605E5E"/>
    <w:rsid w:val="00623B0B"/>
    <w:rsid w:val="00623C42"/>
    <w:rsid w:val="006467E5"/>
    <w:rsid w:val="0064736F"/>
    <w:rsid w:val="006573E8"/>
    <w:rsid w:val="00676C1B"/>
    <w:rsid w:val="00677517"/>
    <w:rsid w:val="00683287"/>
    <w:rsid w:val="006A3E14"/>
    <w:rsid w:val="006A47DD"/>
    <w:rsid w:val="006B40E1"/>
    <w:rsid w:val="006C012B"/>
    <w:rsid w:val="006D5164"/>
    <w:rsid w:val="006D7502"/>
    <w:rsid w:val="006E450C"/>
    <w:rsid w:val="006E7829"/>
    <w:rsid w:val="006F1A95"/>
    <w:rsid w:val="006F5498"/>
    <w:rsid w:val="00711E6B"/>
    <w:rsid w:val="007176F5"/>
    <w:rsid w:val="00727D7A"/>
    <w:rsid w:val="0073081A"/>
    <w:rsid w:val="00732428"/>
    <w:rsid w:val="00743950"/>
    <w:rsid w:val="0074713B"/>
    <w:rsid w:val="007526CA"/>
    <w:rsid w:val="00766C10"/>
    <w:rsid w:val="007848EF"/>
    <w:rsid w:val="00793DAB"/>
    <w:rsid w:val="007A201A"/>
    <w:rsid w:val="007A3549"/>
    <w:rsid w:val="007C3552"/>
    <w:rsid w:val="007C4A1C"/>
    <w:rsid w:val="007E04C4"/>
    <w:rsid w:val="007E2C1E"/>
    <w:rsid w:val="007E728E"/>
    <w:rsid w:val="00810778"/>
    <w:rsid w:val="00817FDB"/>
    <w:rsid w:val="0084227C"/>
    <w:rsid w:val="00860860"/>
    <w:rsid w:val="00865B98"/>
    <w:rsid w:val="00871479"/>
    <w:rsid w:val="0089310D"/>
    <w:rsid w:val="00893153"/>
    <w:rsid w:val="00897B92"/>
    <w:rsid w:val="008A171D"/>
    <w:rsid w:val="008C22A6"/>
    <w:rsid w:val="008C65B6"/>
    <w:rsid w:val="008D689E"/>
    <w:rsid w:val="008E32D4"/>
    <w:rsid w:val="008E4187"/>
    <w:rsid w:val="0090768B"/>
    <w:rsid w:val="00914EF7"/>
    <w:rsid w:val="00946799"/>
    <w:rsid w:val="0096684A"/>
    <w:rsid w:val="00966D86"/>
    <w:rsid w:val="00970F3D"/>
    <w:rsid w:val="009801A7"/>
    <w:rsid w:val="009959EB"/>
    <w:rsid w:val="009974E4"/>
    <w:rsid w:val="009B1C26"/>
    <w:rsid w:val="009B4199"/>
    <w:rsid w:val="009C7253"/>
    <w:rsid w:val="009D233B"/>
    <w:rsid w:val="009E79FC"/>
    <w:rsid w:val="009F0F59"/>
    <w:rsid w:val="009F1B69"/>
    <w:rsid w:val="00A07F67"/>
    <w:rsid w:val="00A172D2"/>
    <w:rsid w:val="00A251FD"/>
    <w:rsid w:val="00A26DDA"/>
    <w:rsid w:val="00A4313B"/>
    <w:rsid w:val="00A513A4"/>
    <w:rsid w:val="00A746E0"/>
    <w:rsid w:val="00A83049"/>
    <w:rsid w:val="00A83E5D"/>
    <w:rsid w:val="00A8464D"/>
    <w:rsid w:val="00AA0314"/>
    <w:rsid w:val="00AC2254"/>
    <w:rsid w:val="00AC2731"/>
    <w:rsid w:val="00AC582E"/>
    <w:rsid w:val="00AD4248"/>
    <w:rsid w:val="00AD6BBC"/>
    <w:rsid w:val="00AF1074"/>
    <w:rsid w:val="00B10EB1"/>
    <w:rsid w:val="00B16CC3"/>
    <w:rsid w:val="00B17AB3"/>
    <w:rsid w:val="00B23E2A"/>
    <w:rsid w:val="00B24615"/>
    <w:rsid w:val="00B34804"/>
    <w:rsid w:val="00B35281"/>
    <w:rsid w:val="00B377DE"/>
    <w:rsid w:val="00B4485C"/>
    <w:rsid w:val="00B45A9B"/>
    <w:rsid w:val="00B4646F"/>
    <w:rsid w:val="00B52E6C"/>
    <w:rsid w:val="00B53DC7"/>
    <w:rsid w:val="00B540CE"/>
    <w:rsid w:val="00B5768A"/>
    <w:rsid w:val="00B76197"/>
    <w:rsid w:val="00B90A21"/>
    <w:rsid w:val="00B93BB5"/>
    <w:rsid w:val="00B943C9"/>
    <w:rsid w:val="00B963AC"/>
    <w:rsid w:val="00B974EA"/>
    <w:rsid w:val="00BA66BE"/>
    <w:rsid w:val="00BB3D32"/>
    <w:rsid w:val="00BB4315"/>
    <w:rsid w:val="00BC78B4"/>
    <w:rsid w:val="00BE04F2"/>
    <w:rsid w:val="00BE768F"/>
    <w:rsid w:val="00BF740B"/>
    <w:rsid w:val="00BF7774"/>
    <w:rsid w:val="00C16941"/>
    <w:rsid w:val="00C20C14"/>
    <w:rsid w:val="00C24648"/>
    <w:rsid w:val="00C304D5"/>
    <w:rsid w:val="00C41CF7"/>
    <w:rsid w:val="00C55957"/>
    <w:rsid w:val="00C57059"/>
    <w:rsid w:val="00C61705"/>
    <w:rsid w:val="00C62B1A"/>
    <w:rsid w:val="00C75EF5"/>
    <w:rsid w:val="00C83BFE"/>
    <w:rsid w:val="00C8753E"/>
    <w:rsid w:val="00CA1EEF"/>
    <w:rsid w:val="00CA23F4"/>
    <w:rsid w:val="00CB1230"/>
    <w:rsid w:val="00CC0D09"/>
    <w:rsid w:val="00CD2AF7"/>
    <w:rsid w:val="00CE1197"/>
    <w:rsid w:val="00CE339C"/>
    <w:rsid w:val="00CE786C"/>
    <w:rsid w:val="00CF74A9"/>
    <w:rsid w:val="00D01D45"/>
    <w:rsid w:val="00D146B9"/>
    <w:rsid w:val="00D22BFA"/>
    <w:rsid w:val="00D358C3"/>
    <w:rsid w:val="00D6517C"/>
    <w:rsid w:val="00D77172"/>
    <w:rsid w:val="00D81AB7"/>
    <w:rsid w:val="00D83EA7"/>
    <w:rsid w:val="00D8718C"/>
    <w:rsid w:val="00DB01E6"/>
    <w:rsid w:val="00DB0697"/>
    <w:rsid w:val="00DC3B43"/>
    <w:rsid w:val="00DC5231"/>
    <w:rsid w:val="00DF5AE0"/>
    <w:rsid w:val="00DF6705"/>
    <w:rsid w:val="00E02523"/>
    <w:rsid w:val="00E06FC3"/>
    <w:rsid w:val="00E07EE4"/>
    <w:rsid w:val="00E2694A"/>
    <w:rsid w:val="00E634C6"/>
    <w:rsid w:val="00E765AB"/>
    <w:rsid w:val="00E802FF"/>
    <w:rsid w:val="00E90956"/>
    <w:rsid w:val="00E91D1A"/>
    <w:rsid w:val="00E955FA"/>
    <w:rsid w:val="00EA2543"/>
    <w:rsid w:val="00EE5FE2"/>
    <w:rsid w:val="00EF3091"/>
    <w:rsid w:val="00F10207"/>
    <w:rsid w:val="00F10CC0"/>
    <w:rsid w:val="00F13651"/>
    <w:rsid w:val="00F13880"/>
    <w:rsid w:val="00F26CC6"/>
    <w:rsid w:val="00F462EF"/>
    <w:rsid w:val="00F67B99"/>
    <w:rsid w:val="00F77B07"/>
    <w:rsid w:val="00F8181D"/>
    <w:rsid w:val="00F81A7B"/>
    <w:rsid w:val="00F834EE"/>
    <w:rsid w:val="00F85669"/>
    <w:rsid w:val="00F925CB"/>
    <w:rsid w:val="00FC1A69"/>
    <w:rsid w:val="00FD471F"/>
    <w:rsid w:val="00FD79E9"/>
    <w:rsid w:val="00FE19F0"/>
    <w:rsid w:val="00FE334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1C5D8"/>
  <w15:chartTrackingRefBased/>
  <w15:docId w15:val="{9DFF751F-7B84-4CF1-BD13-607E6068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0D8"/>
    <w:pPr>
      <w:spacing w:before="240" w:after="180" w:line="280" w:lineRule="atLeast"/>
    </w:pPr>
    <w:rPr>
      <w:rFonts w:ascii="Calibri" w:eastAsia="Times New Roman" w:hAnsi="Calibri" w:cs="Calibri"/>
      <w:spacing w:val="4"/>
      <w:lang w:eastAsia="en-AU"/>
    </w:rPr>
  </w:style>
  <w:style w:type="paragraph" w:styleId="Heading1">
    <w:name w:val="heading 1"/>
    <w:basedOn w:val="Normal"/>
    <w:next w:val="Normal"/>
    <w:link w:val="Heading1Char"/>
    <w:uiPriority w:val="2"/>
    <w:qFormat/>
    <w:rsid w:val="004940D8"/>
    <w:pPr>
      <w:spacing w:before="0" w:after="0" w:line="240" w:lineRule="auto"/>
      <w:contextualSpacing/>
      <w:outlineLvl w:val="0"/>
    </w:pPr>
    <w:rPr>
      <w:rFonts w:eastAsiaTheme="majorEastAsia"/>
      <w:b/>
      <w:bCs/>
      <w:color w:val="612C69"/>
      <w:sz w:val="56"/>
      <w:szCs w:val="56"/>
    </w:rPr>
  </w:style>
  <w:style w:type="paragraph" w:styleId="Heading2">
    <w:name w:val="heading 2"/>
    <w:basedOn w:val="Normal"/>
    <w:next w:val="Normal"/>
    <w:link w:val="Heading2Char"/>
    <w:uiPriority w:val="9"/>
    <w:unhideWhenUsed/>
    <w:qFormat/>
    <w:rsid w:val="004940D8"/>
    <w:pPr>
      <w:keepNext/>
      <w:keepLines/>
      <w:spacing w:after="0"/>
      <w:outlineLvl w:val="1"/>
    </w:pPr>
    <w:rPr>
      <w:rFonts w:eastAsiaTheme="majorEastAsia"/>
      <w:b/>
      <w:color w:val="612C69"/>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940D8"/>
    <w:rPr>
      <w:rFonts w:ascii="Calibri" w:eastAsiaTheme="majorEastAsia" w:hAnsi="Calibri" w:cs="Calibri"/>
      <w:b/>
      <w:bCs/>
      <w:color w:val="612C69"/>
      <w:spacing w:val="4"/>
      <w:sz w:val="56"/>
      <w:szCs w:val="56"/>
      <w:lang w:eastAsia="en-AU"/>
    </w:rPr>
  </w:style>
  <w:style w:type="paragraph" w:styleId="ListParagraph">
    <w:name w:val="List Paragraph"/>
    <w:aliases w:val="AR bullet 1,Bullet point,CV text,Dot pt,F List Paragraph,F5 List Paragraph,L,List Paragraph Number,List Paragraph1,List Paragraph11,List Paragraph111,List Paragraph2,Medium Grid 1 - Accent 21,Number Paragraph,Recommendation,Table text"/>
    <w:basedOn w:val="Normal"/>
    <w:link w:val="ListParagraphChar"/>
    <w:uiPriority w:val="34"/>
    <w:qFormat/>
    <w:rsid w:val="004C29ED"/>
    <w:pPr>
      <w:ind w:left="720"/>
      <w:contextualSpacing/>
    </w:pPr>
  </w:style>
  <w:style w:type="paragraph" w:styleId="Header">
    <w:name w:val="header"/>
    <w:basedOn w:val="Normal"/>
    <w:link w:val="HeaderChar"/>
    <w:uiPriority w:val="99"/>
    <w:unhideWhenUsed/>
    <w:rsid w:val="004C29E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C29ED"/>
    <w:rPr>
      <w:rFonts w:ascii="Arial" w:eastAsia="Times New Roman" w:hAnsi="Arial" w:cs="Times New Roman"/>
      <w:spacing w:val="4"/>
      <w:sz w:val="24"/>
      <w:szCs w:val="24"/>
      <w:lang w:eastAsia="en-AU"/>
    </w:rPr>
  </w:style>
  <w:style w:type="paragraph" w:styleId="Footer">
    <w:name w:val="footer"/>
    <w:basedOn w:val="Normal"/>
    <w:link w:val="FooterChar"/>
    <w:uiPriority w:val="99"/>
    <w:unhideWhenUsed/>
    <w:rsid w:val="004C2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9ED"/>
    <w:rPr>
      <w:rFonts w:ascii="Arial" w:eastAsia="Times New Roman" w:hAnsi="Arial" w:cs="Times New Roman"/>
      <w:spacing w:val="4"/>
      <w:sz w:val="24"/>
      <w:szCs w:val="24"/>
      <w:lang w:eastAsia="en-AU"/>
    </w:rPr>
  </w:style>
  <w:style w:type="table" w:styleId="TableGrid">
    <w:name w:val="Table Grid"/>
    <w:basedOn w:val="TableNormal"/>
    <w:uiPriority w:val="59"/>
    <w:rsid w:val="004C2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R bullet 1 Char,Bullet point Char,CV text Char,Dot pt Char,F List Paragraph Char,F5 List Paragraph Char,L Char,List Paragraph Number Char,List Paragraph1 Char,List Paragraph11 Char,List Paragraph111 Char,List Paragraph2 Char"/>
    <w:basedOn w:val="DefaultParagraphFont"/>
    <w:link w:val="ListParagraph"/>
    <w:uiPriority w:val="34"/>
    <w:qFormat/>
    <w:locked/>
    <w:rsid w:val="004C29ED"/>
    <w:rPr>
      <w:rFonts w:ascii="Arial" w:eastAsia="Times New Roman" w:hAnsi="Arial" w:cs="Times New Roman"/>
      <w:spacing w:val="4"/>
      <w:sz w:val="24"/>
      <w:szCs w:val="24"/>
      <w:lang w:eastAsia="en-AU"/>
    </w:rPr>
  </w:style>
  <w:style w:type="paragraph" w:customStyle="1" w:styleId="mbullet1">
    <w:name w:val="m_bullet 1"/>
    <w:basedOn w:val="Normal"/>
    <w:qFormat/>
    <w:rsid w:val="00001849"/>
    <w:pPr>
      <w:numPr>
        <w:numId w:val="1"/>
      </w:numPr>
      <w:spacing w:before="0" w:after="120" w:line="276" w:lineRule="auto"/>
    </w:pPr>
    <w:rPr>
      <w:rFonts w:eastAsia="Calibri" w:cs="Arial"/>
      <w:color w:val="000000"/>
      <w:spacing w:val="0"/>
    </w:rPr>
  </w:style>
  <w:style w:type="paragraph" w:styleId="BalloonText">
    <w:name w:val="Balloon Text"/>
    <w:basedOn w:val="Normal"/>
    <w:link w:val="BalloonTextChar"/>
    <w:uiPriority w:val="99"/>
    <w:semiHidden/>
    <w:unhideWhenUsed/>
    <w:rsid w:val="00182C4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C44"/>
    <w:rPr>
      <w:rFonts w:ascii="Segoe UI" w:eastAsia="Times New Roman" w:hAnsi="Segoe UI" w:cs="Segoe UI"/>
      <w:spacing w:val="4"/>
      <w:sz w:val="18"/>
      <w:szCs w:val="18"/>
      <w:lang w:eastAsia="en-AU"/>
    </w:rPr>
  </w:style>
  <w:style w:type="paragraph" w:styleId="Revision">
    <w:name w:val="Revision"/>
    <w:hidden/>
    <w:uiPriority w:val="99"/>
    <w:semiHidden/>
    <w:rsid w:val="00BF740B"/>
    <w:pPr>
      <w:spacing w:after="0" w:line="240" w:lineRule="auto"/>
    </w:pPr>
    <w:rPr>
      <w:rFonts w:ascii="Arial" w:eastAsia="Times New Roman" w:hAnsi="Arial" w:cs="Times New Roman"/>
      <w:spacing w:val="4"/>
      <w:sz w:val="24"/>
      <w:szCs w:val="24"/>
      <w:lang w:eastAsia="en-AU"/>
    </w:rPr>
  </w:style>
  <w:style w:type="character" w:styleId="CommentReference">
    <w:name w:val="annotation reference"/>
    <w:basedOn w:val="DefaultParagraphFont"/>
    <w:uiPriority w:val="99"/>
    <w:semiHidden/>
    <w:unhideWhenUsed/>
    <w:rsid w:val="007E04C4"/>
    <w:rPr>
      <w:sz w:val="16"/>
      <w:szCs w:val="16"/>
    </w:rPr>
  </w:style>
  <w:style w:type="paragraph" w:styleId="CommentText">
    <w:name w:val="annotation text"/>
    <w:basedOn w:val="Normal"/>
    <w:link w:val="CommentTextChar"/>
    <w:uiPriority w:val="99"/>
    <w:semiHidden/>
    <w:unhideWhenUsed/>
    <w:rsid w:val="007E04C4"/>
    <w:pPr>
      <w:spacing w:line="240" w:lineRule="auto"/>
    </w:pPr>
    <w:rPr>
      <w:sz w:val="20"/>
      <w:szCs w:val="20"/>
    </w:rPr>
  </w:style>
  <w:style w:type="character" w:customStyle="1" w:styleId="CommentTextChar">
    <w:name w:val="Comment Text Char"/>
    <w:basedOn w:val="DefaultParagraphFont"/>
    <w:link w:val="CommentText"/>
    <w:uiPriority w:val="99"/>
    <w:semiHidden/>
    <w:rsid w:val="007E04C4"/>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7E04C4"/>
    <w:rPr>
      <w:b/>
      <w:bCs/>
    </w:rPr>
  </w:style>
  <w:style w:type="character" w:customStyle="1" w:styleId="CommentSubjectChar">
    <w:name w:val="Comment Subject Char"/>
    <w:basedOn w:val="CommentTextChar"/>
    <w:link w:val="CommentSubject"/>
    <w:uiPriority w:val="99"/>
    <w:semiHidden/>
    <w:rsid w:val="007E04C4"/>
    <w:rPr>
      <w:rFonts w:ascii="Arial" w:eastAsia="Times New Roman" w:hAnsi="Arial" w:cs="Times New Roman"/>
      <w:b/>
      <w:bCs/>
      <w:spacing w:val="4"/>
      <w:sz w:val="20"/>
      <w:szCs w:val="20"/>
      <w:lang w:eastAsia="en-AU"/>
    </w:rPr>
  </w:style>
  <w:style w:type="character" w:customStyle="1" w:styleId="Heading2Char">
    <w:name w:val="Heading 2 Char"/>
    <w:basedOn w:val="DefaultParagraphFont"/>
    <w:link w:val="Heading2"/>
    <w:uiPriority w:val="9"/>
    <w:rsid w:val="004940D8"/>
    <w:rPr>
      <w:rFonts w:ascii="Calibri" w:eastAsiaTheme="majorEastAsia" w:hAnsi="Calibri" w:cs="Calibri"/>
      <w:b/>
      <w:color w:val="612C69"/>
      <w:spacing w:val="4"/>
      <w:sz w:val="40"/>
      <w:szCs w:val="40"/>
      <w:lang w:eastAsia="en-AU"/>
    </w:rPr>
  </w:style>
  <w:style w:type="table" w:styleId="PlainTable5">
    <w:name w:val="Plain Table 5"/>
    <w:basedOn w:val="TableNormal"/>
    <w:uiPriority w:val="45"/>
    <w:rsid w:val="00434E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434E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434E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333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32428"/>
    <w:pPr>
      <w:spacing w:before="0" w:after="200" w:line="240" w:lineRule="auto"/>
    </w:pPr>
    <w:rPr>
      <w:i/>
      <w:iCs/>
      <w:color w:val="44546A" w:themeColor="text2"/>
      <w:sz w:val="18"/>
      <w:szCs w:val="18"/>
    </w:rPr>
  </w:style>
  <w:style w:type="character" w:styleId="Hyperlink">
    <w:name w:val="Hyperlink"/>
    <w:basedOn w:val="DefaultParagraphFont"/>
    <w:uiPriority w:val="99"/>
    <w:unhideWhenUsed/>
    <w:rsid w:val="00732428"/>
    <w:rPr>
      <w:color w:val="0563C1" w:themeColor="hyperlink"/>
      <w:u w:val="single"/>
    </w:rPr>
  </w:style>
  <w:style w:type="character" w:styleId="FollowedHyperlink">
    <w:name w:val="FollowedHyperlink"/>
    <w:basedOn w:val="DefaultParagraphFont"/>
    <w:uiPriority w:val="99"/>
    <w:semiHidden/>
    <w:unhideWhenUsed/>
    <w:rsid w:val="00711E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04">
      <w:bodyDiv w:val="1"/>
      <w:marLeft w:val="0"/>
      <w:marRight w:val="0"/>
      <w:marTop w:val="0"/>
      <w:marBottom w:val="0"/>
      <w:divBdr>
        <w:top w:val="none" w:sz="0" w:space="0" w:color="auto"/>
        <w:left w:val="none" w:sz="0" w:space="0" w:color="auto"/>
        <w:bottom w:val="none" w:sz="0" w:space="0" w:color="auto"/>
        <w:right w:val="none" w:sz="0" w:space="0" w:color="auto"/>
      </w:divBdr>
    </w:div>
    <w:div w:id="9919890">
      <w:bodyDiv w:val="1"/>
      <w:marLeft w:val="0"/>
      <w:marRight w:val="0"/>
      <w:marTop w:val="0"/>
      <w:marBottom w:val="0"/>
      <w:divBdr>
        <w:top w:val="none" w:sz="0" w:space="0" w:color="auto"/>
        <w:left w:val="none" w:sz="0" w:space="0" w:color="auto"/>
        <w:bottom w:val="none" w:sz="0" w:space="0" w:color="auto"/>
        <w:right w:val="none" w:sz="0" w:space="0" w:color="auto"/>
      </w:divBdr>
    </w:div>
    <w:div w:id="10230674">
      <w:bodyDiv w:val="1"/>
      <w:marLeft w:val="0"/>
      <w:marRight w:val="0"/>
      <w:marTop w:val="0"/>
      <w:marBottom w:val="0"/>
      <w:divBdr>
        <w:top w:val="none" w:sz="0" w:space="0" w:color="auto"/>
        <w:left w:val="none" w:sz="0" w:space="0" w:color="auto"/>
        <w:bottom w:val="none" w:sz="0" w:space="0" w:color="auto"/>
        <w:right w:val="none" w:sz="0" w:space="0" w:color="auto"/>
      </w:divBdr>
    </w:div>
    <w:div w:id="10691589">
      <w:bodyDiv w:val="1"/>
      <w:marLeft w:val="0"/>
      <w:marRight w:val="0"/>
      <w:marTop w:val="0"/>
      <w:marBottom w:val="0"/>
      <w:divBdr>
        <w:top w:val="none" w:sz="0" w:space="0" w:color="auto"/>
        <w:left w:val="none" w:sz="0" w:space="0" w:color="auto"/>
        <w:bottom w:val="none" w:sz="0" w:space="0" w:color="auto"/>
        <w:right w:val="none" w:sz="0" w:space="0" w:color="auto"/>
      </w:divBdr>
    </w:div>
    <w:div w:id="21588251">
      <w:bodyDiv w:val="1"/>
      <w:marLeft w:val="0"/>
      <w:marRight w:val="0"/>
      <w:marTop w:val="0"/>
      <w:marBottom w:val="0"/>
      <w:divBdr>
        <w:top w:val="none" w:sz="0" w:space="0" w:color="auto"/>
        <w:left w:val="none" w:sz="0" w:space="0" w:color="auto"/>
        <w:bottom w:val="none" w:sz="0" w:space="0" w:color="auto"/>
        <w:right w:val="none" w:sz="0" w:space="0" w:color="auto"/>
      </w:divBdr>
    </w:div>
    <w:div w:id="24989741">
      <w:bodyDiv w:val="1"/>
      <w:marLeft w:val="0"/>
      <w:marRight w:val="0"/>
      <w:marTop w:val="0"/>
      <w:marBottom w:val="0"/>
      <w:divBdr>
        <w:top w:val="none" w:sz="0" w:space="0" w:color="auto"/>
        <w:left w:val="none" w:sz="0" w:space="0" w:color="auto"/>
        <w:bottom w:val="none" w:sz="0" w:space="0" w:color="auto"/>
        <w:right w:val="none" w:sz="0" w:space="0" w:color="auto"/>
      </w:divBdr>
    </w:div>
    <w:div w:id="26106045">
      <w:bodyDiv w:val="1"/>
      <w:marLeft w:val="0"/>
      <w:marRight w:val="0"/>
      <w:marTop w:val="0"/>
      <w:marBottom w:val="0"/>
      <w:divBdr>
        <w:top w:val="none" w:sz="0" w:space="0" w:color="auto"/>
        <w:left w:val="none" w:sz="0" w:space="0" w:color="auto"/>
        <w:bottom w:val="none" w:sz="0" w:space="0" w:color="auto"/>
        <w:right w:val="none" w:sz="0" w:space="0" w:color="auto"/>
      </w:divBdr>
    </w:div>
    <w:div w:id="30568856">
      <w:bodyDiv w:val="1"/>
      <w:marLeft w:val="0"/>
      <w:marRight w:val="0"/>
      <w:marTop w:val="0"/>
      <w:marBottom w:val="0"/>
      <w:divBdr>
        <w:top w:val="none" w:sz="0" w:space="0" w:color="auto"/>
        <w:left w:val="none" w:sz="0" w:space="0" w:color="auto"/>
        <w:bottom w:val="none" w:sz="0" w:space="0" w:color="auto"/>
        <w:right w:val="none" w:sz="0" w:space="0" w:color="auto"/>
      </w:divBdr>
    </w:div>
    <w:div w:id="45302597">
      <w:bodyDiv w:val="1"/>
      <w:marLeft w:val="0"/>
      <w:marRight w:val="0"/>
      <w:marTop w:val="0"/>
      <w:marBottom w:val="0"/>
      <w:divBdr>
        <w:top w:val="none" w:sz="0" w:space="0" w:color="auto"/>
        <w:left w:val="none" w:sz="0" w:space="0" w:color="auto"/>
        <w:bottom w:val="none" w:sz="0" w:space="0" w:color="auto"/>
        <w:right w:val="none" w:sz="0" w:space="0" w:color="auto"/>
      </w:divBdr>
    </w:div>
    <w:div w:id="51466492">
      <w:bodyDiv w:val="1"/>
      <w:marLeft w:val="0"/>
      <w:marRight w:val="0"/>
      <w:marTop w:val="0"/>
      <w:marBottom w:val="0"/>
      <w:divBdr>
        <w:top w:val="none" w:sz="0" w:space="0" w:color="auto"/>
        <w:left w:val="none" w:sz="0" w:space="0" w:color="auto"/>
        <w:bottom w:val="none" w:sz="0" w:space="0" w:color="auto"/>
        <w:right w:val="none" w:sz="0" w:space="0" w:color="auto"/>
      </w:divBdr>
    </w:div>
    <w:div w:id="53815021">
      <w:bodyDiv w:val="1"/>
      <w:marLeft w:val="0"/>
      <w:marRight w:val="0"/>
      <w:marTop w:val="0"/>
      <w:marBottom w:val="0"/>
      <w:divBdr>
        <w:top w:val="none" w:sz="0" w:space="0" w:color="auto"/>
        <w:left w:val="none" w:sz="0" w:space="0" w:color="auto"/>
        <w:bottom w:val="none" w:sz="0" w:space="0" w:color="auto"/>
        <w:right w:val="none" w:sz="0" w:space="0" w:color="auto"/>
      </w:divBdr>
    </w:div>
    <w:div w:id="89207190">
      <w:bodyDiv w:val="1"/>
      <w:marLeft w:val="0"/>
      <w:marRight w:val="0"/>
      <w:marTop w:val="0"/>
      <w:marBottom w:val="0"/>
      <w:divBdr>
        <w:top w:val="none" w:sz="0" w:space="0" w:color="auto"/>
        <w:left w:val="none" w:sz="0" w:space="0" w:color="auto"/>
        <w:bottom w:val="none" w:sz="0" w:space="0" w:color="auto"/>
        <w:right w:val="none" w:sz="0" w:space="0" w:color="auto"/>
      </w:divBdr>
    </w:div>
    <w:div w:id="98838200">
      <w:bodyDiv w:val="1"/>
      <w:marLeft w:val="0"/>
      <w:marRight w:val="0"/>
      <w:marTop w:val="0"/>
      <w:marBottom w:val="0"/>
      <w:divBdr>
        <w:top w:val="none" w:sz="0" w:space="0" w:color="auto"/>
        <w:left w:val="none" w:sz="0" w:space="0" w:color="auto"/>
        <w:bottom w:val="none" w:sz="0" w:space="0" w:color="auto"/>
        <w:right w:val="none" w:sz="0" w:space="0" w:color="auto"/>
      </w:divBdr>
    </w:div>
    <w:div w:id="109856826">
      <w:bodyDiv w:val="1"/>
      <w:marLeft w:val="0"/>
      <w:marRight w:val="0"/>
      <w:marTop w:val="0"/>
      <w:marBottom w:val="0"/>
      <w:divBdr>
        <w:top w:val="none" w:sz="0" w:space="0" w:color="auto"/>
        <w:left w:val="none" w:sz="0" w:space="0" w:color="auto"/>
        <w:bottom w:val="none" w:sz="0" w:space="0" w:color="auto"/>
        <w:right w:val="none" w:sz="0" w:space="0" w:color="auto"/>
      </w:divBdr>
    </w:div>
    <w:div w:id="111486525">
      <w:bodyDiv w:val="1"/>
      <w:marLeft w:val="0"/>
      <w:marRight w:val="0"/>
      <w:marTop w:val="0"/>
      <w:marBottom w:val="0"/>
      <w:divBdr>
        <w:top w:val="none" w:sz="0" w:space="0" w:color="auto"/>
        <w:left w:val="none" w:sz="0" w:space="0" w:color="auto"/>
        <w:bottom w:val="none" w:sz="0" w:space="0" w:color="auto"/>
        <w:right w:val="none" w:sz="0" w:space="0" w:color="auto"/>
      </w:divBdr>
    </w:div>
    <w:div w:id="114175824">
      <w:bodyDiv w:val="1"/>
      <w:marLeft w:val="0"/>
      <w:marRight w:val="0"/>
      <w:marTop w:val="0"/>
      <w:marBottom w:val="0"/>
      <w:divBdr>
        <w:top w:val="none" w:sz="0" w:space="0" w:color="auto"/>
        <w:left w:val="none" w:sz="0" w:space="0" w:color="auto"/>
        <w:bottom w:val="none" w:sz="0" w:space="0" w:color="auto"/>
        <w:right w:val="none" w:sz="0" w:space="0" w:color="auto"/>
      </w:divBdr>
    </w:div>
    <w:div w:id="118647644">
      <w:bodyDiv w:val="1"/>
      <w:marLeft w:val="0"/>
      <w:marRight w:val="0"/>
      <w:marTop w:val="0"/>
      <w:marBottom w:val="0"/>
      <w:divBdr>
        <w:top w:val="none" w:sz="0" w:space="0" w:color="auto"/>
        <w:left w:val="none" w:sz="0" w:space="0" w:color="auto"/>
        <w:bottom w:val="none" w:sz="0" w:space="0" w:color="auto"/>
        <w:right w:val="none" w:sz="0" w:space="0" w:color="auto"/>
      </w:divBdr>
    </w:div>
    <w:div w:id="121966358">
      <w:bodyDiv w:val="1"/>
      <w:marLeft w:val="0"/>
      <w:marRight w:val="0"/>
      <w:marTop w:val="0"/>
      <w:marBottom w:val="0"/>
      <w:divBdr>
        <w:top w:val="none" w:sz="0" w:space="0" w:color="auto"/>
        <w:left w:val="none" w:sz="0" w:space="0" w:color="auto"/>
        <w:bottom w:val="none" w:sz="0" w:space="0" w:color="auto"/>
        <w:right w:val="none" w:sz="0" w:space="0" w:color="auto"/>
      </w:divBdr>
    </w:div>
    <w:div w:id="127863944">
      <w:bodyDiv w:val="1"/>
      <w:marLeft w:val="0"/>
      <w:marRight w:val="0"/>
      <w:marTop w:val="0"/>
      <w:marBottom w:val="0"/>
      <w:divBdr>
        <w:top w:val="none" w:sz="0" w:space="0" w:color="auto"/>
        <w:left w:val="none" w:sz="0" w:space="0" w:color="auto"/>
        <w:bottom w:val="none" w:sz="0" w:space="0" w:color="auto"/>
        <w:right w:val="none" w:sz="0" w:space="0" w:color="auto"/>
      </w:divBdr>
    </w:div>
    <w:div w:id="131677910">
      <w:bodyDiv w:val="1"/>
      <w:marLeft w:val="0"/>
      <w:marRight w:val="0"/>
      <w:marTop w:val="0"/>
      <w:marBottom w:val="0"/>
      <w:divBdr>
        <w:top w:val="none" w:sz="0" w:space="0" w:color="auto"/>
        <w:left w:val="none" w:sz="0" w:space="0" w:color="auto"/>
        <w:bottom w:val="none" w:sz="0" w:space="0" w:color="auto"/>
        <w:right w:val="none" w:sz="0" w:space="0" w:color="auto"/>
      </w:divBdr>
    </w:div>
    <w:div w:id="139269758">
      <w:bodyDiv w:val="1"/>
      <w:marLeft w:val="0"/>
      <w:marRight w:val="0"/>
      <w:marTop w:val="0"/>
      <w:marBottom w:val="0"/>
      <w:divBdr>
        <w:top w:val="none" w:sz="0" w:space="0" w:color="auto"/>
        <w:left w:val="none" w:sz="0" w:space="0" w:color="auto"/>
        <w:bottom w:val="none" w:sz="0" w:space="0" w:color="auto"/>
        <w:right w:val="none" w:sz="0" w:space="0" w:color="auto"/>
      </w:divBdr>
    </w:div>
    <w:div w:id="147213226">
      <w:bodyDiv w:val="1"/>
      <w:marLeft w:val="0"/>
      <w:marRight w:val="0"/>
      <w:marTop w:val="0"/>
      <w:marBottom w:val="0"/>
      <w:divBdr>
        <w:top w:val="none" w:sz="0" w:space="0" w:color="auto"/>
        <w:left w:val="none" w:sz="0" w:space="0" w:color="auto"/>
        <w:bottom w:val="none" w:sz="0" w:space="0" w:color="auto"/>
        <w:right w:val="none" w:sz="0" w:space="0" w:color="auto"/>
      </w:divBdr>
    </w:div>
    <w:div w:id="151914452">
      <w:bodyDiv w:val="1"/>
      <w:marLeft w:val="0"/>
      <w:marRight w:val="0"/>
      <w:marTop w:val="0"/>
      <w:marBottom w:val="0"/>
      <w:divBdr>
        <w:top w:val="none" w:sz="0" w:space="0" w:color="auto"/>
        <w:left w:val="none" w:sz="0" w:space="0" w:color="auto"/>
        <w:bottom w:val="none" w:sz="0" w:space="0" w:color="auto"/>
        <w:right w:val="none" w:sz="0" w:space="0" w:color="auto"/>
      </w:divBdr>
    </w:div>
    <w:div w:id="153883070">
      <w:bodyDiv w:val="1"/>
      <w:marLeft w:val="0"/>
      <w:marRight w:val="0"/>
      <w:marTop w:val="0"/>
      <w:marBottom w:val="0"/>
      <w:divBdr>
        <w:top w:val="none" w:sz="0" w:space="0" w:color="auto"/>
        <w:left w:val="none" w:sz="0" w:space="0" w:color="auto"/>
        <w:bottom w:val="none" w:sz="0" w:space="0" w:color="auto"/>
        <w:right w:val="none" w:sz="0" w:space="0" w:color="auto"/>
      </w:divBdr>
    </w:div>
    <w:div w:id="161119026">
      <w:bodyDiv w:val="1"/>
      <w:marLeft w:val="0"/>
      <w:marRight w:val="0"/>
      <w:marTop w:val="0"/>
      <w:marBottom w:val="0"/>
      <w:divBdr>
        <w:top w:val="none" w:sz="0" w:space="0" w:color="auto"/>
        <w:left w:val="none" w:sz="0" w:space="0" w:color="auto"/>
        <w:bottom w:val="none" w:sz="0" w:space="0" w:color="auto"/>
        <w:right w:val="none" w:sz="0" w:space="0" w:color="auto"/>
      </w:divBdr>
    </w:div>
    <w:div w:id="161437847">
      <w:bodyDiv w:val="1"/>
      <w:marLeft w:val="0"/>
      <w:marRight w:val="0"/>
      <w:marTop w:val="0"/>
      <w:marBottom w:val="0"/>
      <w:divBdr>
        <w:top w:val="none" w:sz="0" w:space="0" w:color="auto"/>
        <w:left w:val="none" w:sz="0" w:space="0" w:color="auto"/>
        <w:bottom w:val="none" w:sz="0" w:space="0" w:color="auto"/>
        <w:right w:val="none" w:sz="0" w:space="0" w:color="auto"/>
      </w:divBdr>
    </w:div>
    <w:div w:id="164981732">
      <w:bodyDiv w:val="1"/>
      <w:marLeft w:val="0"/>
      <w:marRight w:val="0"/>
      <w:marTop w:val="0"/>
      <w:marBottom w:val="0"/>
      <w:divBdr>
        <w:top w:val="none" w:sz="0" w:space="0" w:color="auto"/>
        <w:left w:val="none" w:sz="0" w:space="0" w:color="auto"/>
        <w:bottom w:val="none" w:sz="0" w:space="0" w:color="auto"/>
        <w:right w:val="none" w:sz="0" w:space="0" w:color="auto"/>
      </w:divBdr>
    </w:div>
    <w:div w:id="170411511">
      <w:bodyDiv w:val="1"/>
      <w:marLeft w:val="0"/>
      <w:marRight w:val="0"/>
      <w:marTop w:val="0"/>
      <w:marBottom w:val="0"/>
      <w:divBdr>
        <w:top w:val="none" w:sz="0" w:space="0" w:color="auto"/>
        <w:left w:val="none" w:sz="0" w:space="0" w:color="auto"/>
        <w:bottom w:val="none" w:sz="0" w:space="0" w:color="auto"/>
        <w:right w:val="none" w:sz="0" w:space="0" w:color="auto"/>
      </w:divBdr>
    </w:div>
    <w:div w:id="171191629">
      <w:bodyDiv w:val="1"/>
      <w:marLeft w:val="0"/>
      <w:marRight w:val="0"/>
      <w:marTop w:val="0"/>
      <w:marBottom w:val="0"/>
      <w:divBdr>
        <w:top w:val="none" w:sz="0" w:space="0" w:color="auto"/>
        <w:left w:val="none" w:sz="0" w:space="0" w:color="auto"/>
        <w:bottom w:val="none" w:sz="0" w:space="0" w:color="auto"/>
        <w:right w:val="none" w:sz="0" w:space="0" w:color="auto"/>
      </w:divBdr>
    </w:div>
    <w:div w:id="185798461">
      <w:bodyDiv w:val="1"/>
      <w:marLeft w:val="0"/>
      <w:marRight w:val="0"/>
      <w:marTop w:val="0"/>
      <w:marBottom w:val="0"/>
      <w:divBdr>
        <w:top w:val="none" w:sz="0" w:space="0" w:color="auto"/>
        <w:left w:val="none" w:sz="0" w:space="0" w:color="auto"/>
        <w:bottom w:val="none" w:sz="0" w:space="0" w:color="auto"/>
        <w:right w:val="none" w:sz="0" w:space="0" w:color="auto"/>
      </w:divBdr>
    </w:div>
    <w:div w:id="192771140">
      <w:bodyDiv w:val="1"/>
      <w:marLeft w:val="0"/>
      <w:marRight w:val="0"/>
      <w:marTop w:val="0"/>
      <w:marBottom w:val="0"/>
      <w:divBdr>
        <w:top w:val="none" w:sz="0" w:space="0" w:color="auto"/>
        <w:left w:val="none" w:sz="0" w:space="0" w:color="auto"/>
        <w:bottom w:val="none" w:sz="0" w:space="0" w:color="auto"/>
        <w:right w:val="none" w:sz="0" w:space="0" w:color="auto"/>
      </w:divBdr>
    </w:div>
    <w:div w:id="199512188">
      <w:bodyDiv w:val="1"/>
      <w:marLeft w:val="0"/>
      <w:marRight w:val="0"/>
      <w:marTop w:val="0"/>
      <w:marBottom w:val="0"/>
      <w:divBdr>
        <w:top w:val="none" w:sz="0" w:space="0" w:color="auto"/>
        <w:left w:val="none" w:sz="0" w:space="0" w:color="auto"/>
        <w:bottom w:val="none" w:sz="0" w:space="0" w:color="auto"/>
        <w:right w:val="none" w:sz="0" w:space="0" w:color="auto"/>
      </w:divBdr>
    </w:div>
    <w:div w:id="200217449">
      <w:bodyDiv w:val="1"/>
      <w:marLeft w:val="0"/>
      <w:marRight w:val="0"/>
      <w:marTop w:val="0"/>
      <w:marBottom w:val="0"/>
      <w:divBdr>
        <w:top w:val="none" w:sz="0" w:space="0" w:color="auto"/>
        <w:left w:val="none" w:sz="0" w:space="0" w:color="auto"/>
        <w:bottom w:val="none" w:sz="0" w:space="0" w:color="auto"/>
        <w:right w:val="none" w:sz="0" w:space="0" w:color="auto"/>
      </w:divBdr>
    </w:div>
    <w:div w:id="205794871">
      <w:bodyDiv w:val="1"/>
      <w:marLeft w:val="0"/>
      <w:marRight w:val="0"/>
      <w:marTop w:val="0"/>
      <w:marBottom w:val="0"/>
      <w:divBdr>
        <w:top w:val="none" w:sz="0" w:space="0" w:color="auto"/>
        <w:left w:val="none" w:sz="0" w:space="0" w:color="auto"/>
        <w:bottom w:val="none" w:sz="0" w:space="0" w:color="auto"/>
        <w:right w:val="none" w:sz="0" w:space="0" w:color="auto"/>
      </w:divBdr>
    </w:div>
    <w:div w:id="220989827">
      <w:bodyDiv w:val="1"/>
      <w:marLeft w:val="0"/>
      <w:marRight w:val="0"/>
      <w:marTop w:val="0"/>
      <w:marBottom w:val="0"/>
      <w:divBdr>
        <w:top w:val="none" w:sz="0" w:space="0" w:color="auto"/>
        <w:left w:val="none" w:sz="0" w:space="0" w:color="auto"/>
        <w:bottom w:val="none" w:sz="0" w:space="0" w:color="auto"/>
        <w:right w:val="none" w:sz="0" w:space="0" w:color="auto"/>
      </w:divBdr>
    </w:div>
    <w:div w:id="228544675">
      <w:bodyDiv w:val="1"/>
      <w:marLeft w:val="0"/>
      <w:marRight w:val="0"/>
      <w:marTop w:val="0"/>
      <w:marBottom w:val="0"/>
      <w:divBdr>
        <w:top w:val="none" w:sz="0" w:space="0" w:color="auto"/>
        <w:left w:val="none" w:sz="0" w:space="0" w:color="auto"/>
        <w:bottom w:val="none" w:sz="0" w:space="0" w:color="auto"/>
        <w:right w:val="none" w:sz="0" w:space="0" w:color="auto"/>
      </w:divBdr>
    </w:div>
    <w:div w:id="247348102">
      <w:bodyDiv w:val="1"/>
      <w:marLeft w:val="0"/>
      <w:marRight w:val="0"/>
      <w:marTop w:val="0"/>
      <w:marBottom w:val="0"/>
      <w:divBdr>
        <w:top w:val="none" w:sz="0" w:space="0" w:color="auto"/>
        <w:left w:val="none" w:sz="0" w:space="0" w:color="auto"/>
        <w:bottom w:val="none" w:sz="0" w:space="0" w:color="auto"/>
        <w:right w:val="none" w:sz="0" w:space="0" w:color="auto"/>
      </w:divBdr>
    </w:div>
    <w:div w:id="256794602">
      <w:bodyDiv w:val="1"/>
      <w:marLeft w:val="0"/>
      <w:marRight w:val="0"/>
      <w:marTop w:val="0"/>
      <w:marBottom w:val="0"/>
      <w:divBdr>
        <w:top w:val="none" w:sz="0" w:space="0" w:color="auto"/>
        <w:left w:val="none" w:sz="0" w:space="0" w:color="auto"/>
        <w:bottom w:val="none" w:sz="0" w:space="0" w:color="auto"/>
        <w:right w:val="none" w:sz="0" w:space="0" w:color="auto"/>
      </w:divBdr>
    </w:div>
    <w:div w:id="262691602">
      <w:bodyDiv w:val="1"/>
      <w:marLeft w:val="0"/>
      <w:marRight w:val="0"/>
      <w:marTop w:val="0"/>
      <w:marBottom w:val="0"/>
      <w:divBdr>
        <w:top w:val="none" w:sz="0" w:space="0" w:color="auto"/>
        <w:left w:val="none" w:sz="0" w:space="0" w:color="auto"/>
        <w:bottom w:val="none" w:sz="0" w:space="0" w:color="auto"/>
        <w:right w:val="none" w:sz="0" w:space="0" w:color="auto"/>
      </w:divBdr>
    </w:div>
    <w:div w:id="269095423">
      <w:bodyDiv w:val="1"/>
      <w:marLeft w:val="0"/>
      <w:marRight w:val="0"/>
      <w:marTop w:val="0"/>
      <w:marBottom w:val="0"/>
      <w:divBdr>
        <w:top w:val="none" w:sz="0" w:space="0" w:color="auto"/>
        <w:left w:val="none" w:sz="0" w:space="0" w:color="auto"/>
        <w:bottom w:val="none" w:sz="0" w:space="0" w:color="auto"/>
        <w:right w:val="none" w:sz="0" w:space="0" w:color="auto"/>
      </w:divBdr>
    </w:div>
    <w:div w:id="273219895">
      <w:bodyDiv w:val="1"/>
      <w:marLeft w:val="0"/>
      <w:marRight w:val="0"/>
      <w:marTop w:val="0"/>
      <w:marBottom w:val="0"/>
      <w:divBdr>
        <w:top w:val="none" w:sz="0" w:space="0" w:color="auto"/>
        <w:left w:val="none" w:sz="0" w:space="0" w:color="auto"/>
        <w:bottom w:val="none" w:sz="0" w:space="0" w:color="auto"/>
        <w:right w:val="none" w:sz="0" w:space="0" w:color="auto"/>
      </w:divBdr>
    </w:div>
    <w:div w:id="275599768">
      <w:bodyDiv w:val="1"/>
      <w:marLeft w:val="0"/>
      <w:marRight w:val="0"/>
      <w:marTop w:val="0"/>
      <w:marBottom w:val="0"/>
      <w:divBdr>
        <w:top w:val="none" w:sz="0" w:space="0" w:color="auto"/>
        <w:left w:val="none" w:sz="0" w:space="0" w:color="auto"/>
        <w:bottom w:val="none" w:sz="0" w:space="0" w:color="auto"/>
        <w:right w:val="none" w:sz="0" w:space="0" w:color="auto"/>
      </w:divBdr>
    </w:div>
    <w:div w:id="276451367">
      <w:bodyDiv w:val="1"/>
      <w:marLeft w:val="0"/>
      <w:marRight w:val="0"/>
      <w:marTop w:val="0"/>
      <w:marBottom w:val="0"/>
      <w:divBdr>
        <w:top w:val="none" w:sz="0" w:space="0" w:color="auto"/>
        <w:left w:val="none" w:sz="0" w:space="0" w:color="auto"/>
        <w:bottom w:val="none" w:sz="0" w:space="0" w:color="auto"/>
        <w:right w:val="none" w:sz="0" w:space="0" w:color="auto"/>
      </w:divBdr>
    </w:div>
    <w:div w:id="287317654">
      <w:bodyDiv w:val="1"/>
      <w:marLeft w:val="0"/>
      <w:marRight w:val="0"/>
      <w:marTop w:val="0"/>
      <w:marBottom w:val="0"/>
      <w:divBdr>
        <w:top w:val="none" w:sz="0" w:space="0" w:color="auto"/>
        <w:left w:val="none" w:sz="0" w:space="0" w:color="auto"/>
        <w:bottom w:val="none" w:sz="0" w:space="0" w:color="auto"/>
        <w:right w:val="none" w:sz="0" w:space="0" w:color="auto"/>
      </w:divBdr>
    </w:div>
    <w:div w:id="297075016">
      <w:bodyDiv w:val="1"/>
      <w:marLeft w:val="0"/>
      <w:marRight w:val="0"/>
      <w:marTop w:val="0"/>
      <w:marBottom w:val="0"/>
      <w:divBdr>
        <w:top w:val="none" w:sz="0" w:space="0" w:color="auto"/>
        <w:left w:val="none" w:sz="0" w:space="0" w:color="auto"/>
        <w:bottom w:val="none" w:sz="0" w:space="0" w:color="auto"/>
        <w:right w:val="none" w:sz="0" w:space="0" w:color="auto"/>
      </w:divBdr>
    </w:div>
    <w:div w:id="310251721">
      <w:bodyDiv w:val="1"/>
      <w:marLeft w:val="0"/>
      <w:marRight w:val="0"/>
      <w:marTop w:val="0"/>
      <w:marBottom w:val="0"/>
      <w:divBdr>
        <w:top w:val="none" w:sz="0" w:space="0" w:color="auto"/>
        <w:left w:val="none" w:sz="0" w:space="0" w:color="auto"/>
        <w:bottom w:val="none" w:sz="0" w:space="0" w:color="auto"/>
        <w:right w:val="none" w:sz="0" w:space="0" w:color="auto"/>
      </w:divBdr>
    </w:div>
    <w:div w:id="357005776">
      <w:bodyDiv w:val="1"/>
      <w:marLeft w:val="0"/>
      <w:marRight w:val="0"/>
      <w:marTop w:val="0"/>
      <w:marBottom w:val="0"/>
      <w:divBdr>
        <w:top w:val="none" w:sz="0" w:space="0" w:color="auto"/>
        <w:left w:val="none" w:sz="0" w:space="0" w:color="auto"/>
        <w:bottom w:val="none" w:sz="0" w:space="0" w:color="auto"/>
        <w:right w:val="none" w:sz="0" w:space="0" w:color="auto"/>
      </w:divBdr>
    </w:div>
    <w:div w:id="362629872">
      <w:bodyDiv w:val="1"/>
      <w:marLeft w:val="0"/>
      <w:marRight w:val="0"/>
      <w:marTop w:val="0"/>
      <w:marBottom w:val="0"/>
      <w:divBdr>
        <w:top w:val="none" w:sz="0" w:space="0" w:color="auto"/>
        <w:left w:val="none" w:sz="0" w:space="0" w:color="auto"/>
        <w:bottom w:val="none" w:sz="0" w:space="0" w:color="auto"/>
        <w:right w:val="none" w:sz="0" w:space="0" w:color="auto"/>
      </w:divBdr>
    </w:div>
    <w:div w:id="368381317">
      <w:bodyDiv w:val="1"/>
      <w:marLeft w:val="0"/>
      <w:marRight w:val="0"/>
      <w:marTop w:val="0"/>
      <w:marBottom w:val="0"/>
      <w:divBdr>
        <w:top w:val="none" w:sz="0" w:space="0" w:color="auto"/>
        <w:left w:val="none" w:sz="0" w:space="0" w:color="auto"/>
        <w:bottom w:val="none" w:sz="0" w:space="0" w:color="auto"/>
        <w:right w:val="none" w:sz="0" w:space="0" w:color="auto"/>
      </w:divBdr>
    </w:div>
    <w:div w:id="371804279">
      <w:bodyDiv w:val="1"/>
      <w:marLeft w:val="0"/>
      <w:marRight w:val="0"/>
      <w:marTop w:val="0"/>
      <w:marBottom w:val="0"/>
      <w:divBdr>
        <w:top w:val="none" w:sz="0" w:space="0" w:color="auto"/>
        <w:left w:val="none" w:sz="0" w:space="0" w:color="auto"/>
        <w:bottom w:val="none" w:sz="0" w:space="0" w:color="auto"/>
        <w:right w:val="none" w:sz="0" w:space="0" w:color="auto"/>
      </w:divBdr>
    </w:div>
    <w:div w:id="373889900">
      <w:bodyDiv w:val="1"/>
      <w:marLeft w:val="0"/>
      <w:marRight w:val="0"/>
      <w:marTop w:val="0"/>
      <w:marBottom w:val="0"/>
      <w:divBdr>
        <w:top w:val="none" w:sz="0" w:space="0" w:color="auto"/>
        <w:left w:val="none" w:sz="0" w:space="0" w:color="auto"/>
        <w:bottom w:val="none" w:sz="0" w:space="0" w:color="auto"/>
        <w:right w:val="none" w:sz="0" w:space="0" w:color="auto"/>
      </w:divBdr>
    </w:div>
    <w:div w:id="375129427">
      <w:bodyDiv w:val="1"/>
      <w:marLeft w:val="0"/>
      <w:marRight w:val="0"/>
      <w:marTop w:val="0"/>
      <w:marBottom w:val="0"/>
      <w:divBdr>
        <w:top w:val="none" w:sz="0" w:space="0" w:color="auto"/>
        <w:left w:val="none" w:sz="0" w:space="0" w:color="auto"/>
        <w:bottom w:val="none" w:sz="0" w:space="0" w:color="auto"/>
        <w:right w:val="none" w:sz="0" w:space="0" w:color="auto"/>
      </w:divBdr>
    </w:div>
    <w:div w:id="379667790">
      <w:bodyDiv w:val="1"/>
      <w:marLeft w:val="0"/>
      <w:marRight w:val="0"/>
      <w:marTop w:val="0"/>
      <w:marBottom w:val="0"/>
      <w:divBdr>
        <w:top w:val="none" w:sz="0" w:space="0" w:color="auto"/>
        <w:left w:val="none" w:sz="0" w:space="0" w:color="auto"/>
        <w:bottom w:val="none" w:sz="0" w:space="0" w:color="auto"/>
        <w:right w:val="none" w:sz="0" w:space="0" w:color="auto"/>
      </w:divBdr>
    </w:div>
    <w:div w:id="392780678">
      <w:bodyDiv w:val="1"/>
      <w:marLeft w:val="0"/>
      <w:marRight w:val="0"/>
      <w:marTop w:val="0"/>
      <w:marBottom w:val="0"/>
      <w:divBdr>
        <w:top w:val="none" w:sz="0" w:space="0" w:color="auto"/>
        <w:left w:val="none" w:sz="0" w:space="0" w:color="auto"/>
        <w:bottom w:val="none" w:sz="0" w:space="0" w:color="auto"/>
        <w:right w:val="none" w:sz="0" w:space="0" w:color="auto"/>
      </w:divBdr>
    </w:div>
    <w:div w:id="395009315">
      <w:bodyDiv w:val="1"/>
      <w:marLeft w:val="0"/>
      <w:marRight w:val="0"/>
      <w:marTop w:val="0"/>
      <w:marBottom w:val="0"/>
      <w:divBdr>
        <w:top w:val="none" w:sz="0" w:space="0" w:color="auto"/>
        <w:left w:val="none" w:sz="0" w:space="0" w:color="auto"/>
        <w:bottom w:val="none" w:sz="0" w:space="0" w:color="auto"/>
        <w:right w:val="none" w:sz="0" w:space="0" w:color="auto"/>
      </w:divBdr>
    </w:div>
    <w:div w:id="401562134">
      <w:bodyDiv w:val="1"/>
      <w:marLeft w:val="0"/>
      <w:marRight w:val="0"/>
      <w:marTop w:val="0"/>
      <w:marBottom w:val="0"/>
      <w:divBdr>
        <w:top w:val="none" w:sz="0" w:space="0" w:color="auto"/>
        <w:left w:val="none" w:sz="0" w:space="0" w:color="auto"/>
        <w:bottom w:val="none" w:sz="0" w:space="0" w:color="auto"/>
        <w:right w:val="none" w:sz="0" w:space="0" w:color="auto"/>
      </w:divBdr>
    </w:div>
    <w:div w:id="401758770">
      <w:bodyDiv w:val="1"/>
      <w:marLeft w:val="0"/>
      <w:marRight w:val="0"/>
      <w:marTop w:val="0"/>
      <w:marBottom w:val="0"/>
      <w:divBdr>
        <w:top w:val="none" w:sz="0" w:space="0" w:color="auto"/>
        <w:left w:val="none" w:sz="0" w:space="0" w:color="auto"/>
        <w:bottom w:val="none" w:sz="0" w:space="0" w:color="auto"/>
        <w:right w:val="none" w:sz="0" w:space="0" w:color="auto"/>
      </w:divBdr>
    </w:div>
    <w:div w:id="403796913">
      <w:bodyDiv w:val="1"/>
      <w:marLeft w:val="0"/>
      <w:marRight w:val="0"/>
      <w:marTop w:val="0"/>
      <w:marBottom w:val="0"/>
      <w:divBdr>
        <w:top w:val="none" w:sz="0" w:space="0" w:color="auto"/>
        <w:left w:val="none" w:sz="0" w:space="0" w:color="auto"/>
        <w:bottom w:val="none" w:sz="0" w:space="0" w:color="auto"/>
        <w:right w:val="none" w:sz="0" w:space="0" w:color="auto"/>
      </w:divBdr>
    </w:div>
    <w:div w:id="411970355">
      <w:bodyDiv w:val="1"/>
      <w:marLeft w:val="0"/>
      <w:marRight w:val="0"/>
      <w:marTop w:val="0"/>
      <w:marBottom w:val="0"/>
      <w:divBdr>
        <w:top w:val="none" w:sz="0" w:space="0" w:color="auto"/>
        <w:left w:val="none" w:sz="0" w:space="0" w:color="auto"/>
        <w:bottom w:val="none" w:sz="0" w:space="0" w:color="auto"/>
        <w:right w:val="none" w:sz="0" w:space="0" w:color="auto"/>
      </w:divBdr>
    </w:div>
    <w:div w:id="412362184">
      <w:bodyDiv w:val="1"/>
      <w:marLeft w:val="0"/>
      <w:marRight w:val="0"/>
      <w:marTop w:val="0"/>
      <w:marBottom w:val="0"/>
      <w:divBdr>
        <w:top w:val="none" w:sz="0" w:space="0" w:color="auto"/>
        <w:left w:val="none" w:sz="0" w:space="0" w:color="auto"/>
        <w:bottom w:val="none" w:sz="0" w:space="0" w:color="auto"/>
        <w:right w:val="none" w:sz="0" w:space="0" w:color="auto"/>
      </w:divBdr>
    </w:div>
    <w:div w:id="415134706">
      <w:bodyDiv w:val="1"/>
      <w:marLeft w:val="0"/>
      <w:marRight w:val="0"/>
      <w:marTop w:val="0"/>
      <w:marBottom w:val="0"/>
      <w:divBdr>
        <w:top w:val="none" w:sz="0" w:space="0" w:color="auto"/>
        <w:left w:val="none" w:sz="0" w:space="0" w:color="auto"/>
        <w:bottom w:val="none" w:sz="0" w:space="0" w:color="auto"/>
        <w:right w:val="none" w:sz="0" w:space="0" w:color="auto"/>
      </w:divBdr>
    </w:div>
    <w:div w:id="419448605">
      <w:bodyDiv w:val="1"/>
      <w:marLeft w:val="0"/>
      <w:marRight w:val="0"/>
      <w:marTop w:val="0"/>
      <w:marBottom w:val="0"/>
      <w:divBdr>
        <w:top w:val="none" w:sz="0" w:space="0" w:color="auto"/>
        <w:left w:val="none" w:sz="0" w:space="0" w:color="auto"/>
        <w:bottom w:val="none" w:sz="0" w:space="0" w:color="auto"/>
        <w:right w:val="none" w:sz="0" w:space="0" w:color="auto"/>
      </w:divBdr>
    </w:div>
    <w:div w:id="423918796">
      <w:bodyDiv w:val="1"/>
      <w:marLeft w:val="0"/>
      <w:marRight w:val="0"/>
      <w:marTop w:val="0"/>
      <w:marBottom w:val="0"/>
      <w:divBdr>
        <w:top w:val="none" w:sz="0" w:space="0" w:color="auto"/>
        <w:left w:val="none" w:sz="0" w:space="0" w:color="auto"/>
        <w:bottom w:val="none" w:sz="0" w:space="0" w:color="auto"/>
        <w:right w:val="none" w:sz="0" w:space="0" w:color="auto"/>
      </w:divBdr>
    </w:div>
    <w:div w:id="430786153">
      <w:bodyDiv w:val="1"/>
      <w:marLeft w:val="0"/>
      <w:marRight w:val="0"/>
      <w:marTop w:val="0"/>
      <w:marBottom w:val="0"/>
      <w:divBdr>
        <w:top w:val="none" w:sz="0" w:space="0" w:color="auto"/>
        <w:left w:val="none" w:sz="0" w:space="0" w:color="auto"/>
        <w:bottom w:val="none" w:sz="0" w:space="0" w:color="auto"/>
        <w:right w:val="none" w:sz="0" w:space="0" w:color="auto"/>
      </w:divBdr>
    </w:div>
    <w:div w:id="432437591">
      <w:bodyDiv w:val="1"/>
      <w:marLeft w:val="0"/>
      <w:marRight w:val="0"/>
      <w:marTop w:val="0"/>
      <w:marBottom w:val="0"/>
      <w:divBdr>
        <w:top w:val="none" w:sz="0" w:space="0" w:color="auto"/>
        <w:left w:val="none" w:sz="0" w:space="0" w:color="auto"/>
        <w:bottom w:val="none" w:sz="0" w:space="0" w:color="auto"/>
        <w:right w:val="none" w:sz="0" w:space="0" w:color="auto"/>
      </w:divBdr>
    </w:div>
    <w:div w:id="437675186">
      <w:bodyDiv w:val="1"/>
      <w:marLeft w:val="0"/>
      <w:marRight w:val="0"/>
      <w:marTop w:val="0"/>
      <w:marBottom w:val="0"/>
      <w:divBdr>
        <w:top w:val="none" w:sz="0" w:space="0" w:color="auto"/>
        <w:left w:val="none" w:sz="0" w:space="0" w:color="auto"/>
        <w:bottom w:val="none" w:sz="0" w:space="0" w:color="auto"/>
        <w:right w:val="none" w:sz="0" w:space="0" w:color="auto"/>
      </w:divBdr>
    </w:div>
    <w:div w:id="439759650">
      <w:bodyDiv w:val="1"/>
      <w:marLeft w:val="0"/>
      <w:marRight w:val="0"/>
      <w:marTop w:val="0"/>
      <w:marBottom w:val="0"/>
      <w:divBdr>
        <w:top w:val="none" w:sz="0" w:space="0" w:color="auto"/>
        <w:left w:val="none" w:sz="0" w:space="0" w:color="auto"/>
        <w:bottom w:val="none" w:sz="0" w:space="0" w:color="auto"/>
        <w:right w:val="none" w:sz="0" w:space="0" w:color="auto"/>
      </w:divBdr>
    </w:div>
    <w:div w:id="445539018">
      <w:bodyDiv w:val="1"/>
      <w:marLeft w:val="0"/>
      <w:marRight w:val="0"/>
      <w:marTop w:val="0"/>
      <w:marBottom w:val="0"/>
      <w:divBdr>
        <w:top w:val="none" w:sz="0" w:space="0" w:color="auto"/>
        <w:left w:val="none" w:sz="0" w:space="0" w:color="auto"/>
        <w:bottom w:val="none" w:sz="0" w:space="0" w:color="auto"/>
        <w:right w:val="none" w:sz="0" w:space="0" w:color="auto"/>
      </w:divBdr>
    </w:div>
    <w:div w:id="451826609">
      <w:bodyDiv w:val="1"/>
      <w:marLeft w:val="0"/>
      <w:marRight w:val="0"/>
      <w:marTop w:val="0"/>
      <w:marBottom w:val="0"/>
      <w:divBdr>
        <w:top w:val="none" w:sz="0" w:space="0" w:color="auto"/>
        <w:left w:val="none" w:sz="0" w:space="0" w:color="auto"/>
        <w:bottom w:val="none" w:sz="0" w:space="0" w:color="auto"/>
        <w:right w:val="none" w:sz="0" w:space="0" w:color="auto"/>
      </w:divBdr>
    </w:div>
    <w:div w:id="452746893">
      <w:bodyDiv w:val="1"/>
      <w:marLeft w:val="0"/>
      <w:marRight w:val="0"/>
      <w:marTop w:val="0"/>
      <w:marBottom w:val="0"/>
      <w:divBdr>
        <w:top w:val="none" w:sz="0" w:space="0" w:color="auto"/>
        <w:left w:val="none" w:sz="0" w:space="0" w:color="auto"/>
        <w:bottom w:val="none" w:sz="0" w:space="0" w:color="auto"/>
        <w:right w:val="none" w:sz="0" w:space="0" w:color="auto"/>
      </w:divBdr>
    </w:div>
    <w:div w:id="454834468">
      <w:bodyDiv w:val="1"/>
      <w:marLeft w:val="0"/>
      <w:marRight w:val="0"/>
      <w:marTop w:val="0"/>
      <w:marBottom w:val="0"/>
      <w:divBdr>
        <w:top w:val="none" w:sz="0" w:space="0" w:color="auto"/>
        <w:left w:val="none" w:sz="0" w:space="0" w:color="auto"/>
        <w:bottom w:val="none" w:sz="0" w:space="0" w:color="auto"/>
        <w:right w:val="none" w:sz="0" w:space="0" w:color="auto"/>
      </w:divBdr>
    </w:div>
    <w:div w:id="461995000">
      <w:bodyDiv w:val="1"/>
      <w:marLeft w:val="0"/>
      <w:marRight w:val="0"/>
      <w:marTop w:val="0"/>
      <w:marBottom w:val="0"/>
      <w:divBdr>
        <w:top w:val="none" w:sz="0" w:space="0" w:color="auto"/>
        <w:left w:val="none" w:sz="0" w:space="0" w:color="auto"/>
        <w:bottom w:val="none" w:sz="0" w:space="0" w:color="auto"/>
        <w:right w:val="none" w:sz="0" w:space="0" w:color="auto"/>
      </w:divBdr>
    </w:div>
    <w:div w:id="465507524">
      <w:bodyDiv w:val="1"/>
      <w:marLeft w:val="0"/>
      <w:marRight w:val="0"/>
      <w:marTop w:val="0"/>
      <w:marBottom w:val="0"/>
      <w:divBdr>
        <w:top w:val="none" w:sz="0" w:space="0" w:color="auto"/>
        <w:left w:val="none" w:sz="0" w:space="0" w:color="auto"/>
        <w:bottom w:val="none" w:sz="0" w:space="0" w:color="auto"/>
        <w:right w:val="none" w:sz="0" w:space="0" w:color="auto"/>
      </w:divBdr>
    </w:div>
    <w:div w:id="466506827">
      <w:bodyDiv w:val="1"/>
      <w:marLeft w:val="0"/>
      <w:marRight w:val="0"/>
      <w:marTop w:val="0"/>
      <w:marBottom w:val="0"/>
      <w:divBdr>
        <w:top w:val="none" w:sz="0" w:space="0" w:color="auto"/>
        <w:left w:val="none" w:sz="0" w:space="0" w:color="auto"/>
        <w:bottom w:val="none" w:sz="0" w:space="0" w:color="auto"/>
        <w:right w:val="none" w:sz="0" w:space="0" w:color="auto"/>
      </w:divBdr>
    </w:div>
    <w:div w:id="473452070">
      <w:bodyDiv w:val="1"/>
      <w:marLeft w:val="0"/>
      <w:marRight w:val="0"/>
      <w:marTop w:val="0"/>
      <w:marBottom w:val="0"/>
      <w:divBdr>
        <w:top w:val="none" w:sz="0" w:space="0" w:color="auto"/>
        <w:left w:val="none" w:sz="0" w:space="0" w:color="auto"/>
        <w:bottom w:val="none" w:sz="0" w:space="0" w:color="auto"/>
        <w:right w:val="none" w:sz="0" w:space="0" w:color="auto"/>
      </w:divBdr>
    </w:div>
    <w:div w:id="473762029">
      <w:bodyDiv w:val="1"/>
      <w:marLeft w:val="0"/>
      <w:marRight w:val="0"/>
      <w:marTop w:val="0"/>
      <w:marBottom w:val="0"/>
      <w:divBdr>
        <w:top w:val="none" w:sz="0" w:space="0" w:color="auto"/>
        <w:left w:val="none" w:sz="0" w:space="0" w:color="auto"/>
        <w:bottom w:val="none" w:sz="0" w:space="0" w:color="auto"/>
        <w:right w:val="none" w:sz="0" w:space="0" w:color="auto"/>
      </w:divBdr>
    </w:div>
    <w:div w:id="474641364">
      <w:bodyDiv w:val="1"/>
      <w:marLeft w:val="0"/>
      <w:marRight w:val="0"/>
      <w:marTop w:val="0"/>
      <w:marBottom w:val="0"/>
      <w:divBdr>
        <w:top w:val="none" w:sz="0" w:space="0" w:color="auto"/>
        <w:left w:val="none" w:sz="0" w:space="0" w:color="auto"/>
        <w:bottom w:val="none" w:sz="0" w:space="0" w:color="auto"/>
        <w:right w:val="none" w:sz="0" w:space="0" w:color="auto"/>
      </w:divBdr>
    </w:div>
    <w:div w:id="475729987">
      <w:bodyDiv w:val="1"/>
      <w:marLeft w:val="0"/>
      <w:marRight w:val="0"/>
      <w:marTop w:val="0"/>
      <w:marBottom w:val="0"/>
      <w:divBdr>
        <w:top w:val="none" w:sz="0" w:space="0" w:color="auto"/>
        <w:left w:val="none" w:sz="0" w:space="0" w:color="auto"/>
        <w:bottom w:val="none" w:sz="0" w:space="0" w:color="auto"/>
        <w:right w:val="none" w:sz="0" w:space="0" w:color="auto"/>
      </w:divBdr>
    </w:div>
    <w:div w:id="485557085">
      <w:bodyDiv w:val="1"/>
      <w:marLeft w:val="0"/>
      <w:marRight w:val="0"/>
      <w:marTop w:val="0"/>
      <w:marBottom w:val="0"/>
      <w:divBdr>
        <w:top w:val="none" w:sz="0" w:space="0" w:color="auto"/>
        <w:left w:val="none" w:sz="0" w:space="0" w:color="auto"/>
        <w:bottom w:val="none" w:sz="0" w:space="0" w:color="auto"/>
        <w:right w:val="none" w:sz="0" w:space="0" w:color="auto"/>
      </w:divBdr>
    </w:div>
    <w:div w:id="498034846">
      <w:bodyDiv w:val="1"/>
      <w:marLeft w:val="0"/>
      <w:marRight w:val="0"/>
      <w:marTop w:val="0"/>
      <w:marBottom w:val="0"/>
      <w:divBdr>
        <w:top w:val="none" w:sz="0" w:space="0" w:color="auto"/>
        <w:left w:val="none" w:sz="0" w:space="0" w:color="auto"/>
        <w:bottom w:val="none" w:sz="0" w:space="0" w:color="auto"/>
        <w:right w:val="none" w:sz="0" w:space="0" w:color="auto"/>
      </w:divBdr>
    </w:div>
    <w:div w:id="511147320">
      <w:bodyDiv w:val="1"/>
      <w:marLeft w:val="0"/>
      <w:marRight w:val="0"/>
      <w:marTop w:val="0"/>
      <w:marBottom w:val="0"/>
      <w:divBdr>
        <w:top w:val="none" w:sz="0" w:space="0" w:color="auto"/>
        <w:left w:val="none" w:sz="0" w:space="0" w:color="auto"/>
        <w:bottom w:val="none" w:sz="0" w:space="0" w:color="auto"/>
        <w:right w:val="none" w:sz="0" w:space="0" w:color="auto"/>
      </w:divBdr>
    </w:div>
    <w:div w:id="518159059">
      <w:bodyDiv w:val="1"/>
      <w:marLeft w:val="0"/>
      <w:marRight w:val="0"/>
      <w:marTop w:val="0"/>
      <w:marBottom w:val="0"/>
      <w:divBdr>
        <w:top w:val="none" w:sz="0" w:space="0" w:color="auto"/>
        <w:left w:val="none" w:sz="0" w:space="0" w:color="auto"/>
        <w:bottom w:val="none" w:sz="0" w:space="0" w:color="auto"/>
        <w:right w:val="none" w:sz="0" w:space="0" w:color="auto"/>
      </w:divBdr>
    </w:div>
    <w:div w:id="528759183">
      <w:bodyDiv w:val="1"/>
      <w:marLeft w:val="0"/>
      <w:marRight w:val="0"/>
      <w:marTop w:val="0"/>
      <w:marBottom w:val="0"/>
      <w:divBdr>
        <w:top w:val="none" w:sz="0" w:space="0" w:color="auto"/>
        <w:left w:val="none" w:sz="0" w:space="0" w:color="auto"/>
        <w:bottom w:val="none" w:sz="0" w:space="0" w:color="auto"/>
        <w:right w:val="none" w:sz="0" w:space="0" w:color="auto"/>
      </w:divBdr>
    </w:div>
    <w:div w:id="537471225">
      <w:bodyDiv w:val="1"/>
      <w:marLeft w:val="0"/>
      <w:marRight w:val="0"/>
      <w:marTop w:val="0"/>
      <w:marBottom w:val="0"/>
      <w:divBdr>
        <w:top w:val="none" w:sz="0" w:space="0" w:color="auto"/>
        <w:left w:val="none" w:sz="0" w:space="0" w:color="auto"/>
        <w:bottom w:val="none" w:sz="0" w:space="0" w:color="auto"/>
        <w:right w:val="none" w:sz="0" w:space="0" w:color="auto"/>
      </w:divBdr>
    </w:div>
    <w:div w:id="542984255">
      <w:bodyDiv w:val="1"/>
      <w:marLeft w:val="0"/>
      <w:marRight w:val="0"/>
      <w:marTop w:val="0"/>
      <w:marBottom w:val="0"/>
      <w:divBdr>
        <w:top w:val="none" w:sz="0" w:space="0" w:color="auto"/>
        <w:left w:val="none" w:sz="0" w:space="0" w:color="auto"/>
        <w:bottom w:val="none" w:sz="0" w:space="0" w:color="auto"/>
        <w:right w:val="none" w:sz="0" w:space="0" w:color="auto"/>
      </w:divBdr>
    </w:div>
    <w:div w:id="551428536">
      <w:bodyDiv w:val="1"/>
      <w:marLeft w:val="0"/>
      <w:marRight w:val="0"/>
      <w:marTop w:val="0"/>
      <w:marBottom w:val="0"/>
      <w:divBdr>
        <w:top w:val="none" w:sz="0" w:space="0" w:color="auto"/>
        <w:left w:val="none" w:sz="0" w:space="0" w:color="auto"/>
        <w:bottom w:val="none" w:sz="0" w:space="0" w:color="auto"/>
        <w:right w:val="none" w:sz="0" w:space="0" w:color="auto"/>
      </w:divBdr>
    </w:div>
    <w:div w:id="557791246">
      <w:bodyDiv w:val="1"/>
      <w:marLeft w:val="0"/>
      <w:marRight w:val="0"/>
      <w:marTop w:val="0"/>
      <w:marBottom w:val="0"/>
      <w:divBdr>
        <w:top w:val="none" w:sz="0" w:space="0" w:color="auto"/>
        <w:left w:val="none" w:sz="0" w:space="0" w:color="auto"/>
        <w:bottom w:val="none" w:sz="0" w:space="0" w:color="auto"/>
        <w:right w:val="none" w:sz="0" w:space="0" w:color="auto"/>
      </w:divBdr>
    </w:div>
    <w:div w:id="559171190">
      <w:bodyDiv w:val="1"/>
      <w:marLeft w:val="0"/>
      <w:marRight w:val="0"/>
      <w:marTop w:val="0"/>
      <w:marBottom w:val="0"/>
      <w:divBdr>
        <w:top w:val="none" w:sz="0" w:space="0" w:color="auto"/>
        <w:left w:val="none" w:sz="0" w:space="0" w:color="auto"/>
        <w:bottom w:val="none" w:sz="0" w:space="0" w:color="auto"/>
        <w:right w:val="none" w:sz="0" w:space="0" w:color="auto"/>
      </w:divBdr>
    </w:div>
    <w:div w:id="562908314">
      <w:bodyDiv w:val="1"/>
      <w:marLeft w:val="0"/>
      <w:marRight w:val="0"/>
      <w:marTop w:val="0"/>
      <w:marBottom w:val="0"/>
      <w:divBdr>
        <w:top w:val="none" w:sz="0" w:space="0" w:color="auto"/>
        <w:left w:val="none" w:sz="0" w:space="0" w:color="auto"/>
        <w:bottom w:val="none" w:sz="0" w:space="0" w:color="auto"/>
        <w:right w:val="none" w:sz="0" w:space="0" w:color="auto"/>
      </w:divBdr>
    </w:div>
    <w:div w:id="563876897">
      <w:bodyDiv w:val="1"/>
      <w:marLeft w:val="0"/>
      <w:marRight w:val="0"/>
      <w:marTop w:val="0"/>
      <w:marBottom w:val="0"/>
      <w:divBdr>
        <w:top w:val="none" w:sz="0" w:space="0" w:color="auto"/>
        <w:left w:val="none" w:sz="0" w:space="0" w:color="auto"/>
        <w:bottom w:val="none" w:sz="0" w:space="0" w:color="auto"/>
        <w:right w:val="none" w:sz="0" w:space="0" w:color="auto"/>
      </w:divBdr>
    </w:div>
    <w:div w:id="597107092">
      <w:bodyDiv w:val="1"/>
      <w:marLeft w:val="0"/>
      <w:marRight w:val="0"/>
      <w:marTop w:val="0"/>
      <w:marBottom w:val="0"/>
      <w:divBdr>
        <w:top w:val="none" w:sz="0" w:space="0" w:color="auto"/>
        <w:left w:val="none" w:sz="0" w:space="0" w:color="auto"/>
        <w:bottom w:val="none" w:sz="0" w:space="0" w:color="auto"/>
        <w:right w:val="none" w:sz="0" w:space="0" w:color="auto"/>
      </w:divBdr>
    </w:div>
    <w:div w:id="598411360">
      <w:bodyDiv w:val="1"/>
      <w:marLeft w:val="0"/>
      <w:marRight w:val="0"/>
      <w:marTop w:val="0"/>
      <w:marBottom w:val="0"/>
      <w:divBdr>
        <w:top w:val="none" w:sz="0" w:space="0" w:color="auto"/>
        <w:left w:val="none" w:sz="0" w:space="0" w:color="auto"/>
        <w:bottom w:val="none" w:sz="0" w:space="0" w:color="auto"/>
        <w:right w:val="none" w:sz="0" w:space="0" w:color="auto"/>
      </w:divBdr>
    </w:div>
    <w:div w:id="611473154">
      <w:bodyDiv w:val="1"/>
      <w:marLeft w:val="0"/>
      <w:marRight w:val="0"/>
      <w:marTop w:val="0"/>
      <w:marBottom w:val="0"/>
      <w:divBdr>
        <w:top w:val="none" w:sz="0" w:space="0" w:color="auto"/>
        <w:left w:val="none" w:sz="0" w:space="0" w:color="auto"/>
        <w:bottom w:val="none" w:sz="0" w:space="0" w:color="auto"/>
        <w:right w:val="none" w:sz="0" w:space="0" w:color="auto"/>
      </w:divBdr>
    </w:div>
    <w:div w:id="612172820">
      <w:bodyDiv w:val="1"/>
      <w:marLeft w:val="0"/>
      <w:marRight w:val="0"/>
      <w:marTop w:val="0"/>
      <w:marBottom w:val="0"/>
      <w:divBdr>
        <w:top w:val="none" w:sz="0" w:space="0" w:color="auto"/>
        <w:left w:val="none" w:sz="0" w:space="0" w:color="auto"/>
        <w:bottom w:val="none" w:sz="0" w:space="0" w:color="auto"/>
        <w:right w:val="none" w:sz="0" w:space="0" w:color="auto"/>
      </w:divBdr>
    </w:div>
    <w:div w:id="628974950">
      <w:bodyDiv w:val="1"/>
      <w:marLeft w:val="0"/>
      <w:marRight w:val="0"/>
      <w:marTop w:val="0"/>
      <w:marBottom w:val="0"/>
      <w:divBdr>
        <w:top w:val="none" w:sz="0" w:space="0" w:color="auto"/>
        <w:left w:val="none" w:sz="0" w:space="0" w:color="auto"/>
        <w:bottom w:val="none" w:sz="0" w:space="0" w:color="auto"/>
        <w:right w:val="none" w:sz="0" w:space="0" w:color="auto"/>
      </w:divBdr>
    </w:div>
    <w:div w:id="635451163">
      <w:bodyDiv w:val="1"/>
      <w:marLeft w:val="0"/>
      <w:marRight w:val="0"/>
      <w:marTop w:val="0"/>
      <w:marBottom w:val="0"/>
      <w:divBdr>
        <w:top w:val="none" w:sz="0" w:space="0" w:color="auto"/>
        <w:left w:val="none" w:sz="0" w:space="0" w:color="auto"/>
        <w:bottom w:val="none" w:sz="0" w:space="0" w:color="auto"/>
        <w:right w:val="none" w:sz="0" w:space="0" w:color="auto"/>
      </w:divBdr>
    </w:div>
    <w:div w:id="638534757">
      <w:bodyDiv w:val="1"/>
      <w:marLeft w:val="0"/>
      <w:marRight w:val="0"/>
      <w:marTop w:val="0"/>
      <w:marBottom w:val="0"/>
      <w:divBdr>
        <w:top w:val="none" w:sz="0" w:space="0" w:color="auto"/>
        <w:left w:val="none" w:sz="0" w:space="0" w:color="auto"/>
        <w:bottom w:val="none" w:sz="0" w:space="0" w:color="auto"/>
        <w:right w:val="none" w:sz="0" w:space="0" w:color="auto"/>
      </w:divBdr>
    </w:div>
    <w:div w:id="642857824">
      <w:bodyDiv w:val="1"/>
      <w:marLeft w:val="0"/>
      <w:marRight w:val="0"/>
      <w:marTop w:val="0"/>
      <w:marBottom w:val="0"/>
      <w:divBdr>
        <w:top w:val="none" w:sz="0" w:space="0" w:color="auto"/>
        <w:left w:val="none" w:sz="0" w:space="0" w:color="auto"/>
        <w:bottom w:val="none" w:sz="0" w:space="0" w:color="auto"/>
        <w:right w:val="none" w:sz="0" w:space="0" w:color="auto"/>
      </w:divBdr>
    </w:div>
    <w:div w:id="647898662">
      <w:bodyDiv w:val="1"/>
      <w:marLeft w:val="0"/>
      <w:marRight w:val="0"/>
      <w:marTop w:val="0"/>
      <w:marBottom w:val="0"/>
      <w:divBdr>
        <w:top w:val="none" w:sz="0" w:space="0" w:color="auto"/>
        <w:left w:val="none" w:sz="0" w:space="0" w:color="auto"/>
        <w:bottom w:val="none" w:sz="0" w:space="0" w:color="auto"/>
        <w:right w:val="none" w:sz="0" w:space="0" w:color="auto"/>
      </w:divBdr>
    </w:div>
    <w:div w:id="663364135">
      <w:bodyDiv w:val="1"/>
      <w:marLeft w:val="0"/>
      <w:marRight w:val="0"/>
      <w:marTop w:val="0"/>
      <w:marBottom w:val="0"/>
      <w:divBdr>
        <w:top w:val="none" w:sz="0" w:space="0" w:color="auto"/>
        <w:left w:val="none" w:sz="0" w:space="0" w:color="auto"/>
        <w:bottom w:val="none" w:sz="0" w:space="0" w:color="auto"/>
        <w:right w:val="none" w:sz="0" w:space="0" w:color="auto"/>
      </w:divBdr>
    </w:div>
    <w:div w:id="667247385">
      <w:bodyDiv w:val="1"/>
      <w:marLeft w:val="0"/>
      <w:marRight w:val="0"/>
      <w:marTop w:val="0"/>
      <w:marBottom w:val="0"/>
      <w:divBdr>
        <w:top w:val="none" w:sz="0" w:space="0" w:color="auto"/>
        <w:left w:val="none" w:sz="0" w:space="0" w:color="auto"/>
        <w:bottom w:val="none" w:sz="0" w:space="0" w:color="auto"/>
        <w:right w:val="none" w:sz="0" w:space="0" w:color="auto"/>
      </w:divBdr>
    </w:div>
    <w:div w:id="668674068">
      <w:bodyDiv w:val="1"/>
      <w:marLeft w:val="0"/>
      <w:marRight w:val="0"/>
      <w:marTop w:val="0"/>
      <w:marBottom w:val="0"/>
      <w:divBdr>
        <w:top w:val="none" w:sz="0" w:space="0" w:color="auto"/>
        <w:left w:val="none" w:sz="0" w:space="0" w:color="auto"/>
        <w:bottom w:val="none" w:sz="0" w:space="0" w:color="auto"/>
        <w:right w:val="none" w:sz="0" w:space="0" w:color="auto"/>
      </w:divBdr>
    </w:div>
    <w:div w:id="680008832">
      <w:bodyDiv w:val="1"/>
      <w:marLeft w:val="0"/>
      <w:marRight w:val="0"/>
      <w:marTop w:val="0"/>
      <w:marBottom w:val="0"/>
      <w:divBdr>
        <w:top w:val="none" w:sz="0" w:space="0" w:color="auto"/>
        <w:left w:val="none" w:sz="0" w:space="0" w:color="auto"/>
        <w:bottom w:val="none" w:sz="0" w:space="0" w:color="auto"/>
        <w:right w:val="none" w:sz="0" w:space="0" w:color="auto"/>
      </w:divBdr>
    </w:div>
    <w:div w:id="684481418">
      <w:bodyDiv w:val="1"/>
      <w:marLeft w:val="0"/>
      <w:marRight w:val="0"/>
      <w:marTop w:val="0"/>
      <w:marBottom w:val="0"/>
      <w:divBdr>
        <w:top w:val="none" w:sz="0" w:space="0" w:color="auto"/>
        <w:left w:val="none" w:sz="0" w:space="0" w:color="auto"/>
        <w:bottom w:val="none" w:sz="0" w:space="0" w:color="auto"/>
        <w:right w:val="none" w:sz="0" w:space="0" w:color="auto"/>
      </w:divBdr>
    </w:div>
    <w:div w:id="685668135">
      <w:bodyDiv w:val="1"/>
      <w:marLeft w:val="0"/>
      <w:marRight w:val="0"/>
      <w:marTop w:val="0"/>
      <w:marBottom w:val="0"/>
      <w:divBdr>
        <w:top w:val="none" w:sz="0" w:space="0" w:color="auto"/>
        <w:left w:val="none" w:sz="0" w:space="0" w:color="auto"/>
        <w:bottom w:val="none" w:sz="0" w:space="0" w:color="auto"/>
        <w:right w:val="none" w:sz="0" w:space="0" w:color="auto"/>
      </w:divBdr>
    </w:div>
    <w:div w:id="696976693">
      <w:bodyDiv w:val="1"/>
      <w:marLeft w:val="0"/>
      <w:marRight w:val="0"/>
      <w:marTop w:val="0"/>
      <w:marBottom w:val="0"/>
      <w:divBdr>
        <w:top w:val="none" w:sz="0" w:space="0" w:color="auto"/>
        <w:left w:val="none" w:sz="0" w:space="0" w:color="auto"/>
        <w:bottom w:val="none" w:sz="0" w:space="0" w:color="auto"/>
        <w:right w:val="none" w:sz="0" w:space="0" w:color="auto"/>
      </w:divBdr>
    </w:div>
    <w:div w:id="700058315">
      <w:bodyDiv w:val="1"/>
      <w:marLeft w:val="0"/>
      <w:marRight w:val="0"/>
      <w:marTop w:val="0"/>
      <w:marBottom w:val="0"/>
      <w:divBdr>
        <w:top w:val="none" w:sz="0" w:space="0" w:color="auto"/>
        <w:left w:val="none" w:sz="0" w:space="0" w:color="auto"/>
        <w:bottom w:val="none" w:sz="0" w:space="0" w:color="auto"/>
        <w:right w:val="none" w:sz="0" w:space="0" w:color="auto"/>
      </w:divBdr>
    </w:div>
    <w:div w:id="703212485">
      <w:bodyDiv w:val="1"/>
      <w:marLeft w:val="0"/>
      <w:marRight w:val="0"/>
      <w:marTop w:val="0"/>
      <w:marBottom w:val="0"/>
      <w:divBdr>
        <w:top w:val="none" w:sz="0" w:space="0" w:color="auto"/>
        <w:left w:val="none" w:sz="0" w:space="0" w:color="auto"/>
        <w:bottom w:val="none" w:sz="0" w:space="0" w:color="auto"/>
        <w:right w:val="none" w:sz="0" w:space="0" w:color="auto"/>
      </w:divBdr>
    </w:div>
    <w:div w:id="715546963">
      <w:bodyDiv w:val="1"/>
      <w:marLeft w:val="0"/>
      <w:marRight w:val="0"/>
      <w:marTop w:val="0"/>
      <w:marBottom w:val="0"/>
      <w:divBdr>
        <w:top w:val="none" w:sz="0" w:space="0" w:color="auto"/>
        <w:left w:val="none" w:sz="0" w:space="0" w:color="auto"/>
        <w:bottom w:val="none" w:sz="0" w:space="0" w:color="auto"/>
        <w:right w:val="none" w:sz="0" w:space="0" w:color="auto"/>
      </w:divBdr>
    </w:div>
    <w:div w:id="715661150">
      <w:bodyDiv w:val="1"/>
      <w:marLeft w:val="0"/>
      <w:marRight w:val="0"/>
      <w:marTop w:val="0"/>
      <w:marBottom w:val="0"/>
      <w:divBdr>
        <w:top w:val="none" w:sz="0" w:space="0" w:color="auto"/>
        <w:left w:val="none" w:sz="0" w:space="0" w:color="auto"/>
        <w:bottom w:val="none" w:sz="0" w:space="0" w:color="auto"/>
        <w:right w:val="none" w:sz="0" w:space="0" w:color="auto"/>
      </w:divBdr>
    </w:div>
    <w:div w:id="721174406">
      <w:bodyDiv w:val="1"/>
      <w:marLeft w:val="0"/>
      <w:marRight w:val="0"/>
      <w:marTop w:val="0"/>
      <w:marBottom w:val="0"/>
      <w:divBdr>
        <w:top w:val="none" w:sz="0" w:space="0" w:color="auto"/>
        <w:left w:val="none" w:sz="0" w:space="0" w:color="auto"/>
        <w:bottom w:val="none" w:sz="0" w:space="0" w:color="auto"/>
        <w:right w:val="none" w:sz="0" w:space="0" w:color="auto"/>
      </w:divBdr>
    </w:div>
    <w:div w:id="735707328">
      <w:bodyDiv w:val="1"/>
      <w:marLeft w:val="0"/>
      <w:marRight w:val="0"/>
      <w:marTop w:val="0"/>
      <w:marBottom w:val="0"/>
      <w:divBdr>
        <w:top w:val="none" w:sz="0" w:space="0" w:color="auto"/>
        <w:left w:val="none" w:sz="0" w:space="0" w:color="auto"/>
        <w:bottom w:val="none" w:sz="0" w:space="0" w:color="auto"/>
        <w:right w:val="none" w:sz="0" w:space="0" w:color="auto"/>
      </w:divBdr>
    </w:div>
    <w:div w:id="749812956">
      <w:bodyDiv w:val="1"/>
      <w:marLeft w:val="0"/>
      <w:marRight w:val="0"/>
      <w:marTop w:val="0"/>
      <w:marBottom w:val="0"/>
      <w:divBdr>
        <w:top w:val="none" w:sz="0" w:space="0" w:color="auto"/>
        <w:left w:val="none" w:sz="0" w:space="0" w:color="auto"/>
        <w:bottom w:val="none" w:sz="0" w:space="0" w:color="auto"/>
        <w:right w:val="none" w:sz="0" w:space="0" w:color="auto"/>
      </w:divBdr>
    </w:div>
    <w:div w:id="763839957">
      <w:bodyDiv w:val="1"/>
      <w:marLeft w:val="0"/>
      <w:marRight w:val="0"/>
      <w:marTop w:val="0"/>
      <w:marBottom w:val="0"/>
      <w:divBdr>
        <w:top w:val="none" w:sz="0" w:space="0" w:color="auto"/>
        <w:left w:val="none" w:sz="0" w:space="0" w:color="auto"/>
        <w:bottom w:val="none" w:sz="0" w:space="0" w:color="auto"/>
        <w:right w:val="none" w:sz="0" w:space="0" w:color="auto"/>
      </w:divBdr>
    </w:div>
    <w:div w:id="775323620">
      <w:bodyDiv w:val="1"/>
      <w:marLeft w:val="0"/>
      <w:marRight w:val="0"/>
      <w:marTop w:val="0"/>
      <w:marBottom w:val="0"/>
      <w:divBdr>
        <w:top w:val="none" w:sz="0" w:space="0" w:color="auto"/>
        <w:left w:val="none" w:sz="0" w:space="0" w:color="auto"/>
        <w:bottom w:val="none" w:sz="0" w:space="0" w:color="auto"/>
        <w:right w:val="none" w:sz="0" w:space="0" w:color="auto"/>
      </w:divBdr>
    </w:div>
    <w:div w:id="782266324">
      <w:bodyDiv w:val="1"/>
      <w:marLeft w:val="0"/>
      <w:marRight w:val="0"/>
      <w:marTop w:val="0"/>
      <w:marBottom w:val="0"/>
      <w:divBdr>
        <w:top w:val="none" w:sz="0" w:space="0" w:color="auto"/>
        <w:left w:val="none" w:sz="0" w:space="0" w:color="auto"/>
        <w:bottom w:val="none" w:sz="0" w:space="0" w:color="auto"/>
        <w:right w:val="none" w:sz="0" w:space="0" w:color="auto"/>
      </w:divBdr>
    </w:div>
    <w:div w:id="798456189">
      <w:bodyDiv w:val="1"/>
      <w:marLeft w:val="0"/>
      <w:marRight w:val="0"/>
      <w:marTop w:val="0"/>
      <w:marBottom w:val="0"/>
      <w:divBdr>
        <w:top w:val="none" w:sz="0" w:space="0" w:color="auto"/>
        <w:left w:val="none" w:sz="0" w:space="0" w:color="auto"/>
        <w:bottom w:val="none" w:sz="0" w:space="0" w:color="auto"/>
        <w:right w:val="none" w:sz="0" w:space="0" w:color="auto"/>
      </w:divBdr>
    </w:div>
    <w:div w:id="798569357">
      <w:bodyDiv w:val="1"/>
      <w:marLeft w:val="0"/>
      <w:marRight w:val="0"/>
      <w:marTop w:val="0"/>
      <w:marBottom w:val="0"/>
      <w:divBdr>
        <w:top w:val="none" w:sz="0" w:space="0" w:color="auto"/>
        <w:left w:val="none" w:sz="0" w:space="0" w:color="auto"/>
        <w:bottom w:val="none" w:sz="0" w:space="0" w:color="auto"/>
        <w:right w:val="none" w:sz="0" w:space="0" w:color="auto"/>
      </w:divBdr>
    </w:div>
    <w:div w:id="809321970">
      <w:bodyDiv w:val="1"/>
      <w:marLeft w:val="0"/>
      <w:marRight w:val="0"/>
      <w:marTop w:val="0"/>
      <w:marBottom w:val="0"/>
      <w:divBdr>
        <w:top w:val="none" w:sz="0" w:space="0" w:color="auto"/>
        <w:left w:val="none" w:sz="0" w:space="0" w:color="auto"/>
        <w:bottom w:val="none" w:sz="0" w:space="0" w:color="auto"/>
        <w:right w:val="none" w:sz="0" w:space="0" w:color="auto"/>
      </w:divBdr>
    </w:div>
    <w:div w:id="832259145">
      <w:bodyDiv w:val="1"/>
      <w:marLeft w:val="0"/>
      <w:marRight w:val="0"/>
      <w:marTop w:val="0"/>
      <w:marBottom w:val="0"/>
      <w:divBdr>
        <w:top w:val="none" w:sz="0" w:space="0" w:color="auto"/>
        <w:left w:val="none" w:sz="0" w:space="0" w:color="auto"/>
        <w:bottom w:val="none" w:sz="0" w:space="0" w:color="auto"/>
        <w:right w:val="none" w:sz="0" w:space="0" w:color="auto"/>
      </w:divBdr>
    </w:div>
    <w:div w:id="847914147">
      <w:bodyDiv w:val="1"/>
      <w:marLeft w:val="0"/>
      <w:marRight w:val="0"/>
      <w:marTop w:val="0"/>
      <w:marBottom w:val="0"/>
      <w:divBdr>
        <w:top w:val="none" w:sz="0" w:space="0" w:color="auto"/>
        <w:left w:val="none" w:sz="0" w:space="0" w:color="auto"/>
        <w:bottom w:val="none" w:sz="0" w:space="0" w:color="auto"/>
        <w:right w:val="none" w:sz="0" w:space="0" w:color="auto"/>
      </w:divBdr>
    </w:div>
    <w:div w:id="861548484">
      <w:bodyDiv w:val="1"/>
      <w:marLeft w:val="0"/>
      <w:marRight w:val="0"/>
      <w:marTop w:val="0"/>
      <w:marBottom w:val="0"/>
      <w:divBdr>
        <w:top w:val="none" w:sz="0" w:space="0" w:color="auto"/>
        <w:left w:val="none" w:sz="0" w:space="0" w:color="auto"/>
        <w:bottom w:val="none" w:sz="0" w:space="0" w:color="auto"/>
        <w:right w:val="none" w:sz="0" w:space="0" w:color="auto"/>
      </w:divBdr>
    </w:div>
    <w:div w:id="892274411">
      <w:bodyDiv w:val="1"/>
      <w:marLeft w:val="0"/>
      <w:marRight w:val="0"/>
      <w:marTop w:val="0"/>
      <w:marBottom w:val="0"/>
      <w:divBdr>
        <w:top w:val="none" w:sz="0" w:space="0" w:color="auto"/>
        <w:left w:val="none" w:sz="0" w:space="0" w:color="auto"/>
        <w:bottom w:val="none" w:sz="0" w:space="0" w:color="auto"/>
        <w:right w:val="none" w:sz="0" w:space="0" w:color="auto"/>
      </w:divBdr>
    </w:div>
    <w:div w:id="906186793">
      <w:bodyDiv w:val="1"/>
      <w:marLeft w:val="0"/>
      <w:marRight w:val="0"/>
      <w:marTop w:val="0"/>
      <w:marBottom w:val="0"/>
      <w:divBdr>
        <w:top w:val="none" w:sz="0" w:space="0" w:color="auto"/>
        <w:left w:val="none" w:sz="0" w:space="0" w:color="auto"/>
        <w:bottom w:val="none" w:sz="0" w:space="0" w:color="auto"/>
        <w:right w:val="none" w:sz="0" w:space="0" w:color="auto"/>
      </w:divBdr>
    </w:div>
    <w:div w:id="909074542">
      <w:bodyDiv w:val="1"/>
      <w:marLeft w:val="0"/>
      <w:marRight w:val="0"/>
      <w:marTop w:val="0"/>
      <w:marBottom w:val="0"/>
      <w:divBdr>
        <w:top w:val="none" w:sz="0" w:space="0" w:color="auto"/>
        <w:left w:val="none" w:sz="0" w:space="0" w:color="auto"/>
        <w:bottom w:val="none" w:sz="0" w:space="0" w:color="auto"/>
        <w:right w:val="none" w:sz="0" w:space="0" w:color="auto"/>
      </w:divBdr>
    </w:div>
    <w:div w:id="909195918">
      <w:bodyDiv w:val="1"/>
      <w:marLeft w:val="0"/>
      <w:marRight w:val="0"/>
      <w:marTop w:val="0"/>
      <w:marBottom w:val="0"/>
      <w:divBdr>
        <w:top w:val="none" w:sz="0" w:space="0" w:color="auto"/>
        <w:left w:val="none" w:sz="0" w:space="0" w:color="auto"/>
        <w:bottom w:val="none" w:sz="0" w:space="0" w:color="auto"/>
        <w:right w:val="none" w:sz="0" w:space="0" w:color="auto"/>
      </w:divBdr>
    </w:div>
    <w:div w:id="912816831">
      <w:bodyDiv w:val="1"/>
      <w:marLeft w:val="0"/>
      <w:marRight w:val="0"/>
      <w:marTop w:val="0"/>
      <w:marBottom w:val="0"/>
      <w:divBdr>
        <w:top w:val="none" w:sz="0" w:space="0" w:color="auto"/>
        <w:left w:val="none" w:sz="0" w:space="0" w:color="auto"/>
        <w:bottom w:val="none" w:sz="0" w:space="0" w:color="auto"/>
        <w:right w:val="none" w:sz="0" w:space="0" w:color="auto"/>
      </w:divBdr>
    </w:div>
    <w:div w:id="929121356">
      <w:bodyDiv w:val="1"/>
      <w:marLeft w:val="0"/>
      <w:marRight w:val="0"/>
      <w:marTop w:val="0"/>
      <w:marBottom w:val="0"/>
      <w:divBdr>
        <w:top w:val="none" w:sz="0" w:space="0" w:color="auto"/>
        <w:left w:val="none" w:sz="0" w:space="0" w:color="auto"/>
        <w:bottom w:val="none" w:sz="0" w:space="0" w:color="auto"/>
        <w:right w:val="none" w:sz="0" w:space="0" w:color="auto"/>
      </w:divBdr>
    </w:div>
    <w:div w:id="930893829">
      <w:bodyDiv w:val="1"/>
      <w:marLeft w:val="0"/>
      <w:marRight w:val="0"/>
      <w:marTop w:val="0"/>
      <w:marBottom w:val="0"/>
      <w:divBdr>
        <w:top w:val="none" w:sz="0" w:space="0" w:color="auto"/>
        <w:left w:val="none" w:sz="0" w:space="0" w:color="auto"/>
        <w:bottom w:val="none" w:sz="0" w:space="0" w:color="auto"/>
        <w:right w:val="none" w:sz="0" w:space="0" w:color="auto"/>
      </w:divBdr>
    </w:div>
    <w:div w:id="938488903">
      <w:bodyDiv w:val="1"/>
      <w:marLeft w:val="0"/>
      <w:marRight w:val="0"/>
      <w:marTop w:val="0"/>
      <w:marBottom w:val="0"/>
      <w:divBdr>
        <w:top w:val="none" w:sz="0" w:space="0" w:color="auto"/>
        <w:left w:val="none" w:sz="0" w:space="0" w:color="auto"/>
        <w:bottom w:val="none" w:sz="0" w:space="0" w:color="auto"/>
        <w:right w:val="none" w:sz="0" w:space="0" w:color="auto"/>
      </w:divBdr>
    </w:div>
    <w:div w:id="951784601">
      <w:bodyDiv w:val="1"/>
      <w:marLeft w:val="0"/>
      <w:marRight w:val="0"/>
      <w:marTop w:val="0"/>
      <w:marBottom w:val="0"/>
      <w:divBdr>
        <w:top w:val="none" w:sz="0" w:space="0" w:color="auto"/>
        <w:left w:val="none" w:sz="0" w:space="0" w:color="auto"/>
        <w:bottom w:val="none" w:sz="0" w:space="0" w:color="auto"/>
        <w:right w:val="none" w:sz="0" w:space="0" w:color="auto"/>
      </w:divBdr>
    </w:div>
    <w:div w:id="960957073">
      <w:bodyDiv w:val="1"/>
      <w:marLeft w:val="0"/>
      <w:marRight w:val="0"/>
      <w:marTop w:val="0"/>
      <w:marBottom w:val="0"/>
      <w:divBdr>
        <w:top w:val="none" w:sz="0" w:space="0" w:color="auto"/>
        <w:left w:val="none" w:sz="0" w:space="0" w:color="auto"/>
        <w:bottom w:val="none" w:sz="0" w:space="0" w:color="auto"/>
        <w:right w:val="none" w:sz="0" w:space="0" w:color="auto"/>
      </w:divBdr>
    </w:div>
    <w:div w:id="970786507">
      <w:bodyDiv w:val="1"/>
      <w:marLeft w:val="0"/>
      <w:marRight w:val="0"/>
      <w:marTop w:val="0"/>
      <w:marBottom w:val="0"/>
      <w:divBdr>
        <w:top w:val="none" w:sz="0" w:space="0" w:color="auto"/>
        <w:left w:val="none" w:sz="0" w:space="0" w:color="auto"/>
        <w:bottom w:val="none" w:sz="0" w:space="0" w:color="auto"/>
        <w:right w:val="none" w:sz="0" w:space="0" w:color="auto"/>
      </w:divBdr>
    </w:div>
    <w:div w:id="973020109">
      <w:bodyDiv w:val="1"/>
      <w:marLeft w:val="0"/>
      <w:marRight w:val="0"/>
      <w:marTop w:val="0"/>
      <w:marBottom w:val="0"/>
      <w:divBdr>
        <w:top w:val="none" w:sz="0" w:space="0" w:color="auto"/>
        <w:left w:val="none" w:sz="0" w:space="0" w:color="auto"/>
        <w:bottom w:val="none" w:sz="0" w:space="0" w:color="auto"/>
        <w:right w:val="none" w:sz="0" w:space="0" w:color="auto"/>
      </w:divBdr>
    </w:div>
    <w:div w:id="978875109">
      <w:bodyDiv w:val="1"/>
      <w:marLeft w:val="0"/>
      <w:marRight w:val="0"/>
      <w:marTop w:val="0"/>
      <w:marBottom w:val="0"/>
      <w:divBdr>
        <w:top w:val="none" w:sz="0" w:space="0" w:color="auto"/>
        <w:left w:val="none" w:sz="0" w:space="0" w:color="auto"/>
        <w:bottom w:val="none" w:sz="0" w:space="0" w:color="auto"/>
        <w:right w:val="none" w:sz="0" w:space="0" w:color="auto"/>
      </w:divBdr>
    </w:div>
    <w:div w:id="997731945">
      <w:bodyDiv w:val="1"/>
      <w:marLeft w:val="0"/>
      <w:marRight w:val="0"/>
      <w:marTop w:val="0"/>
      <w:marBottom w:val="0"/>
      <w:divBdr>
        <w:top w:val="none" w:sz="0" w:space="0" w:color="auto"/>
        <w:left w:val="none" w:sz="0" w:space="0" w:color="auto"/>
        <w:bottom w:val="none" w:sz="0" w:space="0" w:color="auto"/>
        <w:right w:val="none" w:sz="0" w:space="0" w:color="auto"/>
      </w:divBdr>
    </w:div>
    <w:div w:id="1006857864">
      <w:bodyDiv w:val="1"/>
      <w:marLeft w:val="0"/>
      <w:marRight w:val="0"/>
      <w:marTop w:val="0"/>
      <w:marBottom w:val="0"/>
      <w:divBdr>
        <w:top w:val="none" w:sz="0" w:space="0" w:color="auto"/>
        <w:left w:val="none" w:sz="0" w:space="0" w:color="auto"/>
        <w:bottom w:val="none" w:sz="0" w:space="0" w:color="auto"/>
        <w:right w:val="none" w:sz="0" w:space="0" w:color="auto"/>
      </w:divBdr>
    </w:div>
    <w:div w:id="1012219912">
      <w:bodyDiv w:val="1"/>
      <w:marLeft w:val="0"/>
      <w:marRight w:val="0"/>
      <w:marTop w:val="0"/>
      <w:marBottom w:val="0"/>
      <w:divBdr>
        <w:top w:val="none" w:sz="0" w:space="0" w:color="auto"/>
        <w:left w:val="none" w:sz="0" w:space="0" w:color="auto"/>
        <w:bottom w:val="none" w:sz="0" w:space="0" w:color="auto"/>
        <w:right w:val="none" w:sz="0" w:space="0" w:color="auto"/>
      </w:divBdr>
    </w:div>
    <w:div w:id="1012874136">
      <w:bodyDiv w:val="1"/>
      <w:marLeft w:val="0"/>
      <w:marRight w:val="0"/>
      <w:marTop w:val="0"/>
      <w:marBottom w:val="0"/>
      <w:divBdr>
        <w:top w:val="none" w:sz="0" w:space="0" w:color="auto"/>
        <w:left w:val="none" w:sz="0" w:space="0" w:color="auto"/>
        <w:bottom w:val="none" w:sz="0" w:space="0" w:color="auto"/>
        <w:right w:val="none" w:sz="0" w:space="0" w:color="auto"/>
      </w:divBdr>
    </w:div>
    <w:div w:id="1019507226">
      <w:bodyDiv w:val="1"/>
      <w:marLeft w:val="0"/>
      <w:marRight w:val="0"/>
      <w:marTop w:val="0"/>
      <w:marBottom w:val="0"/>
      <w:divBdr>
        <w:top w:val="none" w:sz="0" w:space="0" w:color="auto"/>
        <w:left w:val="none" w:sz="0" w:space="0" w:color="auto"/>
        <w:bottom w:val="none" w:sz="0" w:space="0" w:color="auto"/>
        <w:right w:val="none" w:sz="0" w:space="0" w:color="auto"/>
      </w:divBdr>
    </w:div>
    <w:div w:id="1020618769">
      <w:bodyDiv w:val="1"/>
      <w:marLeft w:val="0"/>
      <w:marRight w:val="0"/>
      <w:marTop w:val="0"/>
      <w:marBottom w:val="0"/>
      <w:divBdr>
        <w:top w:val="none" w:sz="0" w:space="0" w:color="auto"/>
        <w:left w:val="none" w:sz="0" w:space="0" w:color="auto"/>
        <w:bottom w:val="none" w:sz="0" w:space="0" w:color="auto"/>
        <w:right w:val="none" w:sz="0" w:space="0" w:color="auto"/>
      </w:divBdr>
    </w:div>
    <w:div w:id="1030913773">
      <w:bodyDiv w:val="1"/>
      <w:marLeft w:val="0"/>
      <w:marRight w:val="0"/>
      <w:marTop w:val="0"/>
      <w:marBottom w:val="0"/>
      <w:divBdr>
        <w:top w:val="none" w:sz="0" w:space="0" w:color="auto"/>
        <w:left w:val="none" w:sz="0" w:space="0" w:color="auto"/>
        <w:bottom w:val="none" w:sz="0" w:space="0" w:color="auto"/>
        <w:right w:val="none" w:sz="0" w:space="0" w:color="auto"/>
      </w:divBdr>
    </w:div>
    <w:div w:id="1031347752">
      <w:bodyDiv w:val="1"/>
      <w:marLeft w:val="0"/>
      <w:marRight w:val="0"/>
      <w:marTop w:val="0"/>
      <w:marBottom w:val="0"/>
      <w:divBdr>
        <w:top w:val="none" w:sz="0" w:space="0" w:color="auto"/>
        <w:left w:val="none" w:sz="0" w:space="0" w:color="auto"/>
        <w:bottom w:val="none" w:sz="0" w:space="0" w:color="auto"/>
        <w:right w:val="none" w:sz="0" w:space="0" w:color="auto"/>
      </w:divBdr>
    </w:div>
    <w:div w:id="1037196458">
      <w:bodyDiv w:val="1"/>
      <w:marLeft w:val="0"/>
      <w:marRight w:val="0"/>
      <w:marTop w:val="0"/>
      <w:marBottom w:val="0"/>
      <w:divBdr>
        <w:top w:val="none" w:sz="0" w:space="0" w:color="auto"/>
        <w:left w:val="none" w:sz="0" w:space="0" w:color="auto"/>
        <w:bottom w:val="none" w:sz="0" w:space="0" w:color="auto"/>
        <w:right w:val="none" w:sz="0" w:space="0" w:color="auto"/>
      </w:divBdr>
    </w:div>
    <w:div w:id="1062870979">
      <w:bodyDiv w:val="1"/>
      <w:marLeft w:val="0"/>
      <w:marRight w:val="0"/>
      <w:marTop w:val="0"/>
      <w:marBottom w:val="0"/>
      <w:divBdr>
        <w:top w:val="none" w:sz="0" w:space="0" w:color="auto"/>
        <w:left w:val="none" w:sz="0" w:space="0" w:color="auto"/>
        <w:bottom w:val="none" w:sz="0" w:space="0" w:color="auto"/>
        <w:right w:val="none" w:sz="0" w:space="0" w:color="auto"/>
      </w:divBdr>
    </w:div>
    <w:div w:id="1069351045">
      <w:bodyDiv w:val="1"/>
      <w:marLeft w:val="0"/>
      <w:marRight w:val="0"/>
      <w:marTop w:val="0"/>
      <w:marBottom w:val="0"/>
      <w:divBdr>
        <w:top w:val="none" w:sz="0" w:space="0" w:color="auto"/>
        <w:left w:val="none" w:sz="0" w:space="0" w:color="auto"/>
        <w:bottom w:val="none" w:sz="0" w:space="0" w:color="auto"/>
        <w:right w:val="none" w:sz="0" w:space="0" w:color="auto"/>
      </w:divBdr>
    </w:div>
    <w:div w:id="1079793896">
      <w:bodyDiv w:val="1"/>
      <w:marLeft w:val="0"/>
      <w:marRight w:val="0"/>
      <w:marTop w:val="0"/>
      <w:marBottom w:val="0"/>
      <w:divBdr>
        <w:top w:val="none" w:sz="0" w:space="0" w:color="auto"/>
        <w:left w:val="none" w:sz="0" w:space="0" w:color="auto"/>
        <w:bottom w:val="none" w:sz="0" w:space="0" w:color="auto"/>
        <w:right w:val="none" w:sz="0" w:space="0" w:color="auto"/>
      </w:divBdr>
    </w:div>
    <w:div w:id="1089886868">
      <w:bodyDiv w:val="1"/>
      <w:marLeft w:val="0"/>
      <w:marRight w:val="0"/>
      <w:marTop w:val="0"/>
      <w:marBottom w:val="0"/>
      <w:divBdr>
        <w:top w:val="none" w:sz="0" w:space="0" w:color="auto"/>
        <w:left w:val="none" w:sz="0" w:space="0" w:color="auto"/>
        <w:bottom w:val="none" w:sz="0" w:space="0" w:color="auto"/>
        <w:right w:val="none" w:sz="0" w:space="0" w:color="auto"/>
      </w:divBdr>
    </w:div>
    <w:div w:id="1096289827">
      <w:bodyDiv w:val="1"/>
      <w:marLeft w:val="0"/>
      <w:marRight w:val="0"/>
      <w:marTop w:val="0"/>
      <w:marBottom w:val="0"/>
      <w:divBdr>
        <w:top w:val="none" w:sz="0" w:space="0" w:color="auto"/>
        <w:left w:val="none" w:sz="0" w:space="0" w:color="auto"/>
        <w:bottom w:val="none" w:sz="0" w:space="0" w:color="auto"/>
        <w:right w:val="none" w:sz="0" w:space="0" w:color="auto"/>
      </w:divBdr>
    </w:div>
    <w:div w:id="1113986418">
      <w:bodyDiv w:val="1"/>
      <w:marLeft w:val="0"/>
      <w:marRight w:val="0"/>
      <w:marTop w:val="0"/>
      <w:marBottom w:val="0"/>
      <w:divBdr>
        <w:top w:val="none" w:sz="0" w:space="0" w:color="auto"/>
        <w:left w:val="none" w:sz="0" w:space="0" w:color="auto"/>
        <w:bottom w:val="none" w:sz="0" w:space="0" w:color="auto"/>
        <w:right w:val="none" w:sz="0" w:space="0" w:color="auto"/>
      </w:divBdr>
    </w:div>
    <w:div w:id="1117482418">
      <w:bodyDiv w:val="1"/>
      <w:marLeft w:val="0"/>
      <w:marRight w:val="0"/>
      <w:marTop w:val="0"/>
      <w:marBottom w:val="0"/>
      <w:divBdr>
        <w:top w:val="none" w:sz="0" w:space="0" w:color="auto"/>
        <w:left w:val="none" w:sz="0" w:space="0" w:color="auto"/>
        <w:bottom w:val="none" w:sz="0" w:space="0" w:color="auto"/>
        <w:right w:val="none" w:sz="0" w:space="0" w:color="auto"/>
      </w:divBdr>
    </w:div>
    <w:div w:id="1130442462">
      <w:bodyDiv w:val="1"/>
      <w:marLeft w:val="0"/>
      <w:marRight w:val="0"/>
      <w:marTop w:val="0"/>
      <w:marBottom w:val="0"/>
      <w:divBdr>
        <w:top w:val="none" w:sz="0" w:space="0" w:color="auto"/>
        <w:left w:val="none" w:sz="0" w:space="0" w:color="auto"/>
        <w:bottom w:val="none" w:sz="0" w:space="0" w:color="auto"/>
        <w:right w:val="none" w:sz="0" w:space="0" w:color="auto"/>
      </w:divBdr>
    </w:div>
    <w:div w:id="1131438114">
      <w:bodyDiv w:val="1"/>
      <w:marLeft w:val="0"/>
      <w:marRight w:val="0"/>
      <w:marTop w:val="0"/>
      <w:marBottom w:val="0"/>
      <w:divBdr>
        <w:top w:val="none" w:sz="0" w:space="0" w:color="auto"/>
        <w:left w:val="none" w:sz="0" w:space="0" w:color="auto"/>
        <w:bottom w:val="none" w:sz="0" w:space="0" w:color="auto"/>
        <w:right w:val="none" w:sz="0" w:space="0" w:color="auto"/>
      </w:divBdr>
    </w:div>
    <w:div w:id="1135955034">
      <w:bodyDiv w:val="1"/>
      <w:marLeft w:val="0"/>
      <w:marRight w:val="0"/>
      <w:marTop w:val="0"/>
      <w:marBottom w:val="0"/>
      <w:divBdr>
        <w:top w:val="none" w:sz="0" w:space="0" w:color="auto"/>
        <w:left w:val="none" w:sz="0" w:space="0" w:color="auto"/>
        <w:bottom w:val="none" w:sz="0" w:space="0" w:color="auto"/>
        <w:right w:val="none" w:sz="0" w:space="0" w:color="auto"/>
      </w:divBdr>
    </w:div>
    <w:div w:id="1148518966">
      <w:bodyDiv w:val="1"/>
      <w:marLeft w:val="0"/>
      <w:marRight w:val="0"/>
      <w:marTop w:val="0"/>
      <w:marBottom w:val="0"/>
      <w:divBdr>
        <w:top w:val="none" w:sz="0" w:space="0" w:color="auto"/>
        <w:left w:val="none" w:sz="0" w:space="0" w:color="auto"/>
        <w:bottom w:val="none" w:sz="0" w:space="0" w:color="auto"/>
        <w:right w:val="none" w:sz="0" w:space="0" w:color="auto"/>
      </w:divBdr>
    </w:div>
    <w:div w:id="1151486168">
      <w:bodyDiv w:val="1"/>
      <w:marLeft w:val="0"/>
      <w:marRight w:val="0"/>
      <w:marTop w:val="0"/>
      <w:marBottom w:val="0"/>
      <w:divBdr>
        <w:top w:val="none" w:sz="0" w:space="0" w:color="auto"/>
        <w:left w:val="none" w:sz="0" w:space="0" w:color="auto"/>
        <w:bottom w:val="none" w:sz="0" w:space="0" w:color="auto"/>
        <w:right w:val="none" w:sz="0" w:space="0" w:color="auto"/>
      </w:divBdr>
    </w:div>
    <w:div w:id="1151555580">
      <w:bodyDiv w:val="1"/>
      <w:marLeft w:val="0"/>
      <w:marRight w:val="0"/>
      <w:marTop w:val="0"/>
      <w:marBottom w:val="0"/>
      <w:divBdr>
        <w:top w:val="none" w:sz="0" w:space="0" w:color="auto"/>
        <w:left w:val="none" w:sz="0" w:space="0" w:color="auto"/>
        <w:bottom w:val="none" w:sz="0" w:space="0" w:color="auto"/>
        <w:right w:val="none" w:sz="0" w:space="0" w:color="auto"/>
      </w:divBdr>
    </w:div>
    <w:div w:id="1157189024">
      <w:bodyDiv w:val="1"/>
      <w:marLeft w:val="0"/>
      <w:marRight w:val="0"/>
      <w:marTop w:val="0"/>
      <w:marBottom w:val="0"/>
      <w:divBdr>
        <w:top w:val="none" w:sz="0" w:space="0" w:color="auto"/>
        <w:left w:val="none" w:sz="0" w:space="0" w:color="auto"/>
        <w:bottom w:val="none" w:sz="0" w:space="0" w:color="auto"/>
        <w:right w:val="none" w:sz="0" w:space="0" w:color="auto"/>
      </w:divBdr>
    </w:div>
    <w:div w:id="1158224630">
      <w:bodyDiv w:val="1"/>
      <w:marLeft w:val="0"/>
      <w:marRight w:val="0"/>
      <w:marTop w:val="0"/>
      <w:marBottom w:val="0"/>
      <w:divBdr>
        <w:top w:val="none" w:sz="0" w:space="0" w:color="auto"/>
        <w:left w:val="none" w:sz="0" w:space="0" w:color="auto"/>
        <w:bottom w:val="none" w:sz="0" w:space="0" w:color="auto"/>
        <w:right w:val="none" w:sz="0" w:space="0" w:color="auto"/>
      </w:divBdr>
    </w:div>
    <w:div w:id="1168209274">
      <w:bodyDiv w:val="1"/>
      <w:marLeft w:val="0"/>
      <w:marRight w:val="0"/>
      <w:marTop w:val="0"/>
      <w:marBottom w:val="0"/>
      <w:divBdr>
        <w:top w:val="none" w:sz="0" w:space="0" w:color="auto"/>
        <w:left w:val="none" w:sz="0" w:space="0" w:color="auto"/>
        <w:bottom w:val="none" w:sz="0" w:space="0" w:color="auto"/>
        <w:right w:val="none" w:sz="0" w:space="0" w:color="auto"/>
      </w:divBdr>
    </w:div>
    <w:div w:id="1200970726">
      <w:bodyDiv w:val="1"/>
      <w:marLeft w:val="0"/>
      <w:marRight w:val="0"/>
      <w:marTop w:val="0"/>
      <w:marBottom w:val="0"/>
      <w:divBdr>
        <w:top w:val="none" w:sz="0" w:space="0" w:color="auto"/>
        <w:left w:val="none" w:sz="0" w:space="0" w:color="auto"/>
        <w:bottom w:val="none" w:sz="0" w:space="0" w:color="auto"/>
        <w:right w:val="none" w:sz="0" w:space="0" w:color="auto"/>
      </w:divBdr>
    </w:div>
    <w:div w:id="1202405717">
      <w:bodyDiv w:val="1"/>
      <w:marLeft w:val="0"/>
      <w:marRight w:val="0"/>
      <w:marTop w:val="0"/>
      <w:marBottom w:val="0"/>
      <w:divBdr>
        <w:top w:val="none" w:sz="0" w:space="0" w:color="auto"/>
        <w:left w:val="none" w:sz="0" w:space="0" w:color="auto"/>
        <w:bottom w:val="none" w:sz="0" w:space="0" w:color="auto"/>
        <w:right w:val="none" w:sz="0" w:space="0" w:color="auto"/>
      </w:divBdr>
    </w:div>
    <w:div w:id="1203590360">
      <w:bodyDiv w:val="1"/>
      <w:marLeft w:val="0"/>
      <w:marRight w:val="0"/>
      <w:marTop w:val="0"/>
      <w:marBottom w:val="0"/>
      <w:divBdr>
        <w:top w:val="none" w:sz="0" w:space="0" w:color="auto"/>
        <w:left w:val="none" w:sz="0" w:space="0" w:color="auto"/>
        <w:bottom w:val="none" w:sz="0" w:space="0" w:color="auto"/>
        <w:right w:val="none" w:sz="0" w:space="0" w:color="auto"/>
      </w:divBdr>
    </w:div>
    <w:div w:id="1222329622">
      <w:bodyDiv w:val="1"/>
      <w:marLeft w:val="0"/>
      <w:marRight w:val="0"/>
      <w:marTop w:val="0"/>
      <w:marBottom w:val="0"/>
      <w:divBdr>
        <w:top w:val="none" w:sz="0" w:space="0" w:color="auto"/>
        <w:left w:val="none" w:sz="0" w:space="0" w:color="auto"/>
        <w:bottom w:val="none" w:sz="0" w:space="0" w:color="auto"/>
        <w:right w:val="none" w:sz="0" w:space="0" w:color="auto"/>
      </w:divBdr>
    </w:div>
    <w:div w:id="1228541268">
      <w:bodyDiv w:val="1"/>
      <w:marLeft w:val="0"/>
      <w:marRight w:val="0"/>
      <w:marTop w:val="0"/>
      <w:marBottom w:val="0"/>
      <w:divBdr>
        <w:top w:val="none" w:sz="0" w:space="0" w:color="auto"/>
        <w:left w:val="none" w:sz="0" w:space="0" w:color="auto"/>
        <w:bottom w:val="none" w:sz="0" w:space="0" w:color="auto"/>
        <w:right w:val="none" w:sz="0" w:space="0" w:color="auto"/>
      </w:divBdr>
    </w:div>
    <w:div w:id="1230849078">
      <w:bodyDiv w:val="1"/>
      <w:marLeft w:val="0"/>
      <w:marRight w:val="0"/>
      <w:marTop w:val="0"/>
      <w:marBottom w:val="0"/>
      <w:divBdr>
        <w:top w:val="none" w:sz="0" w:space="0" w:color="auto"/>
        <w:left w:val="none" w:sz="0" w:space="0" w:color="auto"/>
        <w:bottom w:val="none" w:sz="0" w:space="0" w:color="auto"/>
        <w:right w:val="none" w:sz="0" w:space="0" w:color="auto"/>
      </w:divBdr>
    </w:div>
    <w:div w:id="1248996988">
      <w:bodyDiv w:val="1"/>
      <w:marLeft w:val="0"/>
      <w:marRight w:val="0"/>
      <w:marTop w:val="0"/>
      <w:marBottom w:val="0"/>
      <w:divBdr>
        <w:top w:val="none" w:sz="0" w:space="0" w:color="auto"/>
        <w:left w:val="none" w:sz="0" w:space="0" w:color="auto"/>
        <w:bottom w:val="none" w:sz="0" w:space="0" w:color="auto"/>
        <w:right w:val="none" w:sz="0" w:space="0" w:color="auto"/>
      </w:divBdr>
    </w:div>
    <w:div w:id="1249851901">
      <w:bodyDiv w:val="1"/>
      <w:marLeft w:val="0"/>
      <w:marRight w:val="0"/>
      <w:marTop w:val="0"/>
      <w:marBottom w:val="0"/>
      <w:divBdr>
        <w:top w:val="none" w:sz="0" w:space="0" w:color="auto"/>
        <w:left w:val="none" w:sz="0" w:space="0" w:color="auto"/>
        <w:bottom w:val="none" w:sz="0" w:space="0" w:color="auto"/>
        <w:right w:val="none" w:sz="0" w:space="0" w:color="auto"/>
      </w:divBdr>
    </w:div>
    <w:div w:id="1254166233">
      <w:bodyDiv w:val="1"/>
      <w:marLeft w:val="0"/>
      <w:marRight w:val="0"/>
      <w:marTop w:val="0"/>
      <w:marBottom w:val="0"/>
      <w:divBdr>
        <w:top w:val="none" w:sz="0" w:space="0" w:color="auto"/>
        <w:left w:val="none" w:sz="0" w:space="0" w:color="auto"/>
        <w:bottom w:val="none" w:sz="0" w:space="0" w:color="auto"/>
        <w:right w:val="none" w:sz="0" w:space="0" w:color="auto"/>
      </w:divBdr>
    </w:div>
    <w:div w:id="1267613136">
      <w:bodyDiv w:val="1"/>
      <w:marLeft w:val="0"/>
      <w:marRight w:val="0"/>
      <w:marTop w:val="0"/>
      <w:marBottom w:val="0"/>
      <w:divBdr>
        <w:top w:val="none" w:sz="0" w:space="0" w:color="auto"/>
        <w:left w:val="none" w:sz="0" w:space="0" w:color="auto"/>
        <w:bottom w:val="none" w:sz="0" w:space="0" w:color="auto"/>
        <w:right w:val="none" w:sz="0" w:space="0" w:color="auto"/>
      </w:divBdr>
    </w:div>
    <w:div w:id="1269850428">
      <w:bodyDiv w:val="1"/>
      <w:marLeft w:val="0"/>
      <w:marRight w:val="0"/>
      <w:marTop w:val="0"/>
      <w:marBottom w:val="0"/>
      <w:divBdr>
        <w:top w:val="none" w:sz="0" w:space="0" w:color="auto"/>
        <w:left w:val="none" w:sz="0" w:space="0" w:color="auto"/>
        <w:bottom w:val="none" w:sz="0" w:space="0" w:color="auto"/>
        <w:right w:val="none" w:sz="0" w:space="0" w:color="auto"/>
      </w:divBdr>
    </w:div>
    <w:div w:id="1292712742">
      <w:bodyDiv w:val="1"/>
      <w:marLeft w:val="0"/>
      <w:marRight w:val="0"/>
      <w:marTop w:val="0"/>
      <w:marBottom w:val="0"/>
      <w:divBdr>
        <w:top w:val="none" w:sz="0" w:space="0" w:color="auto"/>
        <w:left w:val="none" w:sz="0" w:space="0" w:color="auto"/>
        <w:bottom w:val="none" w:sz="0" w:space="0" w:color="auto"/>
        <w:right w:val="none" w:sz="0" w:space="0" w:color="auto"/>
      </w:divBdr>
    </w:div>
    <w:div w:id="1293710298">
      <w:bodyDiv w:val="1"/>
      <w:marLeft w:val="0"/>
      <w:marRight w:val="0"/>
      <w:marTop w:val="0"/>
      <w:marBottom w:val="0"/>
      <w:divBdr>
        <w:top w:val="none" w:sz="0" w:space="0" w:color="auto"/>
        <w:left w:val="none" w:sz="0" w:space="0" w:color="auto"/>
        <w:bottom w:val="none" w:sz="0" w:space="0" w:color="auto"/>
        <w:right w:val="none" w:sz="0" w:space="0" w:color="auto"/>
      </w:divBdr>
    </w:div>
    <w:div w:id="1295873157">
      <w:bodyDiv w:val="1"/>
      <w:marLeft w:val="0"/>
      <w:marRight w:val="0"/>
      <w:marTop w:val="0"/>
      <w:marBottom w:val="0"/>
      <w:divBdr>
        <w:top w:val="none" w:sz="0" w:space="0" w:color="auto"/>
        <w:left w:val="none" w:sz="0" w:space="0" w:color="auto"/>
        <w:bottom w:val="none" w:sz="0" w:space="0" w:color="auto"/>
        <w:right w:val="none" w:sz="0" w:space="0" w:color="auto"/>
      </w:divBdr>
    </w:div>
    <w:div w:id="1304386801">
      <w:bodyDiv w:val="1"/>
      <w:marLeft w:val="0"/>
      <w:marRight w:val="0"/>
      <w:marTop w:val="0"/>
      <w:marBottom w:val="0"/>
      <w:divBdr>
        <w:top w:val="none" w:sz="0" w:space="0" w:color="auto"/>
        <w:left w:val="none" w:sz="0" w:space="0" w:color="auto"/>
        <w:bottom w:val="none" w:sz="0" w:space="0" w:color="auto"/>
        <w:right w:val="none" w:sz="0" w:space="0" w:color="auto"/>
      </w:divBdr>
    </w:div>
    <w:div w:id="1305892314">
      <w:bodyDiv w:val="1"/>
      <w:marLeft w:val="0"/>
      <w:marRight w:val="0"/>
      <w:marTop w:val="0"/>
      <w:marBottom w:val="0"/>
      <w:divBdr>
        <w:top w:val="none" w:sz="0" w:space="0" w:color="auto"/>
        <w:left w:val="none" w:sz="0" w:space="0" w:color="auto"/>
        <w:bottom w:val="none" w:sz="0" w:space="0" w:color="auto"/>
        <w:right w:val="none" w:sz="0" w:space="0" w:color="auto"/>
      </w:divBdr>
    </w:div>
    <w:div w:id="1307979429">
      <w:bodyDiv w:val="1"/>
      <w:marLeft w:val="0"/>
      <w:marRight w:val="0"/>
      <w:marTop w:val="0"/>
      <w:marBottom w:val="0"/>
      <w:divBdr>
        <w:top w:val="none" w:sz="0" w:space="0" w:color="auto"/>
        <w:left w:val="none" w:sz="0" w:space="0" w:color="auto"/>
        <w:bottom w:val="none" w:sz="0" w:space="0" w:color="auto"/>
        <w:right w:val="none" w:sz="0" w:space="0" w:color="auto"/>
      </w:divBdr>
    </w:div>
    <w:div w:id="1348677475">
      <w:bodyDiv w:val="1"/>
      <w:marLeft w:val="0"/>
      <w:marRight w:val="0"/>
      <w:marTop w:val="0"/>
      <w:marBottom w:val="0"/>
      <w:divBdr>
        <w:top w:val="none" w:sz="0" w:space="0" w:color="auto"/>
        <w:left w:val="none" w:sz="0" w:space="0" w:color="auto"/>
        <w:bottom w:val="none" w:sz="0" w:space="0" w:color="auto"/>
        <w:right w:val="none" w:sz="0" w:space="0" w:color="auto"/>
      </w:divBdr>
    </w:div>
    <w:div w:id="1353650320">
      <w:bodyDiv w:val="1"/>
      <w:marLeft w:val="0"/>
      <w:marRight w:val="0"/>
      <w:marTop w:val="0"/>
      <w:marBottom w:val="0"/>
      <w:divBdr>
        <w:top w:val="none" w:sz="0" w:space="0" w:color="auto"/>
        <w:left w:val="none" w:sz="0" w:space="0" w:color="auto"/>
        <w:bottom w:val="none" w:sz="0" w:space="0" w:color="auto"/>
        <w:right w:val="none" w:sz="0" w:space="0" w:color="auto"/>
      </w:divBdr>
    </w:div>
    <w:div w:id="1379472914">
      <w:bodyDiv w:val="1"/>
      <w:marLeft w:val="0"/>
      <w:marRight w:val="0"/>
      <w:marTop w:val="0"/>
      <w:marBottom w:val="0"/>
      <w:divBdr>
        <w:top w:val="none" w:sz="0" w:space="0" w:color="auto"/>
        <w:left w:val="none" w:sz="0" w:space="0" w:color="auto"/>
        <w:bottom w:val="none" w:sz="0" w:space="0" w:color="auto"/>
        <w:right w:val="none" w:sz="0" w:space="0" w:color="auto"/>
      </w:divBdr>
    </w:div>
    <w:div w:id="1398866689">
      <w:bodyDiv w:val="1"/>
      <w:marLeft w:val="0"/>
      <w:marRight w:val="0"/>
      <w:marTop w:val="0"/>
      <w:marBottom w:val="0"/>
      <w:divBdr>
        <w:top w:val="none" w:sz="0" w:space="0" w:color="auto"/>
        <w:left w:val="none" w:sz="0" w:space="0" w:color="auto"/>
        <w:bottom w:val="none" w:sz="0" w:space="0" w:color="auto"/>
        <w:right w:val="none" w:sz="0" w:space="0" w:color="auto"/>
      </w:divBdr>
    </w:div>
    <w:div w:id="1415123407">
      <w:bodyDiv w:val="1"/>
      <w:marLeft w:val="0"/>
      <w:marRight w:val="0"/>
      <w:marTop w:val="0"/>
      <w:marBottom w:val="0"/>
      <w:divBdr>
        <w:top w:val="none" w:sz="0" w:space="0" w:color="auto"/>
        <w:left w:val="none" w:sz="0" w:space="0" w:color="auto"/>
        <w:bottom w:val="none" w:sz="0" w:space="0" w:color="auto"/>
        <w:right w:val="none" w:sz="0" w:space="0" w:color="auto"/>
      </w:divBdr>
    </w:div>
    <w:div w:id="1420060561">
      <w:bodyDiv w:val="1"/>
      <w:marLeft w:val="0"/>
      <w:marRight w:val="0"/>
      <w:marTop w:val="0"/>
      <w:marBottom w:val="0"/>
      <w:divBdr>
        <w:top w:val="none" w:sz="0" w:space="0" w:color="auto"/>
        <w:left w:val="none" w:sz="0" w:space="0" w:color="auto"/>
        <w:bottom w:val="none" w:sz="0" w:space="0" w:color="auto"/>
        <w:right w:val="none" w:sz="0" w:space="0" w:color="auto"/>
      </w:divBdr>
    </w:div>
    <w:div w:id="1433012627">
      <w:bodyDiv w:val="1"/>
      <w:marLeft w:val="0"/>
      <w:marRight w:val="0"/>
      <w:marTop w:val="0"/>
      <w:marBottom w:val="0"/>
      <w:divBdr>
        <w:top w:val="none" w:sz="0" w:space="0" w:color="auto"/>
        <w:left w:val="none" w:sz="0" w:space="0" w:color="auto"/>
        <w:bottom w:val="none" w:sz="0" w:space="0" w:color="auto"/>
        <w:right w:val="none" w:sz="0" w:space="0" w:color="auto"/>
      </w:divBdr>
    </w:div>
    <w:div w:id="1439371472">
      <w:bodyDiv w:val="1"/>
      <w:marLeft w:val="0"/>
      <w:marRight w:val="0"/>
      <w:marTop w:val="0"/>
      <w:marBottom w:val="0"/>
      <w:divBdr>
        <w:top w:val="none" w:sz="0" w:space="0" w:color="auto"/>
        <w:left w:val="none" w:sz="0" w:space="0" w:color="auto"/>
        <w:bottom w:val="none" w:sz="0" w:space="0" w:color="auto"/>
        <w:right w:val="none" w:sz="0" w:space="0" w:color="auto"/>
      </w:divBdr>
    </w:div>
    <w:div w:id="1451361141">
      <w:bodyDiv w:val="1"/>
      <w:marLeft w:val="0"/>
      <w:marRight w:val="0"/>
      <w:marTop w:val="0"/>
      <w:marBottom w:val="0"/>
      <w:divBdr>
        <w:top w:val="none" w:sz="0" w:space="0" w:color="auto"/>
        <w:left w:val="none" w:sz="0" w:space="0" w:color="auto"/>
        <w:bottom w:val="none" w:sz="0" w:space="0" w:color="auto"/>
        <w:right w:val="none" w:sz="0" w:space="0" w:color="auto"/>
      </w:divBdr>
    </w:div>
    <w:div w:id="1464425698">
      <w:bodyDiv w:val="1"/>
      <w:marLeft w:val="0"/>
      <w:marRight w:val="0"/>
      <w:marTop w:val="0"/>
      <w:marBottom w:val="0"/>
      <w:divBdr>
        <w:top w:val="none" w:sz="0" w:space="0" w:color="auto"/>
        <w:left w:val="none" w:sz="0" w:space="0" w:color="auto"/>
        <w:bottom w:val="none" w:sz="0" w:space="0" w:color="auto"/>
        <w:right w:val="none" w:sz="0" w:space="0" w:color="auto"/>
      </w:divBdr>
    </w:div>
    <w:div w:id="1466048534">
      <w:bodyDiv w:val="1"/>
      <w:marLeft w:val="0"/>
      <w:marRight w:val="0"/>
      <w:marTop w:val="0"/>
      <w:marBottom w:val="0"/>
      <w:divBdr>
        <w:top w:val="none" w:sz="0" w:space="0" w:color="auto"/>
        <w:left w:val="none" w:sz="0" w:space="0" w:color="auto"/>
        <w:bottom w:val="none" w:sz="0" w:space="0" w:color="auto"/>
        <w:right w:val="none" w:sz="0" w:space="0" w:color="auto"/>
      </w:divBdr>
    </w:div>
    <w:div w:id="1469398177">
      <w:bodyDiv w:val="1"/>
      <w:marLeft w:val="0"/>
      <w:marRight w:val="0"/>
      <w:marTop w:val="0"/>
      <w:marBottom w:val="0"/>
      <w:divBdr>
        <w:top w:val="none" w:sz="0" w:space="0" w:color="auto"/>
        <w:left w:val="none" w:sz="0" w:space="0" w:color="auto"/>
        <w:bottom w:val="none" w:sz="0" w:space="0" w:color="auto"/>
        <w:right w:val="none" w:sz="0" w:space="0" w:color="auto"/>
      </w:divBdr>
    </w:div>
    <w:div w:id="1487933734">
      <w:bodyDiv w:val="1"/>
      <w:marLeft w:val="0"/>
      <w:marRight w:val="0"/>
      <w:marTop w:val="0"/>
      <w:marBottom w:val="0"/>
      <w:divBdr>
        <w:top w:val="none" w:sz="0" w:space="0" w:color="auto"/>
        <w:left w:val="none" w:sz="0" w:space="0" w:color="auto"/>
        <w:bottom w:val="none" w:sz="0" w:space="0" w:color="auto"/>
        <w:right w:val="none" w:sz="0" w:space="0" w:color="auto"/>
      </w:divBdr>
    </w:div>
    <w:div w:id="1489665362">
      <w:bodyDiv w:val="1"/>
      <w:marLeft w:val="0"/>
      <w:marRight w:val="0"/>
      <w:marTop w:val="0"/>
      <w:marBottom w:val="0"/>
      <w:divBdr>
        <w:top w:val="none" w:sz="0" w:space="0" w:color="auto"/>
        <w:left w:val="none" w:sz="0" w:space="0" w:color="auto"/>
        <w:bottom w:val="none" w:sz="0" w:space="0" w:color="auto"/>
        <w:right w:val="none" w:sz="0" w:space="0" w:color="auto"/>
      </w:divBdr>
    </w:div>
    <w:div w:id="1509103298">
      <w:bodyDiv w:val="1"/>
      <w:marLeft w:val="0"/>
      <w:marRight w:val="0"/>
      <w:marTop w:val="0"/>
      <w:marBottom w:val="0"/>
      <w:divBdr>
        <w:top w:val="none" w:sz="0" w:space="0" w:color="auto"/>
        <w:left w:val="none" w:sz="0" w:space="0" w:color="auto"/>
        <w:bottom w:val="none" w:sz="0" w:space="0" w:color="auto"/>
        <w:right w:val="none" w:sz="0" w:space="0" w:color="auto"/>
      </w:divBdr>
    </w:div>
    <w:div w:id="1512643897">
      <w:bodyDiv w:val="1"/>
      <w:marLeft w:val="0"/>
      <w:marRight w:val="0"/>
      <w:marTop w:val="0"/>
      <w:marBottom w:val="0"/>
      <w:divBdr>
        <w:top w:val="none" w:sz="0" w:space="0" w:color="auto"/>
        <w:left w:val="none" w:sz="0" w:space="0" w:color="auto"/>
        <w:bottom w:val="none" w:sz="0" w:space="0" w:color="auto"/>
        <w:right w:val="none" w:sz="0" w:space="0" w:color="auto"/>
      </w:divBdr>
    </w:div>
    <w:div w:id="1522816486">
      <w:bodyDiv w:val="1"/>
      <w:marLeft w:val="0"/>
      <w:marRight w:val="0"/>
      <w:marTop w:val="0"/>
      <w:marBottom w:val="0"/>
      <w:divBdr>
        <w:top w:val="none" w:sz="0" w:space="0" w:color="auto"/>
        <w:left w:val="none" w:sz="0" w:space="0" w:color="auto"/>
        <w:bottom w:val="none" w:sz="0" w:space="0" w:color="auto"/>
        <w:right w:val="none" w:sz="0" w:space="0" w:color="auto"/>
      </w:divBdr>
    </w:div>
    <w:div w:id="1528517673">
      <w:bodyDiv w:val="1"/>
      <w:marLeft w:val="0"/>
      <w:marRight w:val="0"/>
      <w:marTop w:val="0"/>
      <w:marBottom w:val="0"/>
      <w:divBdr>
        <w:top w:val="none" w:sz="0" w:space="0" w:color="auto"/>
        <w:left w:val="none" w:sz="0" w:space="0" w:color="auto"/>
        <w:bottom w:val="none" w:sz="0" w:space="0" w:color="auto"/>
        <w:right w:val="none" w:sz="0" w:space="0" w:color="auto"/>
      </w:divBdr>
    </w:div>
    <w:div w:id="1543635416">
      <w:bodyDiv w:val="1"/>
      <w:marLeft w:val="0"/>
      <w:marRight w:val="0"/>
      <w:marTop w:val="0"/>
      <w:marBottom w:val="0"/>
      <w:divBdr>
        <w:top w:val="none" w:sz="0" w:space="0" w:color="auto"/>
        <w:left w:val="none" w:sz="0" w:space="0" w:color="auto"/>
        <w:bottom w:val="none" w:sz="0" w:space="0" w:color="auto"/>
        <w:right w:val="none" w:sz="0" w:space="0" w:color="auto"/>
      </w:divBdr>
    </w:div>
    <w:div w:id="1545293833">
      <w:bodyDiv w:val="1"/>
      <w:marLeft w:val="0"/>
      <w:marRight w:val="0"/>
      <w:marTop w:val="0"/>
      <w:marBottom w:val="0"/>
      <w:divBdr>
        <w:top w:val="none" w:sz="0" w:space="0" w:color="auto"/>
        <w:left w:val="none" w:sz="0" w:space="0" w:color="auto"/>
        <w:bottom w:val="none" w:sz="0" w:space="0" w:color="auto"/>
        <w:right w:val="none" w:sz="0" w:space="0" w:color="auto"/>
      </w:divBdr>
    </w:div>
    <w:div w:id="1556429655">
      <w:bodyDiv w:val="1"/>
      <w:marLeft w:val="0"/>
      <w:marRight w:val="0"/>
      <w:marTop w:val="0"/>
      <w:marBottom w:val="0"/>
      <w:divBdr>
        <w:top w:val="none" w:sz="0" w:space="0" w:color="auto"/>
        <w:left w:val="none" w:sz="0" w:space="0" w:color="auto"/>
        <w:bottom w:val="none" w:sz="0" w:space="0" w:color="auto"/>
        <w:right w:val="none" w:sz="0" w:space="0" w:color="auto"/>
      </w:divBdr>
    </w:div>
    <w:div w:id="1568759583">
      <w:bodyDiv w:val="1"/>
      <w:marLeft w:val="0"/>
      <w:marRight w:val="0"/>
      <w:marTop w:val="0"/>
      <w:marBottom w:val="0"/>
      <w:divBdr>
        <w:top w:val="none" w:sz="0" w:space="0" w:color="auto"/>
        <w:left w:val="none" w:sz="0" w:space="0" w:color="auto"/>
        <w:bottom w:val="none" w:sz="0" w:space="0" w:color="auto"/>
        <w:right w:val="none" w:sz="0" w:space="0" w:color="auto"/>
      </w:divBdr>
    </w:div>
    <w:div w:id="1570460947">
      <w:bodyDiv w:val="1"/>
      <w:marLeft w:val="0"/>
      <w:marRight w:val="0"/>
      <w:marTop w:val="0"/>
      <w:marBottom w:val="0"/>
      <w:divBdr>
        <w:top w:val="none" w:sz="0" w:space="0" w:color="auto"/>
        <w:left w:val="none" w:sz="0" w:space="0" w:color="auto"/>
        <w:bottom w:val="none" w:sz="0" w:space="0" w:color="auto"/>
        <w:right w:val="none" w:sz="0" w:space="0" w:color="auto"/>
      </w:divBdr>
    </w:div>
    <w:div w:id="1572496807">
      <w:bodyDiv w:val="1"/>
      <w:marLeft w:val="0"/>
      <w:marRight w:val="0"/>
      <w:marTop w:val="0"/>
      <w:marBottom w:val="0"/>
      <w:divBdr>
        <w:top w:val="none" w:sz="0" w:space="0" w:color="auto"/>
        <w:left w:val="none" w:sz="0" w:space="0" w:color="auto"/>
        <w:bottom w:val="none" w:sz="0" w:space="0" w:color="auto"/>
        <w:right w:val="none" w:sz="0" w:space="0" w:color="auto"/>
      </w:divBdr>
    </w:div>
    <w:div w:id="1583103241">
      <w:bodyDiv w:val="1"/>
      <w:marLeft w:val="0"/>
      <w:marRight w:val="0"/>
      <w:marTop w:val="0"/>
      <w:marBottom w:val="0"/>
      <w:divBdr>
        <w:top w:val="none" w:sz="0" w:space="0" w:color="auto"/>
        <w:left w:val="none" w:sz="0" w:space="0" w:color="auto"/>
        <w:bottom w:val="none" w:sz="0" w:space="0" w:color="auto"/>
        <w:right w:val="none" w:sz="0" w:space="0" w:color="auto"/>
      </w:divBdr>
    </w:div>
    <w:div w:id="1583300092">
      <w:bodyDiv w:val="1"/>
      <w:marLeft w:val="0"/>
      <w:marRight w:val="0"/>
      <w:marTop w:val="0"/>
      <w:marBottom w:val="0"/>
      <w:divBdr>
        <w:top w:val="none" w:sz="0" w:space="0" w:color="auto"/>
        <w:left w:val="none" w:sz="0" w:space="0" w:color="auto"/>
        <w:bottom w:val="none" w:sz="0" w:space="0" w:color="auto"/>
        <w:right w:val="none" w:sz="0" w:space="0" w:color="auto"/>
      </w:divBdr>
    </w:div>
    <w:div w:id="1588688036">
      <w:bodyDiv w:val="1"/>
      <w:marLeft w:val="0"/>
      <w:marRight w:val="0"/>
      <w:marTop w:val="0"/>
      <w:marBottom w:val="0"/>
      <w:divBdr>
        <w:top w:val="none" w:sz="0" w:space="0" w:color="auto"/>
        <w:left w:val="none" w:sz="0" w:space="0" w:color="auto"/>
        <w:bottom w:val="none" w:sz="0" w:space="0" w:color="auto"/>
        <w:right w:val="none" w:sz="0" w:space="0" w:color="auto"/>
      </w:divBdr>
    </w:div>
    <w:div w:id="1595891708">
      <w:bodyDiv w:val="1"/>
      <w:marLeft w:val="0"/>
      <w:marRight w:val="0"/>
      <w:marTop w:val="0"/>
      <w:marBottom w:val="0"/>
      <w:divBdr>
        <w:top w:val="none" w:sz="0" w:space="0" w:color="auto"/>
        <w:left w:val="none" w:sz="0" w:space="0" w:color="auto"/>
        <w:bottom w:val="none" w:sz="0" w:space="0" w:color="auto"/>
        <w:right w:val="none" w:sz="0" w:space="0" w:color="auto"/>
      </w:divBdr>
    </w:div>
    <w:div w:id="1598371637">
      <w:bodyDiv w:val="1"/>
      <w:marLeft w:val="0"/>
      <w:marRight w:val="0"/>
      <w:marTop w:val="0"/>
      <w:marBottom w:val="0"/>
      <w:divBdr>
        <w:top w:val="none" w:sz="0" w:space="0" w:color="auto"/>
        <w:left w:val="none" w:sz="0" w:space="0" w:color="auto"/>
        <w:bottom w:val="none" w:sz="0" w:space="0" w:color="auto"/>
        <w:right w:val="none" w:sz="0" w:space="0" w:color="auto"/>
      </w:divBdr>
    </w:div>
    <w:div w:id="1599557737">
      <w:bodyDiv w:val="1"/>
      <w:marLeft w:val="0"/>
      <w:marRight w:val="0"/>
      <w:marTop w:val="0"/>
      <w:marBottom w:val="0"/>
      <w:divBdr>
        <w:top w:val="none" w:sz="0" w:space="0" w:color="auto"/>
        <w:left w:val="none" w:sz="0" w:space="0" w:color="auto"/>
        <w:bottom w:val="none" w:sz="0" w:space="0" w:color="auto"/>
        <w:right w:val="none" w:sz="0" w:space="0" w:color="auto"/>
      </w:divBdr>
    </w:div>
    <w:div w:id="1603538056">
      <w:bodyDiv w:val="1"/>
      <w:marLeft w:val="0"/>
      <w:marRight w:val="0"/>
      <w:marTop w:val="0"/>
      <w:marBottom w:val="0"/>
      <w:divBdr>
        <w:top w:val="none" w:sz="0" w:space="0" w:color="auto"/>
        <w:left w:val="none" w:sz="0" w:space="0" w:color="auto"/>
        <w:bottom w:val="none" w:sz="0" w:space="0" w:color="auto"/>
        <w:right w:val="none" w:sz="0" w:space="0" w:color="auto"/>
      </w:divBdr>
    </w:div>
    <w:div w:id="1608343890">
      <w:bodyDiv w:val="1"/>
      <w:marLeft w:val="0"/>
      <w:marRight w:val="0"/>
      <w:marTop w:val="0"/>
      <w:marBottom w:val="0"/>
      <w:divBdr>
        <w:top w:val="none" w:sz="0" w:space="0" w:color="auto"/>
        <w:left w:val="none" w:sz="0" w:space="0" w:color="auto"/>
        <w:bottom w:val="none" w:sz="0" w:space="0" w:color="auto"/>
        <w:right w:val="none" w:sz="0" w:space="0" w:color="auto"/>
      </w:divBdr>
    </w:div>
    <w:div w:id="1608852551">
      <w:bodyDiv w:val="1"/>
      <w:marLeft w:val="0"/>
      <w:marRight w:val="0"/>
      <w:marTop w:val="0"/>
      <w:marBottom w:val="0"/>
      <w:divBdr>
        <w:top w:val="none" w:sz="0" w:space="0" w:color="auto"/>
        <w:left w:val="none" w:sz="0" w:space="0" w:color="auto"/>
        <w:bottom w:val="none" w:sz="0" w:space="0" w:color="auto"/>
        <w:right w:val="none" w:sz="0" w:space="0" w:color="auto"/>
      </w:divBdr>
    </w:div>
    <w:div w:id="1609778371">
      <w:bodyDiv w:val="1"/>
      <w:marLeft w:val="0"/>
      <w:marRight w:val="0"/>
      <w:marTop w:val="0"/>
      <w:marBottom w:val="0"/>
      <w:divBdr>
        <w:top w:val="none" w:sz="0" w:space="0" w:color="auto"/>
        <w:left w:val="none" w:sz="0" w:space="0" w:color="auto"/>
        <w:bottom w:val="none" w:sz="0" w:space="0" w:color="auto"/>
        <w:right w:val="none" w:sz="0" w:space="0" w:color="auto"/>
      </w:divBdr>
    </w:div>
    <w:div w:id="1657568451">
      <w:bodyDiv w:val="1"/>
      <w:marLeft w:val="0"/>
      <w:marRight w:val="0"/>
      <w:marTop w:val="0"/>
      <w:marBottom w:val="0"/>
      <w:divBdr>
        <w:top w:val="none" w:sz="0" w:space="0" w:color="auto"/>
        <w:left w:val="none" w:sz="0" w:space="0" w:color="auto"/>
        <w:bottom w:val="none" w:sz="0" w:space="0" w:color="auto"/>
        <w:right w:val="none" w:sz="0" w:space="0" w:color="auto"/>
      </w:divBdr>
    </w:div>
    <w:div w:id="1660692927">
      <w:bodyDiv w:val="1"/>
      <w:marLeft w:val="0"/>
      <w:marRight w:val="0"/>
      <w:marTop w:val="0"/>
      <w:marBottom w:val="0"/>
      <w:divBdr>
        <w:top w:val="none" w:sz="0" w:space="0" w:color="auto"/>
        <w:left w:val="none" w:sz="0" w:space="0" w:color="auto"/>
        <w:bottom w:val="none" w:sz="0" w:space="0" w:color="auto"/>
        <w:right w:val="none" w:sz="0" w:space="0" w:color="auto"/>
      </w:divBdr>
    </w:div>
    <w:div w:id="1671059533">
      <w:bodyDiv w:val="1"/>
      <w:marLeft w:val="0"/>
      <w:marRight w:val="0"/>
      <w:marTop w:val="0"/>
      <w:marBottom w:val="0"/>
      <w:divBdr>
        <w:top w:val="none" w:sz="0" w:space="0" w:color="auto"/>
        <w:left w:val="none" w:sz="0" w:space="0" w:color="auto"/>
        <w:bottom w:val="none" w:sz="0" w:space="0" w:color="auto"/>
        <w:right w:val="none" w:sz="0" w:space="0" w:color="auto"/>
      </w:divBdr>
    </w:div>
    <w:div w:id="1673220168">
      <w:bodyDiv w:val="1"/>
      <w:marLeft w:val="0"/>
      <w:marRight w:val="0"/>
      <w:marTop w:val="0"/>
      <w:marBottom w:val="0"/>
      <w:divBdr>
        <w:top w:val="none" w:sz="0" w:space="0" w:color="auto"/>
        <w:left w:val="none" w:sz="0" w:space="0" w:color="auto"/>
        <w:bottom w:val="none" w:sz="0" w:space="0" w:color="auto"/>
        <w:right w:val="none" w:sz="0" w:space="0" w:color="auto"/>
      </w:divBdr>
    </w:div>
    <w:div w:id="1677072973">
      <w:bodyDiv w:val="1"/>
      <w:marLeft w:val="0"/>
      <w:marRight w:val="0"/>
      <w:marTop w:val="0"/>
      <w:marBottom w:val="0"/>
      <w:divBdr>
        <w:top w:val="none" w:sz="0" w:space="0" w:color="auto"/>
        <w:left w:val="none" w:sz="0" w:space="0" w:color="auto"/>
        <w:bottom w:val="none" w:sz="0" w:space="0" w:color="auto"/>
        <w:right w:val="none" w:sz="0" w:space="0" w:color="auto"/>
      </w:divBdr>
    </w:div>
    <w:div w:id="1678726710">
      <w:bodyDiv w:val="1"/>
      <w:marLeft w:val="0"/>
      <w:marRight w:val="0"/>
      <w:marTop w:val="0"/>
      <w:marBottom w:val="0"/>
      <w:divBdr>
        <w:top w:val="none" w:sz="0" w:space="0" w:color="auto"/>
        <w:left w:val="none" w:sz="0" w:space="0" w:color="auto"/>
        <w:bottom w:val="none" w:sz="0" w:space="0" w:color="auto"/>
        <w:right w:val="none" w:sz="0" w:space="0" w:color="auto"/>
      </w:divBdr>
    </w:div>
    <w:div w:id="1690401459">
      <w:bodyDiv w:val="1"/>
      <w:marLeft w:val="0"/>
      <w:marRight w:val="0"/>
      <w:marTop w:val="0"/>
      <w:marBottom w:val="0"/>
      <w:divBdr>
        <w:top w:val="none" w:sz="0" w:space="0" w:color="auto"/>
        <w:left w:val="none" w:sz="0" w:space="0" w:color="auto"/>
        <w:bottom w:val="none" w:sz="0" w:space="0" w:color="auto"/>
        <w:right w:val="none" w:sz="0" w:space="0" w:color="auto"/>
      </w:divBdr>
    </w:div>
    <w:div w:id="1690913274">
      <w:bodyDiv w:val="1"/>
      <w:marLeft w:val="0"/>
      <w:marRight w:val="0"/>
      <w:marTop w:val="0"/>
      <w:marBottom w:val="0"/>
      <w:divBdr>
        <w:top w:val="none" w:sz="0" w:space="0" w:color="auto"/>
        <w:left w:val="none" w:sz="0" w:space="0" w:color="auto"/>
        <w:bottom w:val="none" w:sz="0" w:space="0" w:color="auto"/>
        <w:right w:val="none" w:sz="0" w:space="0" w:color="auto"/>
      </w:divBdr>
    </w:div>
    <w:div w:id="1693797154">
      <w:bodyDiv w:val="1"/>
      <w:marLeft w:val="0"/>
      <w:marRight w:val="0"/>
      <w:marTop w:val="0"/>
      <w:marBottom w:val="0"/>
      <w:divBdr>
        <w:top w:val="none" w:sz="0" w:space="0" w:color="auto"/>
        <w:left w:val="none" w:sz="0" w:space="0" w:color="auto"/>
        <w:bottom w:val="none" w:sz="0" w:space="0" w:color="auto"/>
        <w:right w:val="none" w:sz="0" w:space="0" w:color="auto"/>
      </w:divBdr>
    </w:div>
    <w:div w:id="1700086903">
      <w:bodyDiv w:val="1"/>
      <w:marLeft w:val="0"/>
      <w:marRight w:val="0"/>
      <w:marTop w:val="0"/>
      <w:marBottom w:val="0"/>
      <w:divBdr>
        <w:top w:val="none" w:sz="0" w:space="0" w:color="auto"/>
        <w:left w:val="none" w:sz="0" w:space="0" w:color="auto"/>
        <w:bottom w:val="none" w:sz="0" w:space="0" w:color="auto"/>
        <w:right w:val="none" w:sz="0" w:space="0" w:color="auto"/>
      </w:divBdr>
    </w:div>
    <w:div w:id="1702439478">
      <w:bodyDiv w:val="1"/>
      <w:marLeft w:val="0"/>
      <w:marRight w:val="0"/>
      <w:marTop w:val="0"/>
      <w:marBottom w:val="0"/>
      <w:divBdr>
        <w:top w:val="none" w:sz="0" w:space="0" w:color="auto"/>
        <w:left w:val="none" w:sz="0" w:space="0" w:color="auto"/>
        <w:bottom w:val="none" w:sz="0" w:space="0" w:color="auto"/>
        <w:right w:val="none" w:sz="0" w:space="0" w:color="auto"/>
      </w:divBdr>
    </w:div>
    <w:div w:id="1706832641">
      <w:bodyDiv w:val="1"/>
      <w:marLeft w:val="0"/>
      <w:marRight w:val="0"/>
      <w:marTop w:val="0"/>
      <w:marBottom w:val="0"/>
      <w:divBdr>
        <w:top w:val="none" w:sz="0" w:space="0" w:color="auto"/>
        <w:left w:val="none" w:sz="0" w:space="0" w:color="auto"/>
        <w:bottom w:val="none" w:sz="0" w:space="0" w:color="auto"/>
        <w:right w:val="none" w:sz="0" w:space="0" w:color="auto"/>
      </w:divBdr>
    </w:div>
    <w:div w:id="1717660838">
      <w:bodyDiv w:val="1"/>
      <w:marLeft w:val="0"/>
      <w:marRight w:val="0"/>
      <w:marTop w:val="0"/>
      <w:marBottom w:val="0"/>
      <w:divBdr>
        <w:top w:val="none" w:sz="0" w:space="0" w:color="auto"/>
        <w:left w:val="none" w:sz="0" w:space="0" w:color="auto"/>
        <w:bottom w:val="none" w:sz="0" w:space="0" w:color="auto"/>
        <w:right w:val="none" w:sz="0" w:space="0" w:color="auto"/>
      </w:divBdr>
    </w:div>
    <w:div w:id="1717774121">
      <w:bodyDiv w:val="1"/>
      <w:marLeft w:val="0"/>
      <w:marRight w:val="0"/>
      <w:marTop w:val="0"/>
      <w:marBottom w:val="0"/>
      <w:divBdr>
        <w:top w:val="none" w:sz="0" w:space="0" w:color="auto"/>
        <w:left w:val="none" w:sz="0" w:space="0" w:color="auto"/>
        <w:bottom w:val="none" w:sz="0" w:space="0" w:color="auto"/>
        <w:right w:val="none" w:sz="0" w:space="0" w:color="auto"/>
      </w:divBdr>
    </w:div>
    <w:div w:id="1717895976">
      <w:bodyDiv w:val="1"/>
      <w:marLeft w:val="0"/>
      <w:marRight w:val="0"/>
      <w:marTop w:val="0"/>
      <w:marBottom w:val="0"/>
      <w:divBdr>
        <w:top w:val="none" w:sz="0" w:space="0" w:color="auto"/>
        <w:left w:val="none" w:sz="0" w:space="0" w:color="auto"/>
        <w:bottom w:val="none" w:sz="0" w:space="0" w:color="auto"/>
        <w:right w:val="none" w:sz="0" w:space="0" w:color="auto"/>
      </w:divBdr>
    </w:div>
    <w:div w:id="1750497730">
      <w:bodyDiv w:val="1"/>
      <w:marLeft w:val="0"/>
      <w:marRight w:val="0"/>
      <w:marTop w:val="0"/>
      <w:marBottom w:val="0"/>
      <w:divBdr>
        <w:top w:val="none" w:sz="0" w:space="0" w:color="auto"/>
        <w:left w:val="none" w:sz="0" w:space="0" w:color="auto"/>
        <w:bottom w:val="none" w:sz="0" w:space="0" w:color="auto"/>
        <w:right w:val="none" w:sz="0" w:space="0" w:color="auto"/>
      </w:divBdr>
    </w:div>
    <w:div w:id="1753114572">
      <w:bodyDiv w:val="1"/>
      <w:marLeft w:val="0"/>
      <w:marRight w:val="0"/>
      <w:marTop w:val="0"/>
      <w:marBottom w:val="0"/>
      <w:divBdr>
        <w:top w:val="none" w:sz="0" w:space="0" w:color="auto"/>
        <w:left w:val="none" w:sz="0" w:space="0" w:color="auto"/>
        <w:bottom w:val="none" w:sz="0" w:space="0" w:color="auto"/>
        <w:right w:val="none" w:sz="0" w:space="0" w:color="auto"/>
      </w:divBdr>
    </w:div>
    <w:div w:id="1759599841">
      <w:bodyDiv w:val="1"/>
      <w:marLeft w:val="0"/>
      <w:marRight w:val="0"/>
      <w:marTop w:val="0"/>
      <w:marBottom w:val="0"/>
      <w:divBdr>
        <w:top w:val="none" w:sz="0" w:space="0" w:color="auto"/>
        <w:left w:val="none" w:sz="0" w:space="0" w:color="auto"/>
        <w:bottom w:val="none" w:sz="0" w:space="0" w:color="auto"/>
        <w:right w:val="none" w:sz="0" w:space="0" w:color="auto"/>
      </w:divBdr>
    </w:div>
    <w:div w:id="1783305461">
      <w:bodyDiv w:val="1"/>
      <w:marLeft w:val="0"/>
      <w:marRight w:val="0"/>
      <w:marTop w:val="0"/>
      <w:marBottom w:val="0"/>
      <w:divBdr>
        <w:top w:val="none" w:sz="0" w:space="0" w:color="auto"/>
        <w:left w:val="none" w:sz="0" w:space="0" w:color="auto"/>
        <w:bottom w:val="none" w:sz="0" w:space="0" w:color="auto"/>
        <w:right w:val="none" w:sz="0" w:space="0" w:color="auto"/>
      </w:divBdr>
    </w:div>
    <w:div w:id="1793287273">
      <w:bodyDiv w:val="1"/>
      <w:marLeft w:val="0"/>
      <w:marRight w:val="0"/>
      <w:marTop w:val="0"/>
      <w:marBottom w:val="0"/>
      <w:divBdr>
        <w:top w:val="none" w:sz="0" w:space="0" w:color="auto"/>
        <w:left w:val="none" w:sz="0" w:space="0" w:color="auto"/>
        <w:bottom w:val="none" w:sz="0" w:space="0" w:color="auto"/>
        <w:right w:val="none" w:sz="0" w:space="0" w:color="auto"/>
      </w:divBdr>
    </w:div>
    <w:div w:id="1795714606">
      <w:bodyDiv w:val="1"/>
      <w:marLeft w:val="0"/>
      <w:marRight w:val="0"/>
      <w:marTop w:val="0"/>
      <w:marBottom w:val="0"/>
      <w:divBdr>
        <w:top w:val="none" w:sz="0" w:space="0" w:color="auto"/>
        <w:left w:val="none" w:sz="0" w:space="0" w:color="auto"/>
        <w:bottom w:val="none" w:sz="0" w:space="0" w:color="auto"/>
        <w:right w:val="none" w:sz="0" w:space="0" w:color="auto"/>
      </w:divBdr>
    </w:div>
    <w:div w:id="1797138100">
      <w:bodyDiv w:val="1"/>
      <w:marLeft w:val="0"/>
      <w:marRight w:val="0"/>
      <w:marTop w:val="0"/>
      <w:marBottom w:val="0"/>
      <w:divBdr>
        <w:top w:val="none" w:sz="0" w:space="0" w:color="auto"/>
        <w:left w:val="none" w:sz="0" w:space="0" w:color="auto"/>
        <w:bottom w:val="none" w:sz="0" w:space="0" w:color="auto"/>
        <w:right w:val="none" w:sz="0" w:space="0" w:color="auto"/>
      </w:divBdr>
    </w:div>
    <w:div w:id="1804814207">
      <w:bodyDiv w:val="1"/>
      <w:marLeft w:val="0"/>
      <w:marRight w:val="0"/>
      <w:marTop w:val="0"/>
      <w:marBottom w:val="0"/>
      <w:divBdr>
        <w:top w:val="none" w:sz="0" w:space="0" w:color="auto"/>
        <w:left w:val="none" w:sz="0" w:space="0" w:color="auto"/>
        <w:bottom w:val="none" w:sz="0" w:space="0" w:color="auto"/>
        <w:right w:val="none" w:sz="0" w:space="0" w:color="auto"/>
      </w:divBdr>
    </w:div>
    <w:div w:id="1807698482">
      <w:bodyDiv w:val="1"/>
      <w:marLeft w:val="0"/>
      <w:marRight w:val="0"/>
      <w:marTop w:val="0"/>
      <w:marBottom w:val="0"/>
      <w:divBdr>
        <w:top w:val="none" w:sz="0" w:space="0" w:color="auto"/>
        <w:left w:val="none" w:sz="0" w:space="0" w:color="auto"/>
        <w:bottom w:val="none" w:sz="0" w:space="0" w:color="auto"/>
        <w:right w:val="none" w:sz="0" w:space="0" w:color="auto"/>
      </w:divBdr>
    </w:div>
    <w:div w:id="1819834450">
      <w:bodyDiv w:val="1"/>
      <w:marLeft w:val="0"/>
      <w:marRight w:val="0"/>
      <w:marTop w:val="0"/>
      <w:marBottom w:val="0"/>
      <w:divBdr>
        <w:top w:val="none" w:sz="0" w:space="0" w:color="auto"/>
        <w:left w:val="none" w:sz="0" w:space="0" w:color="auto"/>
        <w:bottom w:val="none" w:sz="0" w:space="0" w:color="auto"/>
        <w:right w:val="none" w:sz="0" w:space="0" w:color="auto"/>
      </w:divBdr>
    </w:div>
    <w:div w:id="1826896705">
      <w:bodyDiv w:val="1"/>
      <w:marLeft w:val="0"/>
      <w:marRight w:val="0"/>
      <w:marTop w:val="0"/>
      <w:marBottom w:val="0"/>
      <w:divBdr>
        <w:top w:val="none" w:sz="0" w:space="0" w:color="auto"/>
        <w:left w:val="none" w:sz="0" w:space="0" w:color="auto"/>
        <w:bottom w:val="none" w:sz="0" w:space="0" w:color="auto"/>
        <w:right w:val="none" w:sz="0" w:space="0" w:color="auto"/>
      </w:divBdr>
    </w:div>
    <w:div w:id="1827286645">
      <w:bodyDiv w:val="1"/>
      <w:marLeft w:val="0"/>
      <w:marRight w:val="0"/>
      <w:marTop w:val="0"/>
      <w:marBottom w:val="0"/>
      <w:divBdr>
        <w:top w:val="none" w:sz="0" w:space="0" w:color="auto"/>
        <w:left w:val="none" w:sz="0" w:space="0" w:color="auto"/>
        <w:bottom w:val="none" w:sz="0" w:space="0" w:color="auto"/>
        <w:right w:val="none" w:sz="0" w:space="0" w:color="auto"/>
      </w:divBdr>
    </w:div>
    <w:div w:id="1829319351">
      <w:bodyDiv w:val="1"/>
      <w:marLeft w:val="0"/>
      <w:marRight w:val="0"/>
      <w:marTop w:val="0"/>
      <w:marBottom w:val="0"/>
      <w:divBdr>
        <w:top w:val="none" w:sz="0" w:space="0" w:color="auto"/>
        <w:left w:val="none" w:sz="0" w:space="0" w:color="auto"/>
        <w:bottom w:val="none" w:sz="0" w:space="0" w:color="auto"/>
        <w:right w:val="none" w:sz="0" w:space="0" w:color="auto"/>
      </w:divBdr>
    </w:div>
    <w:div w:id="1831293656">
      <w:bodyDiv w:val="1"/>
      <w:marLeft w:val="0"/>
      <w:marRight w:val="0"/>
      <w:marTop w:val="0"/>
      <w:marBottom w:val="0"/>
      <w:divBdr>
        <w:top w:val="none" w:sz="0" w:space="0" w:color="auto"/>
        <w:left w:val="none" w:sz="0" w:space="0" w:color="auto"/>
        <w:bottom w:val="none" w:sz="0" w:space="0" w:color="auto"/>
        <w:right w:val="none" w:sz="0" w:space="0" w:color="auto"/>
      </w:divBdr>
    </w:div>
    <w:div w:id="1840582494">
      <w:bodyDiv w:val="1"/>
      <w:marLeft w:val="0"/>
      <w:marRight w:val="0"/>
      <w:marTop w:val="0"/>
      <w:marBottom w:val="0"/>
      <w:divBdr>
        <w:top w:val="none" w:sz="0" w:space="0" w:color="auto"/>
        <w:left w:val="none" w:sz="0" w:space="0" w:color="auto"/>
        <w:bottom w:val="none" w:sz="0" w:space="0" w:color="auto"/>
        <w:right w:val="none" w:sz="0" w:space="0" w:color="auto"/>
      </w:divBdr>
    </w:div>
    <w:div w:id="1846246950">
      <w:bodyDiv w:val="1"/>
      <w:marLeft w:val="0"/>
      <w:marRight w:val="0"/>
      <w:marTop w:val="0"/>
      <w:marBottom w:val="0"/>
      <w:divBdr>
        <w:top w:val="none" w:sz="0" w:space="0" w:color="auto"/>
        <w:left w:val="none" w:sz="0" w:space="0" w:color="auto"/>
        <w:bottom w:val="none" w:sz="0" w:space="0" w:color="auto"/>
        <w:right w:val="none" w:sz="0" w:space="0" w:color="auto"/>
      </w:divBdr>
    </w:div>
    <w:div w:id="1847015377">
      <w:bodyDiv w:val="1"/>
      <w:marLeft w:val="0"/>
      <w:marRight w:val="0"/>
      <w:marTop w:val="0"/>
      <w:marBottom w:val="0"/>
      <w:divBdr>
        <w:top w:val="none" w:sz="0" w:space="0" w:color="auto"/>
        <w:left w:val="none" w:sz="0" w:space="0" w:color="auto"/>
        <w:bottom w:val="none" w:sz="0" w:space="0" w:color="auto"/>
        <w:right w:val="none" w:sz="0" w:space="0" w:color="auto"/>
      </w:divBdr>
    </w:div>
    <w:div w:id="1849905362">
      <w:bodyDiv w:val="1"/>
      <w:marLeft w:val="0"/>
      <w:marRight w:val="0"/>
      <w:marTop w:val="0"/>
      <w:marBottom w:val="0"/>
      <w:divBdr>
        <w:top w:val="none" w:sz="0" w:space="0" w:color="auto"/>
        <w:left w:val="none" w:sz="0" w:space="0" w:color="auto"/>
        <w:bottom w:val="none" w:sz="0" w:space="0" w:color="auto"/>
        <w:right w:val="none" w:sz="0" w:space="0" w:color="auto"/>
      </w:divBdr>
    </w:div>
    <w:div w:id="1850680778">
      <w:bodyDiv w:val="1"/>
      <w:marLeft w:val="0"/>
      <w:marRight w:val="0"/>
      <w:marTop w:val="0"/>
      <w:marBottom w:val="0"/>
      <w:divBdr>
        <w:top w:val="none" w:sz="0" w:space="0" w:color="auto"/>
        <w:left w:val="none" w:sz="0" w:space="0" w:color="auto"/>
        <w:bottom w:val="none" w:sz="0" w:space="0" w:color="auto"/>
        <w:right w:val="none" w:sz="0" w:space="0" w:color="auto"/>
      </w:divBdr>
    </w:div>
    <w:div w:id="1851213507">
      <w:bodyDiv w:val="1"/>
      <w:marLeft w:val="0"/>
      <w:marRight w:val="0"/>
      <w:marTop w:val="0"/>
      <w:marBottom w:val="0"/>
      <w:divBdr>
        <w:top w:val="none" w:sz="0" w:space="0" w:color="auto"/>
        <w:left w:val="none" w:sz="0" w:space="0" w:color="auto"/>
        <w:bottom w:val="none" w:sz="0" w:space="0" w:color="auto"/>
        <w:right w:val="none" w:sz="0" w:space="0" w:color="auto"/>
      </w:divBdr>
    </w:div>
    <w:div w:id="1855920125">
      <w:bodyDiv w:val="1"/>
      <w:marLeft w:val="0"/>
      <w:marRight w:val="0"/>
      <w:marTop w:val="0"/>
      <w:marBottom w:val="0"/>
      <w:divBdr>
        <w:top w:val="none" w:sz="0" w:space="0" w:color="auto"/>
        <w:left w:val="none" w:sz="0" w:space="0" w:color="auto"/>
        <w:bottom w:val="none" w:sz="0" w:space="0" w:color="auto"/>
        <w:right w:val="none" w:sz="0" w:space="0" w:color="auto"/>
      </w:divBdr>
    </w:div>
    <w:div w:id="1862739857">
      <w:bodyDiv w:val="1"/>
      <w:marLeft w:val="0"/>
      <w:marRight w:val="0"/>
      <w:marTop w:val="0"/>
      <w:marBottom w:val="0"/>
      <w:divBdr>
        <w:top w:val="none" w:sz="0" w:space="0" w:color="auto"/>
        <w:left w:val="none" w:sz="0" w:space="0" w:color="auto"/>
        <w:bottom w:val="none" w:sz="0" w:space="0" w:color="auto"/>
        <w:right w:val="none" w:sz="0" w:space="0" w:color="auto"/>
      </w:divBdr>
    </w:div>
    <w:div w:id="1874415416">
      <w:bodyDiv w:val="1"/>
      <w:marLeft w:val="0"/>
      <w:marRight w:val="0"/>
      <w:marTop w:val="0"/>
      <w:marBottom w:val="0"/>
      <w:divBdr>
        <w:top w:val="none" w:sz="0" w:space="0" w:color="auto"/>
        <w:left w:val="none" w:sz="0" w:space="0" w:color="auto"/>
        <w:bottom w:val="none" w:sz="0" w:space="0" w:color="auto"/>
        <w:right w:val="none" w:sz="0" w:space="0" w:color="auto"/>
      </w:divBdr>
    </w:div>
    <w:div w:id="1880238040">
      <w:bodyDiv w:val="1"/>
      <w:marLeft w:val="0"/>
      <w:marRight w:val="0"/>
      <w:marTop w:val="0"/>
      <w:marBottom w:val="0"/>
      <w:divBdr>
        <w:top w:val="none" w:sz="0" w:space="0" w:color="auto"/>
        <w:left w:val="none" w:sz="0" w:space="0" w:color="auto"/>
        <w:bottom w:val="none" w:sz="0" w:space="0" w:color="auto"/>
        <w:right w:val="none" w:sz="0" w:space="0" w:color="auto"/>
      </w:divBdr>
    </w:div>
    <w:div w:id="1888486958">
      <w:bodyDiv w:val="1"/>
      <w:marLeft w:val="0"/>
      <w:marRight w:val="0"/>
      <w:marTop w:val="0"/>
      <w:marBottom w:val="0"/>
      <w:divBdr>
        <w:top w:val="none" w:sz="0" w:space="0" w:color="auto"/>
        <w:left w:val="none" w:sz="0" w:space="0" w:color="auto"/>
        <w:bottom w:val="none" w:sz="0" w:space="0" w:color="auto"/>
        <w:right w:val="none" w:sz="0" w:space="0" w:color="auto"/>
      </w:divBdr>
    </w:div>
    <w:div w:id="1923951175">
      <w:bodyDiv w:val="1"/>
      <w:marLeft w:val="0"/>
      <w:marRight w:val="0"/>
      <w:marTop w:val="0"/>
      <w:marBottom w:val="0"/>
      <w:divBdr>
        <w:top w:val="none" w:sz="0" w:space="0" w:color="auto"/>
        <w:left w:val="none" w:sz="0" w:space="0" w:color="auto"/>
        <w:bottom w:val="none" w:sz="0" w:space="0" w:color="auto"/>
        <w:right w:val="none" w:sz="0" w:space="0" w:color="auto"/>
      </w:divBdr>
    </w:div>
    <w:div w:id="1933320535">
      <w:bodyDiv w:val="1"/>
      <w:marLeft w:val="0"/>
      <w:marRight w:val="0"/>
      <w:marTop w:val="0"/>
      <w:marBottom w:val="0"/>
      <w:divBdr>
        <w:top w:val="none" w:sz="0" w:space="0" w:color="auto"/>
        <w:left w:val="none" w:sz="0" w:space="0" w:color="auto"/>
        <w:bottom w:val="none" w:sz="0" w:space="0" w:color="auto"/>
        <w:right w:val="none" w:sz="0" w:space="0" w:color="auto"/>
      </w:divBdr>
    </w:div>
    <w:div w:id="1934195527">
      <w:bodyDiv w:val="1"/>
      <w:marLeft w:val="0"/>
      <w:marRight w:val="0"/>
      <w:marTop w:val="0"/>
      <w:marBottom w:val="0"/>
      <w:divBdr>
        <w:top w:val="none" w:sz="0" w:space="0" w:color="auto"/>
        <w:left w:val="none" w:sz="0" w:space="0" w:color="auto"/>
        <w:bottom w:val="none" w:sz="0" w:space="0" w:color="auto"/>
        <w:right w:val="none" w:sz="0" w:space="0" w:color="auto"/>
      </w:divBdr>
    </w:div>
    <w:div w:id="1938056160">
      <w:bodyDiv w:val="1"/>
      <w:marLeft w:val="0"/>
      <w:marRight w:val="0"/>
      <w:marTop w:val="0"/>
      <w:marBottom w:val="0"/>
      <w:divBdr>
        <w:top w:val="none" w:sz="0" w:space="0" w:color="auto"/>
        <w:left w:val="none" w:sz="0" w:space="0" w:color="auto"/>
        <w:bottom w:val="none" w:sz="0" w:space="0" w:color="auto"/>
        <w:right w:val="none" w:sz="0" w:space="0" w:color="auto"/>
      </w:divBdr>
    </w:div>
    <w:div w:id="1940601480">
      <w:bodyDiv w:val="1"/>
      <w:marLeft w:val="0"/>
      <w:marRight w:val="0"/>
      <w:marTop w:val="0"/>
      <w:marBottom w:val="0"/>
      <w:divBdr>
        <w:top w:val="none" w:sz="0" w:space="0" w:color="auto"/>
        <w:left w:val="none" w:sz="0" w:space="0" w:color="auto"/>
        <w:bottom w:val="none" w:sz="0" w:space="0" w:color="auto"/>
        <w:right w:val="none" w:sz="0" w:space="0" w:color="auto"/>
      </w:divBdr>
    </w:div>
    <w:div w:id="1950966176">
      <w:bodyDiv w:val="1"/>
      <w:marLeft w:val="0"/>
      <w:marRight w:val="0"/>
      <w:marTop w:val="0"/>
      <w:marBottom w:val="0"/>
      <w:divBdr>
        <w:top w:val="none" w:sz="0" w:space="0" w:color="auto"/>
        <w:left w:val="none" w:sz="0" w:space="0" w:color="auto"/>
        <w:bottom w:val="none" w:sz="0" w:space="0" w:color="auto"/>
        <w:right w:val="none" w:sz="0" w:space="0" w:color="auto"/>
      </w:divBdr>
    </w:div>
    <w:div w:id="1964454763">
      <w:bodyDiv w:val="1"/>
      <w:marLeft w:val="0"/>
      <w:marRight w:val="0"/>
      <w:marTop w:val="0"/>
      <w:marBottom w:val="0"/>
      <w:divBdr>
        <w:top w:val="none" w:sz="0" w:space="0" w:color="auto"/>
        <w:left w:val="none" w:sz="0" w:space="0" w:color="auto"/>
        <w:bottom w:val="none" w:sz="0" w:space="0" w:color="auto"/>
        <w:right w:val="none" w:sz="0" w:space="0" w:color="auto"/>
      </w:divBdr>
    </w:div>
    <w:div w:id="1987589775">
      <w:bodyDiv w:val="1"/>
      <w:marLeft w:val="0"/>
      <w:marRight w:val="0"/>
      <w:marTop w:val="0"/>
      <w:marBottom w:val="0"/>
      <w:divBdr>
        <w:top w:val="none" w:sz="0" w:space="0" w:color="auto"/>
        <w:left w:val="none" w:sz="0" w:space="0" w:color="auto"/>
        <w:bottom w:val="none" w:sz="0" w:space="0" w:color="auto"/>
        <w:right w:val="none" w:sz="0" w:space="0" w:color="auto"/>
      </w:divBdr>
    </w:div>
    <w:div w:id="2006467310">
      <w:bodyDiv w:val="1"/>
      <w:marLeft w:val="0"/>
      <w:marRight w:val="0"/>
      <w:marTop w:val="0"/>
      <w:marBottom w:val="0"/>
      <w:divBdr>
        <w:top w:val="none" w:sz="0" w:space="0" w:color="auto"/>
        <w:left w:val="none" w:sz="0" w:space="0" w:color="auto"/>
        <w:bottom w:val="none" w:sz="0" w:space="0" w:color="auto"/>
        <w:right w:val="none" w:sz="0" w:space="0" w:color="auto"/>
      </w:divBdr>
    </w:div>
    <w:div w:id="2009209281">
      <w:bodyDiv w:val="1"/>
      <w:marLeft w:val="0"/>
      <w:marRight w:val="0"/>
      <w:marTop w:val="0"/>
      <w:marBottom w:val="0"/>
      <w:divBdr>
        <w:top w:val="none" w:sz="0" w:space="0" w:color="auto"/>
        <w:left w:val="none" w:sz="0" w:space="0" w:color="auto"/>
        <w:bottom w:val="none" w:sz="0" w:space="0" w:color="auto"/>
        <w:right w:val="none" w:sz="0" w:space="0" w:color="auto"/>
      </w:divBdr>
    </w:div>
    <w:div w:id="2011441535">
      <w:bodyDiv w:val="1"/>
      <w:marLeft w:val="0"/>
      <w:marRight w:val="0"/>
      <w:marTop w:val="0"/>
      <w:marBottom w:val="0"/>
      <w:divBdr>
        <w:top w:val="none" w:sz="0" w:space="0" w:color="auto"/>
        <w:left w:val="none" w:sz="0" w:space="0" w:color="auto"/>
        <w:bottom w:val="none" w:sz="0" w:space="0" w:color="auto"/>
        <w:right w:val="none" w:sz="0" w:space="0" w:color="auto"/>
      </w:divBdr>
    </w:div>
    <w:div w:id="2017491790">
      <w:bodyDiv w:val="1"/>
      <w:marLeft w:val="0"/>
      <w:marRight w:val="0"/>
      <w:marTop w:val="0"/>
      <w:marBottom w:val="0"/>
      <w:divBdr>
        <w:top w:val="none" w:sz="0" w:space="0" w:color="auto"/>
        <w:left w:val="none" w:sz="0" w:space="0" w:color="auto"/>
        <w:bottom w:val="none" w:sz="0" w:space="0" w:color="auto"/>
        <w:right w:val="none" w:sz="0" w:space="0" w:color="auto"/>
      </w:divBdr>
    </w:div>
    <w:div w:id="2022968658">
      <w:bodyDiv w:val="1"/>
      <w:marLeft w:val="0"/>
      <w:marRight w:val="0"/>
      <w:marTop w:val="0"/>
      <w:marBottom w:val="0"/>
      <w:divBdr>
        <w:top w:val="none" w:sz="0" w:space="0" w:color="auto"/>
        <w:left w:val="none" w:sz="0" w:space="0" w:color="auto"/>
        <w:bottom w:val="none" w:sz="0" w:space="0" w:color="auto"/>
        <w:right w:val="none" w:sz="0" w:space="0" w:color="auto"/>
      </w:divBdr>
    </w:div>
    <w:div w:id="2028676586">
      <w:bodyDiv w:val="1"/>
      <w:marLeft w:val="0"/>
      <w:marRight w:val="0"/>
      <w:marTop w:val="0"/>
      <w:marBottom w:val="0"/>
      <w:divBdr>
        <w:top w:val="none" w:sz="0" w:space="0" w:color="auto"/>
        <w:left w:val="none" w:sz="0" w:space="0" w:color="auto"/>
        <w:bottom w:val="none" w:sz="0" w:space="0" w:color="auto"/>
        <w:right w:val="none" w:sz="0" w:space="0" w:color="auto"/>
      </w:divBdr>
    </w:div>
    <w:div w:id="2037149512">
      <w:bodyDiv w:val="1"/>
      <w:marLeft w:val="0"/>
      <w:marRight w:val="0"/>
      <w:marTop w:val="0"/>
      <w:marBottom w:val="0"/>
      <w:divBdr>
        <w:top w:val="none" w:sz="0" w:space="0" w:color="auto"/>
        <w:left w:val="none" w:sz="0" w:space="0" w:color="auto"/>
        <w:bottom w:val="none" w:sz="0" w:space="0" w:color="auto"/>
        <w:right w:val="none" w:sz="0" w:space="0" w:color="auto"/>
      </w:divBdr>
    </w:div>
    <w:div w:id="2043938994">
      <w:bodyDiv w:val="1"/>
      <w:marLeft w:val="0"/>
      <w:marRight w:val="0"/>
      <w:marTop w:val="0"/>
      <w:marBottom w:val="0"/>
      <w:divBdr>
        <w:top w:val="none" w:sz="0" w:space="0" w:color="auto"/>
        <w:left w:val="none" w:sz="0" w:space="0" w:color="auto"/>
        <w:bottom w:val="none" w:sz="0" w:space="0" w:color="auto"/>
        <w:right w:val="none" w:sz="0" w:space="0" w:color="auto"/>
      </w:divBdr>
    </w:div>
    <w:div w:id="2050765390">
      <w:bodyDiv w:val="1"/>
      <w:marLeft w:val="0"/>
      <w:marRight w:val="0"/>
      <w:marTop w:val="0"/>
      <w:marBottom w:val="0"/>
      <w:divBdr>
        <w:top w:val="none" w:sz="0" w:space="0" w:color="auto"/>
        <w:left w:val="none" w:sz="0" w:space="0" w:color="auto"/>
        <w:bottom w:val="none" w:sz="0" w:space="0" w:color="auto"/>
        <w:right w:val="none" w:sz="0" w:space="0" w:color="auto"/>
      </w:divBdr>
    </w:div>
    <w:div w:id="2055961339">
      <w:bodyDiv w:val="1"/>
      <w:marLeft w:val="0"/>
      <w:marRight w:val="0"/>
      <w:marTop w:val="0"/>
      <w:marBottom w:val="0"/>
      <w:divBdr>
        <w:top w:val="none" w:sz="0" w:space="0" w:color="auto"/>
        <w:left w:val="none" w:sz="0" w:space="0" w:color="auto"/>
        <w:bottom w:val="none" w:sz="0" w:space="0" w:color="auto"/>
        <w:right w:val="none" w:sz="0" w:space="0" w:color="auto"/>
      </w:divBdr>
    </w:div>
    <w:div w:id="2072342750">
      <w:bodyDiv w:val="1"/>
      <w:marLeft w:val="0"/>
      <w:marRight w:val="0"/>
      <w:marTop w:val="0"/>
      <w:marBottom w:val="0"/>
      <w:divBdr>
        <w:top w:val="none" w:sz="0" w:space="0" w:color="auto"/>
        <w:left w:val="none" w:sz="0" w:space="0" w:color="auto"/>
        <w:bottom w:val="none" w:sz="0" w:space="0" w:color="auto"/>
        <w:right w:val="none" w:sz="0" w:space="0" w:color="auto"/>
      </w:divBdr>
    </w:div>
    <w:div w:id="2080058244">
      <w:bodyDiv w:val="1"/>
      <w:marLeft w:val="0"/>
      <w:marRight w:val="0"/>
      <w:marTop w:val="0"/>
      <w:marBottom w:val="0"/>
      <w:divBdr>
        <w:top w:val="none" w:sz="0" w:space="0" w:color="auto"/>
        <w:left w:val="none" w:sz="0" w:space="0" w:color="auto"/>
        <w:bottom w:val="none" w:sz="0" w:space="0" w:color="auto"/>
        <w:right w:val="none" w:sz="0" w:space="0" w:color="auto"/>
      </w:divBdr>
    </w:div>
    <w:div w:id="2082410138">
      <w:bodyDiv w:val="1"/>
      <w:marLeft w:val="0"/>
      <w:marRight w:val="0"/>
      <w:marTop w:val="0"/>
      <w:marBottom w:val="0"/>
      <w:divBdr>
        <w:top w:val="none" w:sz="0" w:space="0" w:color="auto"/>
        <w:left w:val="none" w:sz="0" w:space="0" w:color="auto"/>
        <w:bottom w:val="none" w:sz="0" w:space="0" w:color="auto"/>
        <w:right w:val="none" w:sz="0" w:space="0" w:color="auto"/>
      </w:divBdr>
    </w:div>
    <w:div w:id="2101025880">
      <w:bodyDiv w:val="1"/>
      <w:marLeft w:val="0"/>
      <w:marRight w:val="0"/>
      <w:marTop w:val="0"/>
      <w:marBottom w:val="0"/>
      <w:divBdr>
        <w:top w:val="none" w:sz="0" w:space="0" w:color="auto"/>
        <w:left w:val="none" w:sz="0" w:space="0" w:color="auto"/>
        <w:bottom w:val="none" w:sz="0" w:space="0" w:color="auto"/>
        <w:right w:val="none" w:sz="0" w:space="0" w:color="auto"/>
      </w:divBdr>
    </w:div>
    <w:div w:id="2109693385">
      <w:bodyDiv w:val="1"/>
      <w:marLeft w:val="0"/>
      <w:marRight w:val="0"/>
      <w:marTop w:val="0"/>
      <w:marBottom w:val="0"/>
      <w:divBdr>
        <w:top w:val="none" w:sz="0" w:space="0" w:color="auto"/>
        <w:left w:val="none" w:sz="0" w:space="0" w:color="auto"/>
        <w:bottom w:val="none" w:sz="0" w:space="0" w:color="auto"/>
        <w:right w:val="none" w:sz="0" w:space="0" w:color="auto"/>
      </w:divBdr>
    </w:div>
    <w:div w:id="2110923792">
      <w:bodyDiv w:val="1"/>
      <w:marLeft w:val="0"/>
      <w:marRight w:val="0"/>
      <w:marTop w:val="0"/>
      <w:marBottom w:val="0"/>
      <w:divBdr>
        <w:top w:val="none" w:sz="0" w:space="0" w:color="auto"/>
        <w:left w:val="none" w:sz="0" w:space="0" w:color="auto"/>
        <w:bottom w:val="none" w:sz="0" w:space="0" w:color="auto"/>
        <w:right w:val="none" w:sz="0" w:space="0" w:color="auto"/>
      </w:divBdr>
    </w:div>
    <w:div w:id="2118674649">
      <w:bodyDiv w:val="1"/>
      <w:marLeft w:val="0"/>
      <w:marRight w:val="0"/>
      <w:marTop w:val="0"/>
      <w:marBottom w:val="0"/>
      <w:divBdr>
        <w:top w:val="none" w:sz="0" w:space="0" w:color="auto"/>
        <w:left w:val="none" w:sz="0" w:space="0" w:color="auto"/>
        <w:bottom w:val="none" w:sz="0" w:space="0" w:color="auto"/>
        <w:right w:val="none" w:sz="0" w:space="0" w:color="auto"/>
      </w:divBdr>
    </w:div>
    <w:div w:id="2120483961">
      <w:bodyDiv w:val="1"/>
      <w:marLeft w:val="0"/>
      <w:marRight w:val="0"/>
      <w:marTop w:val="0"/>
      <w:marBottom w:val="0"/>
      <w:divBdr>
        <w:top w:val="none" w:sz="0" w:space="0" w:color="auto"/>
        <w:left w:val="none" w:sz="0" w:space="0" w:color="auto"/>
        <w:bottom w:val="none" w:sz="0" w:space="0" w:color="auto"/>
        <w:right w:val="none" w:sz="0" w:space="0" w:color="auto"/>
      </w:divBdr>
    </w:div>
    <w:div w:id="2124692516">
      <w:bodyDiv w:val="1"/>
      <w:marLeft w:val="0"/>
      <w:marRight w:val="0"/>
      <w:marTop w:val="0"/>
      <w:marBottom w:val="0"/>
      <w:divBdr>
        <w:top w:val="none" w:sz="0" w:space="0" w:color="auto"/>
        <w:left w:val="none" w:sz="0" w:space="0" w:color="auto"/>
        <w:bottom w:val="none" w:sz="0" w:space="0" w:color="auto"/>
        <w:right w:val="none" w:sz="0" w:space="0" w:color="auto"/>
      </w:divBdr>
    </w:div>
    <w:div w:id="2126120408">
      <w:bodyDiv w:val="1"/>
      <w:marLeft w:val="0"/>
      <w:marRight w:val="0"/>
      <w:marTop w:val="0"/>
      <w:marBottom w:val="0"/>
      <w:divBdr>
        <w:top w:val="none" w:sz="0" w:space="0" w:color="auto"/>
        <w:left w:val="none" w:sz="0" w:space="0" w:color="auto"/>
        <w:bottom w:val="none" w:sz="0" w:space="0" w:color="auto"/>
        <w:right w:val="none" w:sz="0" w:space="0" w:color="auto"/>
      </w:divBdr>
    </w:div>
    <w:div w:id="214161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2D4ED-0C08-410A-A649-86B0CF48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30</Pages>
  <Words>6750</Words>
  <Characters>34992</Characters>
  <Application>Microsoft Office Word</Application>
  <DocSecurity>0</DocSecurity>
  <Lines>1066</Lines>
  <Paragraphs>488</Paragraphs>
  <ScaleCrop>false</ScaleCrop>
  <HeadingPairs>
    <vt:vector size="4" baseType="variant">
      <vt:variant>
        <vt:lpstr>Title</vt:lpstr>
      </vt:variant>
      <vt:variant>
        <vt:i4>1</vt:i4>
      </vt:variant>
      <vt:variant>
        <vt:lpstr/>
      </vt:variant>
      <vt:variant>
        <vt:i4>1</vt:i4>
      </vt:variant>
    </vt:vector>
  </HeadingPairs>
  <TitlesOfParts>
    <vt:vector size="2" baseType="lpstr">
      <vt:lpstr>EA Fact sheet - changes for the proposed EA 2024-27</vt:lpstr>
      <vt:lpstr/>
    </vt:vector>
  </TitlesOfParts>
  <Company/>
  <LinksUpToDate>false</LinksUpToDate>
  <CharactersWithSpaces>41580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Fact sheet - changes for the proposed EA 2024-27</dc:title>
  <dc:subject/>
  <dc:creator>SHANDIL, Sushila</dc:creator>
  <cp:keywords>[SEC=OFFICIAL]</cp:keywords>
  <dc:description/>
  <cp:lastModifiedBy>RAASSINA, Melissa</cp:lastModifiedBy>
  <cp:revision>60</cp:revision>
  <dcterms:created xsi:type="dcterms:W3CDTF">2024-02-27T23:39:00Z</dcterms:created>
  <dcterms:modified xsi:type="dcterms:W3CDTF">2024-03-03T07:20:00Z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Display">
    <vt:lpwstr>OFFICIAL</vt:lpwstr>
  </property>
  <property fmtid="{D5CDD505-2E9C-101B-9397-08002B2CF9AE}" pid="4" name="PM_DisplayValueSecClassificationWithQualifier">
    <vt:lpwstr>OFFICIAL</vt:lpwstr>
  </property>
  <property fmtid="{D5CDD505-2E9C-101B-9397-08002B2CF9AE}" pid="5" name="PM_Hash_Salt">
    <vt:lpwstr>03D10FDD36B654470D1FDFD1DF271601</vt:lpwstr>
  </property>
  <property fmtid="{D5CDD505-2E9C-101B-9397-08002B2CF9AE}" pid="6" name="PM_Hash_Salt_Prev">
    <vt:lpwstr>8AEBAAAA211439B83E47F8397CFE1B43</vt:lpwstr>
  </property>
  <property fmtid="{D5CDD505-2E9C-101B-9397-08002B2CF9AE}" pid="7" name="PM_Hash_SHA1">
    <vt:lpwstr>9926DD4E8E531987AF772142BC3985808F496A54</vt:lpwstr>
  </property>
  <property fmtid="{D5CDD505-2E9C-101B-9397-08002B2CF9AE}" pid="8" name="PM_Hash_Version">
    <vt:lpwstr>2018.0</vt:lpwstr>
  </property>
  <property fmtid="{D5CDD505-2E9C-101B-9397-08002B2CF9AE}" pid="9" name="PM_InsertionValue">
    <vt:lpwstr>OFFICIAL</vt:lpwstr>
  </property>
  <property fmtid="{D5CDD505-2E9C-101B-9397-08002B2CF9AE}" pid="10" name="PM_Markers">
    <vt:lpwstr/>
  </property>
  <property fmtid="{D5CDD505-2E9C-101B-9397-08002B2CF9AE}" pid="11" name="PM_MinimumSecurityClassification">
    <vt:lpwstr/>
  </property>
  <property fmtid="{D5CDD505-2E9C-101B-9397-08002B2CF9AE}" pid="12" name="PM_Namespace">
    <vt:lpwstr>gov.au</vt:lpwstr>
  </property>
  <property fmtid="{D5CDD505-2E9C-101B-9397-08002B2CF9AE}" pid="13" name="PM_Note">
    <vt:lpwstr/>
  </property>
  <property fmtid="{D5CDD505-2E9C-101B-9397-08002B2CF9AE}" pid="14" name="PM_Originating_FileId">
    <vt:lpwstr>9B1A9830B40B4079BD5D305C3F7D21A4</vt:lpwstr>
  </property>
  <property fmtid="{D5CDD505-2E9C-101B-9397-08002B2CF9AE}" pid="15" name="PM_OriginationTimeStamp">
    <vt:lpwstr>2024-03-03T07:20:10Z</vt:lpwstr>
  </property>
  <property fmtid="{D5CDD505-2E9C-101B-9397-08002B2CF9AE}" pid="16" name="PM_OriginatorDomainName_SHA256">
    <vt:lpwstr>CE53151D70EF3143B9B6CA1DC053F41E858E2C804CF2EE5AE813E5CCE407743B</vt:lpwstr>
  </property>
  <property fmtid="{D5CDD505-2E9C-101B-9397-08002B2CF9AE}" pid="17" name="PM_OriginatorUserAccountName_SHA256">
    <vt:lpwstr>B5430A7E43BF1F7239BC550D3EE14B23F892C6A710E50C39E8F8B1E075C6D825</vt:lpwstr>
  </property>
  <property fmtid="{D5CDD505-2E9C-101B-9397-08002B2CF9AE}" pid="18" name="PM_Originator_Hash_SHA1">
    <vt:lpwstr>CA4BEFA15D8F4093D4816AA9C8AE9FB51A150720</vt:lpwstr>
  </property>
  <property fmtid="{D5CDD505-2E9C-101B-9397-08002B2CF9AE}" pid="19" name="PM_ProtectiveMarkingImage_Footer">
    <vt:lpwstr>C:\Program Files (x86)\Common Files\janusNET Shared\janusSEAL\Images\DocumentSlashBlue.png</vt:lpwstr>
  </property>
  <property fmtid="{D5CDD505-2E9C-101B-9397-08002B2CF9AE}" pid="20" name="PM_ProtectiveMarkingImage_Header">
    <vt:lpwstr>C:\Program Files (x86)\Common Files\janusNET Shared\janusSEAL\Images\DocumentSlashBlue.png</vt:lpwstr>
  </property>
  <property fmtid="{D5CDD505-2E9C-101B-9397-08002B2CF9AE}" pid="21" name="PM_ProtectiveMarkingValue_Footer">
    <vt:lpwstr>OFFICIAL</vt:lpwstr>
  </property>
  <property fmtid="{D5CDD505-2E9C-101B-9397-08002B2CF9AE}" pid="22" name="PM_ProtectiveMarkingValue_Header">
    <vt:lpwstr>OFFICIAL</vt:lpwstr>
  </property>
  <property fmtid="{D5CDD505-2E9C-101B-9397-08002B2CF9AE}" pid="23" name="PM_Qualifier">
    <vt:lpwstr/>
  </property>
  <property fmtid="{D5CDD505-2E9C-101B-9397-08002B2CF9AE}" pid="24" name="PM_Qualifier_Prev">
    <vt:lpwstr/>
  </property>
  <property fmtid="{D5CDD505-2E9C-101B-9397-08002B2CF9AE}" pid="25" name="PM_SecurityClassification">
    <vt:lpwstr>OFFICIAL</vt:lpwstr>
  </property>
  <property fmtid="{D5CDD505-2E9C-101B-9397-08002B2CF9AE}" pid="26" name="PM_SecurityClassification_Prev">
    <vt:lpwstr>OFFICIAL</vt:lpwstr>
  </property>
  <property fmtid="{D5CDD505-2E9C-101B-9397-08002B2CF9AE}" pid="27" name="PM_Version">
    <vt:lpwstr>2018.4</vt:lpwstr>
  </property>
</Properties>
</file>