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F6C5B" w14:textId="204872A7" w:rsidR="002011D2" w:rsidRDefault="002D20CF" w:rsidP="002011D2">
      <w:pPr>
        <w:pStyle w:val="Heading1"/>
      </w:pPr>
      <w:bookmarkStart w:id="0" w:name="_Toc120595869"/>
      <w:bookmarkStart w:id="1" w:name="_Toc120596561"/>
      <w:bookmarkStart w:id="2" w:name="_Toc122366104"/>
      <w:bookmarkStart w:id="3" w:name="_Toc122366269"/>
      <w:r>
        <w:t xml:space="preserve">Policy Guidance: </w:t>
      </w:r>
      <w:r w:rsidR="009416AC">
        <w:t>Developing Behaviour Support Plans</w:t>
      </w:r>
    </w:p>
    <w:p w14:paraId="44ECB23B" w14:textId="77777777" w:rsidR="00FC41C7" w:rsidRDefault="00FC41C7" w:rsidP="0015045D">
      <w:r>
        <w:t xml:space="preserve">This document outlines the NDIS Commissioner’s expectations of specialist behaviour support providers and NDIS behaviour support practitioners when developing behaviour support plans that contain regulated restrictive practices. </w:t>
      </w:r>
    </w:p>
    <w:p w14:paraId="3F80CE18" w14:textId="6BEEEA5D" w:rsidR="006D725A" w:rsidRDefault="006D725A" w:rsidP="002D20CF">
      <w:pPr>
        <w:pStyle w:val="Heading2"/>
      </w:pPr>
      <w:r>
        <w:t>Expectations</w:t>
      </w:r>
    </w:p>
    <w:p w14:paraId="75D0ECA1" w14:textId="59DBFD36" w:rsidR="00366933" w:rsidRDefault="009416AC" w:rsidP="00366933">
      <w:r>
        <w:t xml:space="preserve">Specialist behaviour support providers should </w:t>
      </w:r>
      <w:r w:rsidRPr="0015045D">
        <w:rPr>
          <w:b/>
          <w:i/>
        </w:rPr>
        <w:t>review</w:t>
      </w:r>
      <w:r>
        <w:t xml:space="preserve"> and where necessary </w:t>
      </w:r>
      <w:r w:rsidRPr="0015045D">
        <w:rPr>
          <w:b/>
          <w:i/>
        </w:rPr>
        <w:t>revise</w:t>
      </w:r>
      <w:r>
        <w:t xml:space="preserve"> their current behaviour support plan templates, and other relevant policies and procedures to ensure their alignment with the following expectations.</w:t>
      </w:r>
      <w:r w:rsidR="006D725A">
        <w:t xml:space="preserve"> </w:t>
      </w:r>
      <w:r w:rsidR="002011D2">
        <w:t xml:space="preserve">It is expected that </w:t>
      </w:r>
      <w:r w:rsidR="006D725A">
        <w:t>s</w:t>
      </w:r>
      <w:r w:rsidR="00CB3F20">
        <w:t xml:space="preserve">pecialist </w:t>
      </w:r>
      <w:r w:rsidR="006D725A">
        <w:t>b</w:t>
      </w:r>
      <w:r w:rsidR="00CB3F20">
        <w:t xml:space="preserve">ehaviour </w:t>
      </w:r>
      <w:r w:rsidR="006D725A">
        <w:t>s</w:t>
      </w:r>
      <w:r w:rsidR="00CB3F20">
        <w:t xml:space="preserve">upport </w:t>
      </w:r>
      <w:r w:rsidR="006D725A">
        <w:t>p</w:t>
      </w:r>
      <w:r w:rsidR="00CB3F20">
        <w:t>roviders</w:t>
      </w:r>
      <w:r w:rsidR="00366933">
        <w:t xml:space="preserve"> and </w:t>
      </w:r>
      <w:r w:rsidR="00500E7A">
        <w:t>N</w:t>
      </w:r>
      <w:r w:rsidR="00366933">
        <w:t>DIS behaviour support practitioners:</w:t>
      </w:r>
    </w:p>
    <w:p w14:paraId="6B12C742" w14:textId="77777777" w:rsidR="002011D2" w:rsidRDefault="00366933" w:rsidP="00366933">
      <w:pPr>
        <w:pStyle w:val="List1Numbered1"/>
      </w:pPr>
      <w:r>
        <w:t xml:space="preserve"> </w:t>
      </w:r>
      <w:r w:rsidR="002011D2">
        <w:t xml:space="preserve">Uphold the rights of people with disability and take all reasonable steps to reduce and eliminate the need for, and use of regulated restrictive practices. </w:t>
      </w:r>
    </w:p>
    <w:p w14:paraId="4A732909" w14:textId="4444A35C" w:rsidR="00636B99" w:rsidRPr="0047430A" w:rsidRDefault="002011D2" w:rsidP="00636B99">
      <w:pPr>
        <w:pStyle w:val="List1Numbered1"/>
      </w:pPr>
      <w:r w:rsidRPr="0047430A">
        <w:t xml:space="preserve">Develop high quality, evidence-informed behaviour support plans that comply with </w:t>
      </w:r>
      <w:r w:rsidR="00500E7A">
        <w:t>all</w:t>
      </w:r>
      <w:r w:rsidRPr="0047430A">
        <w:t xml:space="preserve"> requirements as set out in </w:t>
      </w:r>
      <w:hyperlink r:id="rId8" w:history="1">
        <w:r w:rsidR="006E31E2" w:rsidRPr="0047430A">
          <w:rPr>
            <w:rStyle w:val="Hyperlink"/>
            <w:szCs w:val="22"/>
          </w:rPr>
          <w:t>the Rules</w:t>
        </w:r>
      </w:hyperlink>
      <w:r w:rsidR="00636B99" w:rsidRPr="0047430A">
        <w:t xml:space="preserve"> and in any </w:t>
      </w:r>
      <w:hyperlink r:id="rId9" w:history="1">
        <w:r w:rsidR="00636B99" w:rsidRPr="0047430A">
          <w:rPr>
            <w:rStyle w:val="Hyperlink"/>
          </w:rPr>
          <w:t>state or territory authorisation requirements</w:t>
        </w:r>
      </w:hyperlink>
      <w:r w:rsidR="00636B99" w:rsidRPr="0047430A">
        <w:t xml:space="preserve"> (however described).</w:t>
      </w:r>
    </w:p>
    <w:p w14:paraId="58E38CC1" w14:textId="33DB21A5" w:rsidR="00A25A98" w:rsidRDefault="002011D2" w:rsidP="00A25A98">
      <w:pPr>
        <w:pStyle w:val="List1Numbered1"/>
      </w:pPr>
      <w:r>
        <w:t>Develop behaviour support plans in consultation with people with disability and th</w:t>
      </w:r>
      <w:r w:rsidR="008C1600">
        <w:t>e people who support them</w:t>
      </w:r>
      <w:r>
        <w:t>.</w:t>
      </w:r>
    </w:p>
    <w:p w14:paraId="1AE082D4" w14:textId="62FD9763" w:rsidR="002011D2" w:rsidRDefault="002011D2" w:rsidP="00A25A98">
      <w:pPr>
        <w:pStyle w:val="List1Numbered1"/>
      </w:pPr>
      <w:r>
        <w:t xml:space="preserve">Provide people with disability and their supporters with behaviour support plans and other information </w:t>
      </w:r>
      <w:r w:rsidR="00FF52B2">
        <w:t xml:space="preserve">(e.g., in relation to the use of regulated restrictive practices) </w:t>
      </w:r>
      <w:r>
        <w:t xml:space="preserve">in appropriately accessible formats. </w:t>
      </w:r>
    </w:p>
    <w:p w14:paraId="3207D0C3" w14:textId="52CCB645" w:rsidR="00FF52B2" w:rsidRPr="006D725A" w:rsidRDefault="00A25A98" w:rsidP="0029227E">
      <w:pPr>
        <w:pStyle w:val="List1Numbered1"/>
        <w:rPr>
          <w:color w:val="000000" w:themeColor="text1"/>
        </w:rPr>
      </w:pPr>
      <w:r w:rsidRPr="006D725A">
        <w:rPr>
          <w:color w:val="000000" w:themeColor="text1"/>
        </w:rPr>
        <w:t>Support the effective implementation of behaviour support plans to meet the needs of the person with disability.</w:t>
      </w:r>
    </w:p>
    <w:p w14:paraId="70E0A932" w14:textId="77777777" w:rsidR="002011D2" w:rsidRDefault="002011D2" w:rsidP="00366933">
      <w:pPr>
        <w:pStyle w:val="List1Numbered1"/>
      </w:pPr>
      <w:r>
        <w:t>Measure, monitor and evaluate outcomes, including improvements in quality of life, behaviour change and steps to reduce and eliminate restrictive practice.</w:t>
      </w:r>
    </w:p>
    <w:p w14:paraId="75C7D3A1" w14:textId="432A9B5D" w:rsidR="002011D2" w:rsidRPr="004422FF" w:rsidRDefault="002011D2" w:rsidP="00366933">
      <w:pPr>
        <w:pStyle w:val="List1Numbered1"/>
      </w:pPr>
      <w:r>
        <w:t>Provide</w:t>
      </w:r>
      <w:r w:rsidR="0033225D">
        <w:t xml:space="preserve"> responsive, timely and appropriate</w:t>
      </w:r>
      <w:r>
        <w:t xml:space="preserve"> supports </w:t>
      </w:r>
      <w:r w:rsidR="0033225D">
        <w:t xml:space="preserve">to meet the person’s needs </w:t>
      </w:r>
      <w:r>
        <w:t>in a safe and competent manner</w:t>
      </w:r>
      <w:r w:rsidR="0033225D">
        <w:t>,</w:t>
      </w:r>
      <w:r>
        <w:t xml:space="preserve"> consistent with the </w:t>
      </w:r>
      <w:hyperlink r:id="rId10" w:history="1">
        <w:r w:rsidRPr="004B1859">
          <w:rPr>
            <w:rStyle w:val="Hyperlink"/>
          </w:rPr>
          <w:t>NDIS Code of Conduct</w:t>
        </w:r>
      </w:hyperlink>
      <w:r w:rsidR="0033225D">
        <w:t xml:space="preserve"> and the relevant </w:t>
      </w:r>
      <w:hyperlink r:id="rId11" w:history="1">
        <w:r w:rsidR="0033225D" w:rsidRPr="0033225D">
          <w:rPr>
            <w:rStyle w:val="Hyperlink"/>
          </w:rPr>
          <w:t>Practice Standards</w:t>
        </w:r>
      </w:hyperlink>
      <w:r w:rsidR="0033225D">
        <w:t>.</w:t>
      </w:r>
    </w:p>
    <w:p w14:paraId="0E0EBA0F" w14:textId="37869C5E" w:rsidR="00366933" w:rsidRDefault="002011D2" w:rsidP="00E11161">
      <w:pPr>
        <w:pStyle w:val="List1Numbered1"/>
        <w:spacing w:after="120"/>
      </w:pPr>
      <w:r>
        <w:t>Have policies</w:t>
      </w:r>
      <w:r w:rsidR="0062791D">
        <w:t>,</w:t>
      </w:r>
      <w:r>
        <w:t xml:space="preserve"> procedures</w:t>
      </w:r>
      <w:r w:rsidR="00366933">
        <w:t xml:space="preserve"> </w:t>
      </w:r>
      <w:r w:rsidR="0062791D">
        <w:t xml:space="preserve">and processes </w:t>
      </w:r>
      <w:r w:rsidR="00366933">
        <w:t>to:</w:t>
      </w:r>
      <w:r w:rsidR="00366933">
        <w:tab/>
      </w:r>
    </w:p>
    <w:p w14:paraId="66047A95" w14:textId="47721FD6" w:rsidR="00366933" w:rsidRDefault="002011D2" w:rsidP="00E11161">
      <w:pPr>
        <w:pStyle w:val="List1Numbered2"/>
        <w:spacing w:before="120" w:after="120"/>
      </w:pPr>
      <w:r>
        <w:t xml:space="preserve">Ensure person-centred supports </w:t>
      </w:r>
      <w:r w:rsidR="00C13CE1">
        <w:t>that</w:t>
      </w:r>
      <w:r>
        <w:t xml:space="preserve"> uphold </w:t>
      </w:r>
      <w:r w:rsidR="00ED5737">
        <w:t xml:space="preserve">participant’s </w:t>
      </w:r>
      <w:r>
        <w:t>human and legal rights</w:t>
      </w:r>
      <w:r w:rsidR="00C13CE1">
        <w:t>,</w:t>
      </w:r>
      <w:r w:rsidR="00E10F83">
        <w:t xml:space="preserve"> </w:t>
      </w:r>
      <w:r w:rsidR="00ED5737">
        <w:t>and enable</w:t>
      </w:r>
      <w:r w:rsidR="00E10F83">
        <w:t xml:space="preserve"> </w:t>
      </w:r>
      <w:r w:rsidR="00ED5737">
        <w:t>them</w:t>
      </w:r>
      <w:r w:rsidR="00E10F83">
        <w:t xml:space="preserve"> to exercise informed choice and control</w:t>
      </w:r>
      <w:r>
        <w:t xml:space="preserve"> </w:t>
      </w:r>
    </w:p>
    <w:p w14:paraId="54DF9B9E" w14:textId="69385AD2" w:rsidR="00366933" w:rsidRDefault="00E10F83" w:rsidP="00E11161">
      <w:pPr>
        <w:pStyle w:val="List1Numbered2"/>
        <w:spacing w:before="120" w:after="120"/>
      </w:pPr>
      <w:r>
        <w:t>Manage risk, s</w:t>
      </w:r>
      <w:r w:rsidR="002011D2">
        <w:t>afeguard participants and increase the quality of behaviour support provided</w:t>
      </w:r>
      <w:r>
        <w:t xml:space="preserve"> </w:t>
      </w:r>
    </w:p>
    <w:p w14:paraId="2161CF0C" w14:textId="77777777" w:rsidR="00366933" w:rsidRDefault="002011D2" w:rsidP="00E11161">
      <w:pPr>
        <w:pStyle w:val="List1Numbered2"/>
        <w:spacing w:before="120" w:after="120"/>
      </w:pPr>
      <w:r>
        <w:t>Build the capabilities of NDIS behaviour support practitioners</w:t>
      </w:r>
    </w:p>
    <w:p w14:paraId="4050C03F" w14:textId="710C382D" w:rsidR="002011D2" w:rsidRDefault="0062791D" w:rsidP="00E11161">
      <w:pPr>
        <w:pStyle w:val="List1Numbered2"/>
        <w:spacing w:before="120" w:after="120"/>
      </w:pPr>
      <w:r>
        <w:t xml:space="preserve">Implement quality management systems that promote </w:t>
      </w:r>
      <w:r w:rsidR="002011D2">
        <w:t xml:space="preserve">a culture of </w:t>
      </w:r>
      <w:r w:rsidR="002011D2" w:rsidRPr="00C43AC3">
        <w:t>continuous improvement</w:t>
      </w:r>
      <w:r w:rsidR="002D20CF" w:rsidRPr="00C43AC3">
        <w:t>.</w:t>
      </w:r>
    </w:p>
    <w:p w14:paraId="74EC1643" w14:textId="77777777" w:rsidR="00731DD6" w:rsidRDefault="00731DD6" w:rsidP="00C17ED9">
      <w:pPr>
        <w:pStyle w:val="Heading2"/>
      </w:pPr>
      <w:r>
        <w:lastRenderedPageBreak/>
        <w:t>Resources</w:t>
      </w:r>
    </w:p>
    <w:p w14:paraId="201EFF54" w14:textId="5573FBAC" w:rsidR="002011D2" w:rsidRPr="004604BE" w:rsidRDefault="00170A12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  <w:rPr>
          <w:b/>
        </w:rPr>
      </w:pPr>
      <w:hyperlink r:id="rId12" w:anchor="paragraph-id-7042" w:history="1">
        <w:r w:rsidR="002011D2" w:rsidRPr="00170A12">
          <w:rPr>
            <w:rStyle w:val="Hyperlink"/>
          </w:rPr>
          <w:t>N</w:t>
        </w:r>
        <w:r w:rsidR="00C238FE">
          <w:rPr>
            <w:rStyle w:val="Hyperlink"/>
          </w:rPr>
          <w:t>EW</w:t>
        </w:r>
        <w:bookmarkStart w:id="4" w:name="_GoBack"/>
        <w:bookmarkEnd w:id="4"/>
        <w:r w:rsidR="002011D2" w:rsidRPr="00170A12">
          <w:rPr>
            <w:rStyle w:val="Hyperlink"/>
          </w:rPr>
          <w:t xml:space="preserve"> Regulated Restrictive Practices Summary and Protocols</w:t>
        </w:r>
      </w:hyperlink>
      <w:r w:rsidR="00FF6710">
        <w:rPr>
          <w:b/>
        </w:rPr>
        <w:t xml:space="preserve"> </w:t>
      </w:r>
      <w:r w:rsidR="00FF6710">
        <w:t>–</w:t>
      </w:r>
      <w:r w:rsidR="00FF6710" w:rsidRPr="00FF6710">
        <w:t xml:space="preserve"> </w:t>
      </w:r>
      <w:r w:rsidR="00FF6710">
        <w:t xml:space="preserve">this </w:t>
      </w:r>
      <w:r w:rsidR="00FF6710" w:rsidRPr="00FF6710">
        <w:t xml:space="preserve">represents the revised </w:t>
      </w:r>
      <w:r w:rsidR="00FF6710">
        <w:t xml:space="preserve">regulated </w:t>
      </w:r>
      <w:r w:rsidR="00FF6710" w:rsidRPr="00FF6710">
        <w:t>restrictive practice protocol component of a behaviour support plan. It replaces the existing protocols in the NDIS Commission’s behaviour support plan templates</w:t>
      </w:r>
      <w:r w:rsidR="00FF6710">
        <w:t>.</w:t>
      </w:r>
    </w:p>
    <w:p w14:paraId="6035FE13" w14:textId="77777777" w:rsidR="002011D2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3" w:anchor="paragraph-id-6797" w:history="1">
        <w:r w:rsidR="002011D2" w:rsidRPr="0098406C">
          <w:rPr>
            <w:rStyle w:val="Hyperlink"/>
          </w:rPr>
          <w:t>Interim and Comprehensive Behaviour Support Plan Checklists</w:t>
        </w:r>
      </w:hyperlink>
      <w:r w:rsidR="002011D2">
        <w:t xml:space="preserve"> – tools which outline good practice and the requirements when developing behaviour support plans.</w:t>
      </w:r>
    </w:p>
    <w:p w14:paraId="12610076" w14:textId="77777777" w:rsidR="002011D2" w:rsidRPr="00A91853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4" w:anchor="paragraph-id-6810" w:history="1">
        <w:r w:rsidR="002011D2" w:rsidRPr="004604BE">
          <w:rPr>
            <w:rStyle w:val="Hyperlink"/>
          </w:rPr>
          <w:t>Evidence Matters: Developing Quality Behaviour Support Plans</w:t>
        </w:r>
      </w:hyperlink>
      <w:r w:rsidR="002011D2">
        <w:t xml:space="preserve"> – a literature summary by </w:t>
      </w:r>
      <w:r w:rsidR="002011D2" w:rsidRPr="00A91853">
        <w:t>University of Queensland and funded by the NDIS Commission.</w:t>
      </w:r>
    </w:p>
    <w:p w14:paraId="21DD517E" w14:textId="72A42A5F" w:rsidR="00A91853" w:rsidRPr="00E43B4B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5" w:anchor="paragraph-id-975" w:history="1">
        <w:r w:rsidR="00A91853" w:rsidRPr="00A91853">
          <w:rPr>
            <w:rStyle w:val="Hyperlink"/>
          </w:rPr>
          <w:t>Practices that present high risk of harm to NDIS participants: Position Statement</w:t>
        </w:r>
      </w:hyperlink>
      <w:r w:rsidR="00A91853" w:rsidRPr="00A91853">
        <w:rPr>
          <w:rFonts w:ascii="Arial" w:hAnsi="Arial" w:cs="Arial"/>
          <w:shd w:val="clear" w:color="auto" w:fill="FFFFFF"/>
        </w:rPr>
        <w:t xml:space="preserve"> </w:t>
      </w:r>
      <w:r w:rsidR="00A91853" w:rsidRPr="00E43B4B">
        <w:t>– outlines practices that present an unacceptable risk of harm to participants and must not be used by registered and unregistered NDIS providers.</w:t>
      </w:r>
    </w:p>
    <w:p w14:paraId="2E5B7560" w14:textId="1D92C005" w:rsidR="002011D2" w:rsidRPr="00FB27B3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6" w:anchor="paragraph-id-971" w:history="1">
        <w:r w:rsidR="00FB27B3" w:rsidRPr="00B33245">
          <w:rPr>
            <w:rStyle w:val="Hyperlink"/>
            <w:rFonts w:asciiTheme="minorHAnsi" w:hAnsiTheme="minorHAnsi" w:cstheme="minorHAnsi"/>
          </w:rPr>
          <w:t>Practice Guide</w:t>
        </w:r>
        <w:r w:rsidR="00FB27B3">
          <w:rPr>
            <w:rStyle w:val="Hyperlink"/>
            <w:rFonts w:asciiTheme="minorHAnsi" w:hAnsiTheme="minorHAnsi" w:cstheme="minorHAnsi"/>
          </w:rPr>
          <w:t>s around restrictive practices</w:t>
        </w:r>
      </w:hyperlink>
      <w:r w:rsidR="00FB27B3">
        <w:rPr>
          <w:rFonts w:asciiTheme="minorHAnsi" w:hAnsiTheme="minorHAnsi" w:cstheme="minorHAnsi"/>
        </w:rPr>
        <w:t xml:space="preserve"> </w:t>
      </w:r>
    </w:p>
    <w:p w14:paraId="05B2BACC" w14:textId="77777777" w:rsidR="00FB27B3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7" w:anchor="paragraph-id-6912" w:history="1">
        <w:r w:rsidR="00FB27B3">
          <w:rPr>
            <w:rStyle w:val="Hyperlink"/>
          </w:rPr>
          <w:t>Evidence Matters: Organisation approaches to reducing restrictive practices</w:t>
        </w:r>
      </w:hyperlink>
    </w:p>
    <w:p w14:paraId="34B4CC32" w14:textId="77777777" w:rsidR="002011D2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8" w:history="1">
        <w:r w:rsidR="002011D2">
          <w:rPr>
            <w:rStyle w:val="Hyperlink"/>
          </w:rPr>
          <w:t>Deciding With Support</w:t>
        </w:r>
      </w:hyperlink>
      <w:r w:rsidR="002011D2">
        <w:t xml:space="preserve"> – a supported decision making toolkit designed for behaviour support developed by Flinders University and funded by the NDIS Commission</w:t>
      </w:r>
    </w:p>
    <w:p w14:paraId="170A7AD3" w14:textId="77777777" w:rsidR="00CB3F20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19" w:anchor="paragraph-id-2750" w:history="1">
        <w:r w:rsidR="002011D2" w:rsidRPr="004604BE">
          <w:rPr>
            <w:rStyle w:val="Hyperlink"/>
          </w:rPr>
          <w:t>Positive Behaviour Support Capability Framework</w:t>
        </w:r>
      </w:hyperlink>
      <w:r w:rsidR="002011D2">
        <w:t xml:space="preserve"> – </w:t>
      </w:r>
      <w:r w:rsidR="002011D2" w:rsidRPr="001B3238">
        <w:rPr>
          <w:rFonts w:cstheme="minorHAnsi"/>
        </w:rPr>
        <w:t>outlines the knowledge and skills required to deliver contemporary, evidence-informed behaviour support</w:t>
      </w:r>
      <w:r w:rsidR="002011D2">
        <w:t xml:space="preserve"> and is used to consider </w:t>
      </w:r>
      <w:r w:rsidR="002011D2" w:rsidRPr="001B3238">
        <w:rPr>
          <w:rFonts w:cstheme="minorHAnsi"/>
        </w:rPr>
        <w:t>a practitioner’s suitabilit</w:t>
      </w:r>
      <w:r w:rsidR="002011D2">
        <w:rPr>
          <w:rFonts w:cstheme="minorHAnsi"/>
        </w:rPr>
        <w:t>y</w:t>
      </w:r>
      <w:r w:rsidR="002011D2">
        <w:t xml:space="preserve">. </w:t>
      </w:r>
    </w:p>
    <w:p w14:paraId="0816B045" w14:textId="77777777" w:rsidR="00731DD6" w:rsidRDefault="002F3F1B" w:rsidP="00C43AC3">
      <w:pPr>
        <w:pStyle w:val="ListParagraph"/>
        <w:numPr>
          <w:ilvl w:val="0"/>
          <w:numId w:val="45"/>
        </w:numPr>
        <w:suppressAutoHyphens w:val="0"/>
        <w:spacing w:before="120" w:after="120" w:line="276" w:lineRule="auto"/>
        <w:ind w:left="714" w:hanging="357"/>
        <w:contextualSpacing w:val="0"/>
      </w:pPr>
      <w:hyperlink r:id="rId20" w:history="1">
        <w:r w:rsidR="002011D2">
          <w:rPr>
            <w:rStyle w:val="Hyperlink"/>
          </w:rPr>
          <w:t xml:space="preserve">NDIS Workforce </w:t>
        </w:r>
        <w:r w:rsidR="002011D2" w:rsidRPr="004422FF">
          <w:rPr>
            <w:rStyle w:val="Hyperlink"/>
          </w:rPr>
          <w:t>Capa</w:t>
        </w:r>
        <w:r w:rsidR="002011D2">
          <w:rPr>
            <w:rStyle w:val="Hyperlink"/>
          </w:rPr>
          <w:t>b</w:t>
        </w:r>
        <w:r w:rsidR="002011D2" w:rsidRPr="004422FF">
          <w:rPr>
            <w:rStyle w:val="Hyperlink"/>
          </w:rPr>
          <w:t>ility Framework</w:t>
        </w:r>
      </w:hyperlink>
      <w:r w:rsidR="002011D2">
        <w:t xml:space="preserve"> – describes the attitudes, skills and knowledge expected of all workers funded the NDIS and a range of practical examples and resources</w:t>
      </w:r>
      <w:r w:rsidR="00731DD6" w:rsidRPr="00731DD6">
        <w:t xml:space="preserve"> </w:t>
      </w:r>
    </w:p>
    <w:p w14:paraId="697502B5" w14:textId="77777777" w:rsidR="00731DD6" w:rsidRDefault="00731DD6" w:rsidP="00731DD6">
      <w:pPr>
        <w:pStyle w:val="Heading2"/>
      </w:pPr>
      <w:r>
        <w:t>Legislative linkages</w:t>
      </w:r>
    </w:p>
    <w:p w14:paraId="48F5CA12" w14:textId="49B7A420" w:rsidR="0015045D" w:rsidRDefault="00FC41C7" w:rsidP="002D20CF">
      <w:r>
        <w:t xml:space="preserve">This document </w:t>
      </w:r>
      <w:r w:rsidR="002D20CF">
        <w:t>is in furtherance of</w:t>
      </w:r>
      <w:r>
        <w:t xml:space="preserve"> the Commissioner’s functions as set out in sections 181E, F and H of the </w:t>
      </w:r>
      <w:hyperlink r:id="rId21" w:history="1">
        <w:r w:rsidRPr="00FC41C7">
          <w:rPr>
            <w:rStyle w:val="Hyperlink"/>
          </w:rPr>
          <w:t>NDIS Act 2013</w:t>
        </w:r>
      </w:hyperlink>
      <w:r>
        <w:t xml:space="preserve">, and the requirements as outlined in the </w:t>
      </w:r>
      <w:hyperlink r:id="rId22" w:history="1">
        <w:r w:rsidRPr="00FC41C7">
          <w:rPr>
            <w:rStyle w:val="Hyperlink"/>
          </w:rPr>
          <w:t>NDIS Code of Conduct</w:t>
        </w:r>
      </w:hyperlink>
      <w:r>
        <w:t xml:space="preserve">, </w:t>
      </w:r>
      <w:hyperlink r:id="rId23" w:history="1">
        <w:r w:rsidR="00C43AC3">
          <w:rPr>
            <w:rStyle w:val="Hyperlink"/>
          </w:rPr>
          <w:t>NDIS (P</w:t>
        </w:r>
        <w:r>
          <w:rPr>
            <w:rStyle w:val="Hyperlink"/>
          </w:rPr>
          <w:t>rovider R</w:t>
        </w:r>
        <w:r w:rsidRPr="006E31E2">
          <w:rPr>
            <w:rStyle w:val="Hyperlink"/>
          </w:rPr>
          <w:t>egistration and Practice Standard</w:t>
        </w:r>
        <w:r w:rsidR="00C43AC3">
          <w:rPr>
            <w:rStyle w:val="Hyperlink"/>
          </w:rPr>
          <w:t>s) Rules 2018</w:t>
        </w:r>
      </w:hyperlink>
      <w:r>
        <w:t xml:space="preserve"> </w:t>
      </w:r>
      <w:r w:rsidR="002D20CF">
        <w:t xml:space="preserve">and </w:t>
      </w:r>
      <w:r>
        <w:t xml:space="preserve">part 3 of the </w:t>
      </w:r>
      <w:hyperlink r:id="rId24" w:history="1">
        <w:r w:rsidRPr="009E6CFB">
          <w:rPr>
            <w:rStyle w:val="Hyperlink"/>
            <w:szCs w:val="22"/>
          </w:rPr>
          <w:t>NDIS (Restrictive Practices and Behaviour Support) Rules 2018</w:t>
        </w:r>
      </w:hyperlink>
      <w:r>
        <w:t xml:space="preserve">. </w:t>
      </w:r>
      <w:bookmarkEnd w:id="0"/>
      <w:bookmarkEnd w:id="1"/>
      <w:bookmarkEnd w:id="2"/>
      <w:bookmarkEnd w:id="3"/>
    </w:p>
    <w:sectPr w:rsidR="0015045D" w:rsidSect="00362AB6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7B47F" w14:textId="77777777" w:rsidR="002F3F1B" w:rsidRDefault="002F3F1B" w:rsidP="008E21DE">
      <w:pPr>
        <w:spacing w:before="0" w:after="0"/>
      </w:pPr>
      <w:r>
        <w:separator/>
      </w:r>
    </w:p>
  </w:endnote>
  <w:endnote w:type="continuationSeparator" w:id="0">
    <w:p w14:paraId="118F3635" w14:textId="77777777" w:rsidR="002F3F1B" w:rsidRDefault="002F3F1B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2F60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328EAA47" wp14:editId="2627457A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40BB4E5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385278E" w14:textId="11808BFE" w:rsidR="00FD66D7" w:rsidRPr="00080615" w:rsidRDefault="00257E93" w:rsidP="00362AB6">
    <w:pPr>
      <w:pStyle w:val="Footer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- </w:t>
    </w:r>
    <w:r w:rsidRPr="00257E93">
      <w:rPr>
        <w:sz w:val="18"/>
        <w:szCs w:val="18"/>
      </w:rPr>
      <w:t>Policy Guidance - Developing Behaviour Support Plan</w:t>
    </w:r>
    <w:r w:rsidR="00EA15EC">
      <w:rPr>
        <w:sz w:val="18"/>
        <w:szCs w:val="18"/>
      </w:rPr>
      <w:t>s</w:t>
    </w:r>
    <w:r w:rsidRPr="00257E93">
      <w:rPr>
        <w:sz w:val="18"/>
        <w:szCs w:val="18"/>
      </w:rPr>
      <w:t xml:space="preserve"> - October 2023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C238FE">
      <w:rPr>
        <w:noProof/>
      </w:rPr>
      <w:t>2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B12C1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A6E7994" wp14:editId="0B3B0EBE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4D7A6E9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A1B3DD2" w14:textId="71BC5D40" w:rsidR="008E21DE" w:rsidRPr="00080615" w:rsidRDefault="004D4273" w:rsidP="00080615">
    <w:pPr>
      <w:pStyle w:val="Footer"/>
    </w:pPr>
    <w:r w:rsidRPr="00362AB6">
      <w:rPr>
        <w:sz w:val="18"/>
        <w:szCs w:val="18"/>
      </w:rPr>
      <w:t>NDIS Quality and Safeguards Commission</w:t>
    </w:r>
    <w:r w:rsidR="00257E93">
      <w:rPr>
        <w:sz w:val="18"/>
        <w:szCs w:val="18"/>
      </w:rPr>
      <w:t xml:space="preserve"> - </w:t>
    </w:r>
    <w:r w:rsidR="00257E93" w:rsidRPr="00257E93">
      <w:rPr>
        <w:sz w:val="18"/>
        <w:szCs w:val="18"/>
      </w:rPr>
      <w:t>Policy Guidance - Developing Behaviour Support Plan</w:t>
    </w:r>
    <w:r w:rsidR="00EA15EC">
      <w:rPr>
        <w:sz w:val="18"/>
        <w:szCs w:val="18"/>
      </w:rPr>
      <w:t>s</w:t>
    </w:r>
    <w:r w:rsidR="00257E93" w:rsidRPr="00257E93">
      <w:rPr>
        <w:sz w:val="18"/>
        <w:szCs w:val="18"/>
      </w:rPr>
      <w:t xml:space="preserve"> - October 2023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238F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D4AAE" w14:textId="77777777" w:rsidR="002F3F1B" w:rsidRDefault="002F3F1B" w:rsidP="008E21DE">
      <w:pPr>
        <w:spacing w:before="0" w:after="0"/>
      </w:pPr>
      <w:r>
        <w:separator/>
      </w:r>
    </w:p>
  </w:footnote>
  <w:footnote w:type="continuationSeparator" w:id="0">
    <w:p w14:paraId="55BC4835" w14:textId="77777777" w:rsidR="002F3F1B" w:rsidRDefault="002F3F1B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28DB" w14:textId="77777777" w:rsidR="008B7938" w:rsidRDefault="008B7938">
    <w:pPr>
      <w:pStyle w:val="Header"/>
    </w:pPr>
  </w:p>
  <w:p w14:paraId="62574587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27249A4C" wp14:editId="424029C1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0DA768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5A02A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4BA13170" wp14:editId="01F2608C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21C5F81"/>
    <w:multiLevelType w:val="hybridMultilevel"/>
    <w:tmpl w:val="8D7A23B0"/>
    <w:lvl w:ilvl="0" w:tplc="3E56D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20E4B70"/>
    <w:multiLevelType w:val="hybridMultilevel"/>
    <w:tmpl w:val="9D7C22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F51665"/>
    <w:multiLevelType w:val="multilevel"/>
    <w:tmpl w:val="4E929216"/>
    <w:numStyleLink w:val="NumberedHeadings"/>
  </w:abstractNum>
  <w:abstractNum w:abstractNumId="25" w15:restartNumberingAfterBreak="0">
    <w:nsid w:val="62397869"/>
    <w:multiLevelType w:val="multilevel"/>
    <w:tmpl w:val="4E929216"/>
    <w:numStyleLink w:val="NumberedHeadings"/>
  </w:abstractNum>
  <w:abstractNum w:abstractNumId="26" w15:restartNumberingAfterBreak="0">
    <w:nsid w:val="6D4F423B"/>
    <w:multiLevelType w:val="multilevel"/>
    <w:tmpl w:val="4A7CCC2C"/>
    <w:numStyleLink w:val="DefaultBullets"/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90B67C4"/>
    <w:multiLevelType w:val="multilevel"/>
    <w:tmpl w:val="FE688822"/>
    <w:numStyleLink w:val="BoxedBullets"/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>
    <w:abstractNumId w:val="5"/>
  </w:num>
  <w:num w:numId="2">
    <w:abstractNumId w:val="29"/>
  </w:num>
  <w:num w:numId="3">
    <w:abstractNumId w:val="20"/>
  </w:num>
  <w:num w:numId="4">
    <w:abstractNumId w:val="28"/>
  </w:num>
  <w:num w:numId="5">
    <w:abstractNumId w:val="28"/>
  </w:num>
  <w:num w:numId="6">
    <w:abstractNumId w:val="14"/>
  </w:num>
  <w:num w:numId="7">
    <w:abstractNumId w:val="19"/>
  </w:num>
  <w:num w:numId="8">
    <w:abstractNumId w:val="19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7"/>
  </w:num>
  <w:num w:numId="20">
    <w:abstractNumId w:val="23"/>
  </w:num>
  <w:num w:numId="21">
    <w:abstractNumId w:val="23"/>
  </w:num>
  <w:num w:numId="22">
    <w:abstractNumId w:val="23"/>
  </w:num>
  <w:num w:numId="23">
    <w:abstractNumId w:val="22"/>
  </w:num>
  <w:num w:numId="24">
    <w:abstractNumId w:val="12"/>
  </w:num>
  <w:num w:numId="25">
    <w:abstractNumId w:val="9"/>
  </w:num>
  <w:num w:numId="26">
    <w:abstractNumId w:val="18"/>
  </w:num>
  <w:num w:numId="27">
    <w:abstractNumId w:val="1"/>
  </w:num>
  <w:num w:numId="28">
    <w:abstractNumId w:val="27"/>
  </w:num>
  <w:num w:numId="29">
    <w:abstractNumId w:val="4"/>
  </w:num>
  <w:num w:numId="30">
    <w:abstractNumId w:val="3"/>
  </w:num>
  <w:num w:numId="31">
    <w:abstractNumId w:val="10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6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>
    <w:abstractNumId w:val="11"/>
  </w:num>
  <w:num w:numId="36">
    <w:abstractNumId w:val="17"/>
  </w:num>
  <w:num w:numId="37">
    <w:abstractNumId w:val="16"/>
  </w:num>
  <w:num w:numId="38">
    <w:abstractNumId w:val="26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9">
    <w:abstractNumId w:val="2"/>
  </w:num>
  <w:num w:numId="40">
    <w:abstractNumId w:val="0"/>
  </w:num>
  <w:num w:numId="41">
    <w:abstractNumId w:val="1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D2"/>
    <w:rsid w:val="00012B75"/>
    <w:rsid w:val="00043D08"/>
    <w:rsid w:val="00045129"/>
    <w:rsid w:val="000454EC"/>
    <w:rsid w:val="00054E46"/>
    <w:rsid w:val="000553F1"/>
    <w:rsid w:val="0006297B"/>
    <w:rsid w:val="00063E8A"/>
    <w:rsid w:val="00080615"/>
    <w:rsid w:val="0008321A"/>
    <w:rsid w:val="000A6537"/>
    <w:rsid w:val="000B0322"/>
    <w:rsid w:val="000C252F"/>
    <w:rsid w:val="000F3A54"/>
    <w:rsid w:val="000F48FC"/>
    <w:rsid w:val="00127BA7"/>
    <w:rsid w:val="0015045D"/>
    <w:rsid w:val="00170A12"/>
    <w:rsid w:val="00182709"/>
    <w:rsid w:val="001C0114"/>
    <w:rsid w:val="001C214E"/>
    <w:rsid w:val="001F5175"/>
    <w:rsid w:val="001F5B96"/>
    <w:rsid w:val="00201052"/>
    <w:rsid w:val="002011D2"/>
    <w:rsid w:val="00220BFF"/>
    <w:rsid w:val="00222C25"/>
    <w:rsid w:val="00231AAC"/>
    <w:rsid w:val="00257E51"/>
    <w:rsid w:val="00257E93"/>
    <w:rsid w:val="0026002A"/>
    <w:rsid w:val="00265F83"/>
    <w:rsid w:val="002804D3"/>
    <w:rsid w:val="00280CD6"/>
    <w:rsid w:val="002900E7"/>
    <w:rsid w:val="0029227E"/>
    <w:rsid w:val="002A73B3"/>
    <w:rsid w:val="002B5CCA"/>
    <w:rsid w:val="002D20CF"/>
    <w:rsid w:val="002D6DBD"/>
    <w:rsid w:val="002E2EFB"/>
    <w:rsid w:val="002F3F1B"/>
    <w:rsid w:val="002F742D"/>
    <w:rsid w:val="0033225D"/>
    <w:rsid w:val="003449A0"/>
    <w:rsid w:val="00362AB6"/>
    <w:rsid w:val="00366933"/>
    <w:rsid w:val="003B700C"/>
    <w:rsid w:val="003C10B1"/>
    <w:rsid w:val="003D6185"/>
    <w:rsid w:val="003F29B8"/>
    <w:rsid w:val="004154E2"/>
    <w:rsid w:val="0041626A"/>
    <w:rsid w:val="0047430A"/>
    <w:rsid w:val="004D4273"/>
    <w:rsid w:val="004E33BC"/>
    <w:rsid w:val="004E78E6"/>
    <w:rsid w:val="00500AC9"/>
    <w:rsid w:val="00500E7A"/>
    <w:rsid w:val="00501FCE"/>
    <w:rsid w:val="00534D53"/>
    <w:rsid w:val="0057679A"/>
    <w:rsid w:val="00586536"/>
    <w:rsid w:val="0059438B"/>
    <w:rsid w:val="005B053D"/>
    <w:rsid w:val="00625854"/>
    <w:rsid w:val="0062791D"/>
    <w:rsid w:val="00636B99"/>
    <w:rsid w:val="00645DC6"/>
    <w:rsid w:val="00651348"/>
    <w:rsid w:val="00680A20"/>
    <w:rsid w:val="00680F04"/>
    <w:rsid w:val="0069524C"/>
    <w:rsid w:val="006D6D91"/>
    <w:rsid w:val="006D725A"/>
    <w:rsid w:val="006E31E2"/>
    <w:rsid w:val="006E55D2"/>
    <w:rsid w:val="007205F5"/>
    <w:rsid w:val="00731DD6"/>
    <w:rsid w:val="0077188A"/>
    <w:rsid w:val="0078103B"/>
    <w:rsid w:val="007B13FE"/>
    <w:rsid w:val="007C0D44"/>
    <w:rsid w:val="007D7285"/>
    <w:rsid w:val="008030D7"/>
    <w:rsid w:val="008A649A"/>
    <w:rsid w:val="008B7938"/>
    <w:rsid w:val="008C1600"/>
    <w:rsid w:val="008C7AA1"/>
    <w:rsid w:val="008E21DE"/>
    <w:rsid w:val="0092679E"/>
    <w:rsid w:val="009416AC"/>
    <w:rsid w:val="009539C8"/>
    <w:rsid w:val="0097706B"/>
    <w:rsid w:val="00981F08"/>
    <w:rsid w:val="009A1972"/>
    <w:rsid w:val="009D06E2"/>
    <w:rsid w:val="009E427A"/>
    <w:rsid w:val="009F4EAA"/>
    <w:rsid w:val="00A07E4A"/>
    <w:rsid w:val="00A11078"/>
    <w:rsid w:val="00A25A98"/>
    <w:rsid w:val="00A25C87"/>
    <w:rsid w:val="00A33217"/>
    <w:rsid w:val="00A378FF"/>
    <w:rsid w:val="00A60009"/>
    <w:rsid w:val="00A755AB"/>
    <w:rsid w:val="00A91853"/>
    <w:rsid w:val="00A91DAD"/>
    <w:rsid w:val="00A923C4"/>
    <w:rsid w:val="00AA094B"/>
    <w:rsid w:val="00AB12D5"/>
    <w:rsid w:val="00AD10C9"/>
    <w:rsid w:val="00AD735D"/>
    <w:rsid w:val="00AF0899"/>
    <w:rsid w:val="00B24204"/>
    <w:rsid w:val="00B603C0"/>
    <w:rsid w:val="00B6319E"/>
    <w:rsid w:val="00B83AB4"/>
    <w:rsid w:val="00BA4FF9"/>
    <w:rsid w:val="00BC3BA1"/>
    <w:rsid w:val="00C0421C"/>
    <w:rsid w:val="00C10202"/>
    <w:rsid w:val="00C13CE1"/>
    <w:rsid w:val="00C17ED9"/>
    <w:rsid w:val="00C21944"/>
    <w:rsid w:val="00C238FE"/>
    <w:rsid w:val="00C2698C"/>
    <w:rsid w:val="00C43AC3"/>
    <w:rsid w:val="00C52C59"/>
    <w:rsid w:val="00C7062A"/>
    <w:rsid w:val="00C81010"/>
    <w:rsid w:val="00C90DF2"/>
    <w:rsid w:val="00CA57CC"/>
    <w:rsid w:val="00CB3F20"/>
    <w:rsid w:val="00CB5080"/>
    <w:rsid w:val="00CB64BD"/>
    <w:rsid w:val="00CC6F9A"/>
    <w:rsid w:val="00CE1D08"/>
    <w:rsid w:val="00D2022A"/>
    <w:rsid w:val="00D37B77"/>
    <w:rsid w:val="00D82479"/>
    <w:rsid w:val="00D939ED"/>
    <w:rsid w:val="00D96017"/>
    <w:rsid w:val="00DA5BE7"/>
    <w:rsid w:val="00DF74BA"/>
    <w:rsid w:val="00E061C9"/>
    <w:rsid w:val="00E10F83"/>
    <w:rsid w:val="00E11161"/>
    <w:rsid w:val="00E12BDB"/>
    <w:rsid w:val="00E243C4"/>
    <w:rsid w:val="00E260AC"/>
    <w:rsid w:val="00E40290"/>
    <w:rsid w:val="00E43B4B"/>
    <w:rsid w:val="00E51EC5"/>
    <w:rsid w:val="00E62637"/>
    <w:rsid w:val="00EA15EC"/>
    <w:rsid w:val="00EA6BE8"/>
    <w:rsid w:val="00EC40C8"/>
    <w:rsid w:val="00ED000C"/>
    <w:rsid w:val="00ED5737"/>
    <w:rsid w:val="00EE737C"/>
    <w:rsid w:val="00F30C16"/>
    <w:rsid w:val="00F30CB1"/>
    <w:rsid w:val="00F33CC9"/>
    <w:rsid w:val="00F41613"/>
    <w:rsid w:val="00F9318C"/>
    <w:rsid w:val="00F935F7"/>
    <w:rsid w:val="00FB27B3"/>
    <w:rsid w:val="00FC41C7"/>
    <w:rsid w:val="00FD66D7"/>
    <w:rsid w:val="00FE33AC"/>
    <w:rsid w:val="00FF4C98"/>
    <w:rsid w:val="00FF52B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0CF94"/>
  <w15:chartTrackingRefBased/>
  <w15:docId w15:val="{847B0F44-48D4-4C17-8649-18EE6ECB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4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37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39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CommentReference">
    <w:name w:val="annotation reference"/>
    <w:basedOn w:val="DefaultParagraphFont"/>
    <w:uiPriority w:val="99"/>
    <w:semiHidden/>
    <w:unhideWhenUsed/>
    <w:rsid w:val="00D9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017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017"/>
    <w:rPr>
      <w:rFonts w:ascii="Calibri" w:eastAsia="Calibri" w:hAnsi="Calibri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Details/F2020C01087" TargetMode="External"/><Relationship Id="rId13" Type="http://schemas.openxmlformats.org/officeDocument/2006/relationships/hyperlink" Target="https://www.ndiscommission.gov.au/providers/understanding-behaviour-support-and-restrictive-practices-providers" TargetMode="External"/><Relationship Id="rId18" Type="http://schemas.openxmlformats.org/officeDocument/2006/relationships/hyperlink" Target="https://decidingwithsupport.flinders.edu.a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legislation.gov.au/Details/C2023C003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discommission.gov.au/providers/understanding-behaviour-support-and-restrictive-practices-providers" TargetMode="External"/><Relationship Id="rId17" Type="http://schemas.openxmlformats.org/officeDocument/2006/relationships/hyperlink" Target="https://www.ndiscommission.gov.au/evidencematter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discommission.gov.au/providers/understanding-behaviour-support-and-restrictive-practices-providers" TargetMode="External"/><Relationship Id="rId20" Type="http://schemas.openxmlformats.org/officeDocument/2006/relationships/hyperlink" Target="https://workforcecapability.ndiscommission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Details/F2021C01137" TargetMode="External"/><Relationship Id="rId24" Type="http://schemas.openxmlformats.org/officeDocument/2006/relationships/hyperlink" Target="https://www.legislation.gov.au/Details/F2020C010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discommission.gov.au/providers/understanding-behaviour-support-and-restrictive-practices-providers" TargetMode="External"/><Relationship Id="rId23" Type="http://schemas.openxmlformats.org/officeDocument/2006/relationships/hyperlink" Target="https://www.legislation.gov.au/Details/F2021C01137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ndiscommission.gov.au/about/ndis-code-conduct" TargetMode="External"/><Relationship Id="rId19" Type="http://schemas.openxmlformats.org/officeDocument/2006/relationships/hyperlink" Target="https://www.ndiscommission.gov.au/providers/understanding-behaviour-support-and-restrictive-practices-providers/self-assess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.gov.au/__data/assets/pdf_file/0008/851687/Restrictive-practices-authorisation-frameworks.pdf" TargetMode="External"/><Relationship Id="rId14" Type="http://schemas.openxmlformats.org/officeDocument/2006/relationships/hyperlink" Target="https://www.ndiscommission.gov.au/evidencematters" TargetMode="External"/><Relationship Id="rId22" Type="http://schemas.openxmlformats.org/officeDocument/2006/relationships/hyperlink" Target="https://www.legislation.gov.au/Details/F2018L00629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2569-6397-4A2B-A72B-FEA1322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3468</Characters>
  <Application>Microsoft Office Word</Application>
  <DocSecurity>0</DocSecurity>
  <Lines>57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CORFIELD, Debra</dc:creator>
  <cp:keywords>[SEC=OFFICIAL]</cp:keywords>
  <dc:description>DOTX Document template - portrait - v 2.1 (July 2023)</dc:description>
  <cp:lastModifiedBy>CORFIELD, Debra</cp:lastModifiedBy>
  <cp:revision>5</cp:revision>
  <dcterms:created xsi:type="dcterms:W3CDTF">2023-10-26T08:12:00Z</dcterms:created>
  <dcterms:modified xsi:type="dcterms:W3CDTF">2023-10-27T00:56:00Z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927758C1A204236018C6AE5AA92BC7859BC0AAD6</vt:lpwstr>
  </property>
  <property fmtid="{D5CDD505-2E9C-101B-9397-08002B2CF9AE}" pid="11" name="PM_OriginationTimeStamp">
    <vt:lpwstr>2023-10-27T00:56:11Z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D53BA413ECEB4C45DCCF5A8409699315</vt:lpwstr>
  </property>
  <property fmtid="{D5CDD505-2E9C-101B-9397-08002B2CF9AE}" pid="21" name="PM_Hash_Salt">
    <vt:lpwstr>53155FE7C9CFF49EDAA9BD04C89FD3CA</vt:lpwstr>
  </property>
  <property fmtid="{D5CDD505-2E9C-101B-9397-08002B2CF9AE}" pid="22" name="PM_Hash_SHA1">
    <vt:lpwstr>B7D0038D89F646C5A409B14B0A1436320FCBA4FF</vt:lpwstr>
  </property>
  <property fmtid="{D5CDD505-2E9C-101B-9397-08002B2CF9AE}" pid="23" name="PM_OriginatorUserAccountName_SHA256">
    <vt:lpwstr>7AAD66EC8754AF160C8CED46C1870E3489250297A5B9BA0FBAB9DC0FCE3AA87E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