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AF3" w:rsidRPr="00A2284C" w:rsidRDefault="00F94AF3" w:rsidP="005846E6">
      <w:pPr>
        <w:pStyle w:val="Heading2"/>
        <w:spacing w:before="120"/>
      </w:pPr>
      <w:bookmarkStart w:id="0" w:name="_GoBack"/>
      <w:bookmarkEnd w:id="0"/>
      <w:r w:rsidRPr="00A2284C">
        <w:t>Compliance Priorities 2023-24</w:t>
      </w:r>
    </w:p>
    <w:p w:rsidR="00AE2D52" w:rsidRPr="00A2284C" w:rsidRDefault="00AE2D52" w:rsidP="00AE2D52">
      <w:r w:rsidRPr="00A2284C">
        <w:t>The NDIS Commission sets regulatory priorities at the commencement of the financial year to enable us to target our effort and resources towards identified areas of heightened risk.</w:t>
      </w:r>
    </w:p>
    <w:p w:rsidR="00AE2D52" w:rsidRPr="00A2284C" w:rsidRDefault="00AE2D52" w:rsidP="00AE2D52">
      <w:r w:rsidRPr="00A2284C">
        <w:t xml:space="preserve">These priorities are not the only areas where we </w:t>
      </w:r>
      <w:r w:rsidR="008F2435" w:rsidRPr="00A2284C">
        <w:t xml:space="preserve">will </w:t>
      </w:r>
      <w:r w:rsidRPr="00A2284C">
        <w:t xml:space="preserve">take compliance and enforcement action. We </w:t>
      </w:r>
      <w:r w:rsidR="00F56891" w:rsidRPr="00A2284C">
        <w:t>monitor and respond</w:t>
      </w:r>
      <w:r w:rsidR="008F2435" w:rsidRPr="00A2284C">
        <w:t xml:space="preserve"> to </w:t>
      </w:r>
      <w:r w:rsidR="00F56891" w:rsidRPr="00A2284C">
        <w:t>time-critical and emerging areas of risk</w:t>
      </w:r>
      <w:r w:rsidR="00B43E57" w:rsidRPr="00A2284C">
        <w:t xml:space="preserve"> through our</w:t>
      </w:r>
      <w:r w:rsidR="00F56891" w:rsidRPr="00A2284C">
        <w:t xml:space="preserve"> ongoing</w:t>
      </w:r>
      <w:r w:rsidR="008F2435" w:rsidRPr="00A2284C">
        <w:t xml:space="preserve"> core regulatory functions,</w:t>
      </w:r>
      <w:r w:rsidR="00B43E57" w:rsidRPr="00A2284C">
        <w:t xml:space="preserve"> campaigns, and targeted </w:t>
      </w:r>
      <w:r w:rsidR="00F56891" w:rsidRPr="00A2284C">
        <w:t xml:space="preserve">regulatory </w:t>
      </w:r>
      <w:r w:rsidR="00B43E57" w:rsidRPr="00A2284C">
        <w:t>action</w:t>
      </w:r>
      <w:r w:rsidR="008F2435" w:rsidRPr="00A2284C">
        <w:t xml:space="preserve">. </w:t>
      </w:r>
    </w:p>
    <w:p w:rsidR="00AE2D52" w:rsidRPr="00A2284C" w:rsidRDefault="00AE2D52" w:rsidP="00AE2D52">
      <w:pPr>
        <w:rPr>
          <w:b/>
          <w:bCs/>
        </w:rPr>
      </w:pPr>
      <w:r w:rsidRPr="00A2284C">
        <w:rPr>
          <w:b/>
          <w:bCs/>
        </w:rPr>
        <w:t xml:space="preserve">The NDIS Commission retains the discretion to pursue other matters, in accordance with our </w:t>
      </w:r>
      <w:hyperlink r:id="rId11" w:history="1">
        <w:r w:rsidRPr="00A2284C">
          <w:rPr>
            <w:rStyle w:val="Hyperlink"/>
            <w:b/>
            <w:bCs/>
          </w:rPr>
          <w:t>Regulatory Approach</w:t>
        </w:r>
      </w:hyperlink>
      <w:r w:rsidRPr="00A2284C">
        <w:rPr>
          <w:b/>
          <w:bCs/>
        </w:rPr>
        <w:t>.</w:t>
      </w:r>
    </w:p>
    <w:p w:rsidR="007D1536" w:rsidRDefault="006273AF" w:rsidP="00AE2D52">
      <w:pPr>
        <w:rPr>
          <w:b/>
          <w:bCs/>
        </w:rPr>
      </w:pPr>
      <w:r w:rsidRPr="0081020B">
        <w:rPr>
          <w:b/>
          <w:bCs/>
        </w:rPr>
        <w:t>Underlying</w:t>
      </w:r>
      <w:r w:rsidR="007D1536" w:rsidRPr="0081020B">
        <w:rPr>
          <w:b/>
          <w:bCs/>
        </w:rPr>
        <w:t xml:space="preserve"> following compliance priorities, </w:t>
      </w:r>
      <w:r w:rsidRPr="0081020B">
        <w:rPr>
          <w:b/>
          <w:bCs/>
        </w:rPr>
        <w:t>is</w:t>
      </w:r>
      <w:r w:rsidR="007D1536" w:rsidRPr="0081020B">
        <w:rPr>
          <w:b/>
          <w:bCs/>
        </w:rPr>
        <w:t xml:space="preserve"> a priority focus on unregistered providers.</w:t>
      </w:r>
      <w:r w:rsidR="007D1536" w:rsidRPr="00A2284C">
        <w:rPr>
          <w:b/>
          <w:bCs/>
        </w:rPr>
        <w:t xml:space="preserve"> </w:t>
      </w:r>
    </w:p>
    <w:p w:rsidR="0081020B" w:rsidRDefault="0081020B" w:rsidP="00AE2D52">
      <w:pPr>
        <w:rPr>
          <w:b/>
          <w:bCs/>
        </w:rPr>
      </w:pPr>
    </w:p>
    <w:p w:rsidR="0081020B" w:rsidRDefault="0081020B" w:rsidP="00AE2D52">
      <w:pPr>
        <w:rPr>
          <w:b/>
          <w:bCs/>
        </w:rPr>
      </w:pPr>
    </w:p>
    <w:p w:rsidR="0081020B" w:rsidRDefault="0081020B" w:rsidP="00AE2D52">
      <w:pPr>
        <w:rPr>
          <w:b/>
          <w:bCs/>
        </w:rPr>
      </w:pPr>
    </w:p>
    <w:p w:rsidR="0081020B" w:rsidRDefault="0081020B" w:rsidP="00AE2D52">
      <w:pPr>
        <w:rPr>
          <w:b/>
          <w:bCs/>
        </w:rPr>
      </w:pPr>
    </w:p>
    <w:p w:rsidR="0081020B" w:rsidRDefault="0081020B" w:rsidP="00AE2D52">
      <w:pPr>
        <w:rPr>
          <w:b/>
          <w:bCs/>
        </w:rPr>
      </w:pPr>
    </w:p>
    <w:p w:rsidR="0081020B" w:rsidRDefault="0081020B" w:rsidP="00AE2D52">
      <w:pPr>
        <w:rPr>
          <w:b/>
          <w:bCs/>
        </w:rPr>
      </w:pPr>
    </w:p>
    <w:p w:rsidR="0081020B" w:rsidRDefault="0081020B" w:rsidP="00AE2D52">
      <w:pPr>
        <w:rPr>
          <w:b/>
          <w:bCs/>
        </w:rPr>
      </w:pPr>
    </w:p>
    <w:p w:rsidR="0081020B" w:rsidRDefault="0081020B" w:rsidP="00AE2D52">
      <w:pPr>
        <w:rPr>
          <w:b/>
          <w:bCs/>
        </w:rPr>
      </w:pPr>
    </w:p>
    <w:p w:rsidR="0081020B" w:rsidRPr="00A2284C" w:rsidRDefault="0081020B" w:rsidP="00AE2D52">
      <w:pPr>
        <w:rPr>
          <w:bCs/>
        </w:rPr>
      </w:pPr>
    </w:p>
    <w:tbl>
      <w:tblPr>
        <w:tblStyle w:val="GridTable5Dark-Accent1"/>
        <w:tblpPr w:leftFromText="180" w:rightFromText="180" w:vertAnchor="text"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AA6B75" w:rsidRPr="00A2284C" w:rsidTr="00CF16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6B75" w:rsidRPr="00A2284C" w:rsidRDefault="00AA6B75" w:rsidP="00AA6B75">
            <w:pPr>
              <w:spacing w:before="0" w:after="240"/>
              <w:rPr>
                <w:color w:val="auto"/>
                <w:sz w:val="24"/>
                <w:szCs w:val="24"/>
              </w:rPr>
            </w:pPr>
            <w:r w:rsidRPr="00A2284C">
              <w:rPr>
                <w:rFonts w:asciiTheme="majorHAnsi" w:eastAsiaTheme="majorEastAsia" w:hAnsiTheme="majorHAnsi" w:cstheme="majorBidi"/>
                <w:color w:val="5F2E74" w:themeColor="text2"/>
                <w:sz w:val="24"/>
                <w:szCs w:val="24"/>
              </w:rPr>
              <w:lastRenderedPageBreak/>
              <w:t>Outcome</w:t>
            </w:r>
            <w:r w:rsidR="00153BB9" w:rsidRPr="00A2284C">
              <w:rPr>
                <w:rFonts w:asciiTheme="majorHAnsi" w:eastAsiaTheme="majorEastAsia" w:hAnsiTheme="majorHAnsi" w:cstheme="majorBidi"/>
                <w:color w:val="5F2E74" w:themeColor="text2"/>
                <w:sz w:val="24"/>
                <w:szCs w:val="24"/>
              </w:rPr>
              <w:t xml:space="preserve"> 1</w:t>
            </w:r>
          </w:p>
        </w:tc>
        <w:tc>
          <w:tcPr>
            <w:tcW w:w="4207" w:type="pct"/>
            <w:tcBorders>
              <w:top w:val="single" w:sz="4" w:space="0" w:color="auto"/>
              <w:left w:val="single" w:sz="4" w:space="0" w:color="auto"/>
              <w:right w:val="single" w:sz="4" w:space="0" w:color="auto"/>
            </w:tcBorders>
            <w:shd w:val="clear" w:color="auto" w:fill="D9D9D9" w:themeFill="background1" w:themeFillShade="D9"/>
          </w:tcPr>
          <w:p w:rsidR="00AA6B75" w:rsidRPr="00A2284C" w:rsidRDefault="00AA6B75" w:rsidP="00A91A2E">
            <w:pPr>
              <w:spacing w:before="0" w:after="240"/>
              <w:cnfStyle w:val="100000000000" w:firstRow="1" w:lastRow="0" w:firstColumn="0" w:lastColumn="0" w:oddVBand="0" w:evenVBand="0" w:oddHBand="0" w:evenHBand="0" w:firstRowFirstColumn="0" w:firstRowLastColumn="0" w:lastRowFirstColumn="0" w:lastRowLastColumn="0"/>
              <w:rPr>
                <w:rFonts w:cstheme="minorHAnsi"/>
                <w:bCs w:val="0"/>
                <w:color w:val="5F2E74" w:themeColor="accent1"/>
                <w:sz w:val="24"/>
                <w:szCs w:val="24"/>
              </w:rPr>
            </w:pPr>
            <w:r w:rsidRPr="00A2284C">
              <w:rPr>
                <w:rFonts w:cstheme="minorHAnsi"/>
                <w:color w:val="7030A0"/>
                <w:sz w:val="24"/>
                <w:szCs w:val="24"/>
              </w:rPr>
              <w:t xml:space="preserve">The use of unauthorised restrictive practices is reduced or eliminated through </w:t>
            </w:r>
            <w:r w:rsidR="006273AF" w:rsidRPr="00A2284C">
              <w:rPr>
                <w:rFonts w:cstheme="minorHAnsi"/>
                <w:color w:val="7030A0"/>
                <w:sz w:val="24"/>
                <w:szCs w:val="24"/>
              </w:rPr>
              <w:t xml:space="preserve">the development and implementation of </w:t>
            </w:r>
            <w:r w:rsidRPr="00A2284C">
              <w:rPr>
                <w:rFonts w:cstheme="minorHAnsi"/>
                <w:color w:val="7030A0"/>
                <w:sz w:val="24"/>
                <w:szCs w:val="24"/>
              </w:rPr>
              <w:t xml:space="preserve">high quality positive behaviour support plans. </w:t>
            </w:r>
          </w:p>
        </w:tc>
      </w:tr>
    </w:tbl>
    <w:tbl>
      <w:tblPr>
        <w:tblStyle w:val="GridTable5Dark-Accent1"/>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537"/>
        <w:gridCol w:w="8221"/>
      </w:tblGrid>
      <w:tr w:rsidR="00EA45E6" w:rsidRPr="00A2284C" w:rsidTr="005846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3" w:type="pct"/>
            <w:tcBorders>
              <w:top w:val="single" w:sz="4" w:space="0" w:color="auto"/>
              <w:left w:val="single" w:sz="4" w:space="0" w:color="auto"/>
              <w:right w:val="single" w:sz="4" w:space="0" w:color="auto"/>
            </w:tcBorders>
            <w:shd w:val="clear" w:color="auto" w:fill="D9D9D9" w:themeFill="background1" w:themeFillShade="D9"/>
          </w:tcPr>
          <w:p w:rsidR="00C341D5" w:rsidRPr="00A2284C" w:rsidRDefault="00C341D5" w:rsidP="00541235">
            <w:pPr>
              <w:spacing w:before="120" w:after="120"/>
              <w:rPr>
                <w:rFonts w:cstheme="minorHAnsi"/>
                <w:color w:val="7030A0"/>
                <w:szCs w:val="22"/>
              </w:rPr>
            </w:pPr>
            <w:r w:rsidRPr="00A2284C">
              <w:rPr>
                <w:rFonts w:cstheme="minorHAnsi"/>
                <w:color w:val="7030A0"/>
                <w:szCs w:val="22"/>
              </w:rPr>
              <w:t xml:space="preserve">Priority </w:t>
            </w:r>
          </w:p>
        </w:tc>
        <w:tc>
          <w:tcPr>
            <w:tcW w:w="1496" w:type="pct"/>
            <w:tcBorders>
              <w:top w:val="single" w:sz="4" w:space="0" w:color="auto"/>
              <w:left w:val="single" w:sz="4" w:space="0" w:color="auto"/>
              <w:right w:val="single" w:sz="4" w:space="0" w:color="auto"/>
            </w:tcBorders>
            <w:shd w:val="clear" w:color="auto" w:fill="D9D9D9" w:themeFill="background1" w:themeFillShade="D9"/>
          </w:tcPr>
          <w:p w:rsidR="00C341D5" w:rsidRPr="00A2284C" w:rsidRDefault="00C341D5" w:rsidP="00541235">
            <w:pPr>
              <w:spacing w:before="120" w:after="120"/>
              <w:cnfStyle w:val="100000000000" w:firstRow="1" w:lastRow="0" w:firstColumn="0" w:lastColumn="0" w:oddVBand="0" w:evenVBand="0" w:oddHBand="0" w:evenHBand="0" w:firstRowFirstColumn="0" w:firstRowLastColumn="0" w:lastRowFirstColumn="0" w:lastRowLastColumn="0"/>
              <w:rPr>
                <w:rFonts w:cstheme="minorHAnsi"/>
                <w:color w:val="7030A0"/>
                <w:szCs w:val="22"/>
              </w:rPr>
            </w:pPr>
            <w:r w:rsidRPr="00A2284C">
              <w:rPr>
                <w:rFonts w:cstheme="minorHAnsi"/>
                <w:color w:val="7030A0"/>
                <w:szCs w:val="22"/>
              </w:rPr>
              <w:t>Intent Statement</w:t>
            </w:r>
          </w:p>
        </w:tc>
        <w:tc>
          <w:tcPr>
            <w:tcW w:w="2711" w:type="pct"/>
            <w:tcBorders>
              <w:top w:val="single" w:sz="4" w:space="0" w:color="auto"/>
              <w:left w:val="single" w:sz="4" w:space="0" w:color="auto"/>
              <w:right w:val="single" w:sz="4" w:space="0" w:color="auto"/>
            </w:tcBorders>
            <w:shd w:val="clear" w:color="auto" w:fill="D9D9D9" w:themeFill="background1" w:themeFillShade="D9"/>
          </w:tcPr>
          <w:p w:rsidR="00C341D5" w:rsidRPr="00A2284C" w:rsidRDefault="00C341D5" w:rsidP="00541235">
            <w:pPr>
              <w:spacing w:before="120" w:after="120"/>
              <w:cnfStyle w:val="100000000000" w:firstRow="1" w:lastRow="0" w:firstColumn="0" w:lastColumn="0" w:oddVBand="0" w:evenVBand="0" w:oddHBand="0" w:evenHBand="0" w:firstRowFirstColumn="0" w:firstRowLastColumn="0" w:lastRowFirstColumn="0" w:lastRowLastColumn="0"/>
              <w:rPr>
                <w:rFonts w:cstheme="minorHAnsi"/>
                <w:color w:val="7030A0"/>
                <w:szCs w:val="22"/>
              </w:rPr>
            </w:pPr>
            <w:r w:rsidRPr="00A2284C">
              <w:rPr>
                <w:rFonts w:cstheme="minorHAnsi"/>
                <w:color w:val="7030A0"/>
                <w:szCs w:val="22"/>
              </w:rPr>
              <w:t>Risk Summary</w:t>
            </w:r>
          </w:p>
        </w:tc>
      </w:tr>
      <w:tr w:rsidR="00C341D5" w:rsidRPr="00A2284C" w:rsidTr="00584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Borders>
              <w:left w:val="none" w:sz="0" w:space="0" w:color="auto"/>
            </w:tcBorders>
            <w:shd w:val="clear" w:color="auto" w:fill="auto"/>
          </w:tcPr>
          <w:p w:rsidR="00C341D5" w:rsidRPr="00A2284C" w:rsidRDefault="00C341D5" w:rsidP="00541235">
            <w:pPr>
              <w:spacing w:before="120" w:after="120"/>
              <w:rPr>
                <w:color w:val="7030A0"/>
                <w:szCs w:val="22"/>
              </w:rPr>
            </w:pPr>
            <w:r w:rsidRPr="00A2284C">
              <w:rPr>
                <w:color w:val="7030A0"/>
                <w:szCs w:val="22"/>
              </w:rPr>
              <w:t xml:space="preserve">Issues and risks for participants through the use of unauthorised restrictive practices (URPs) </w:t>
            </w:r>
          </w:p>
          <w:p w:rsidR="00C341D5" w:rsidRPr="00A2284C" w:rsidRDefault="00C341D5" w:rsidP="00541235">
            <w:pPr>
              <w:spacing w:before="120" w:after="120"/>
              <w:rPr>
                <w:rFonts w:cstheme="minorHAnsi"/>
                <w:color w:val="7030A0"/>
                <w:szCs w:val="22"/>
              </w:rPr>
            </w:pPr>
          </w:p>
        </w:tc>
        <w:tc>
          <w:tcPr>
            <w:tcW w:w="1496" w:type="pct"/>
            <w:shd w:val="clear" w:color="auto" w:fill="auto"/>
          </w:tcPr>
          <w:p w:rsidR="00B81362" w:rsidRPr="00A2284C" w:rsidRDefault="00C341D5" w:rsidP="00541235">
            <w:pPr>
              <w:spacing w:before="120"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A2284C">
              <w:rPr>
                <w:rFonts w:cstheme="minorHAnsi"/>
                <w:szCs w:val="22"/>
              </w:rPr>
              <w:t xml:space="preserve">We will be targeting compliance and enforcement action where we identify providers are not complying with obligations to take all reasonable steps to facilitate the development of interim and comprehensive behaviour support plans and to obtain state or territory authorisation (where required) where there is, or is likely to be, ongoing use of regulated restricted practices, with participants. </w:t>
            </w:r>
          </w:p>
          <w:p w:rsidR="00C341D5" w:rsidRPr="00A2284C" w:rsidRDefault="00710D9D" w:rsidP="006273AF">
            <w:pPr>
              <w:spacing w:before="120"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81020B">
              <w:rPr>
                <w:rFonts w:cstheme="minorHAnsi"/>
                <w:szCs w:val="22"/>
              </w:rPr>
              <w:t xml:space="preserve">This will reduce risks for participants by ensuring that </w:t>
            </w:r>
            <w:r w:rsidR="006273AF" w:rsidRPr="0081020B">
              <w:rPr>
                <w:rFonts w:cstheme="minorHAnsi"/>
                <w:szCs w:val="22"/>
              </w:rPr>
              <w:t xml:space="preserve">prohibited practices are not used and </w:t>
            </w:r>
            <w:r w:rsidRPr="0081020B">
              <w:rPr>
                <w:rFonts w:cstheme="minorHAnsi"/>
                <w:szCs w:val="22"/>
              </w:rPr>
              <w:t xml:space="preserve">the use of </w:t>
            </w:r>
            <w:r w:rsidR="006273AF" w:rsidRPr="0081020B">
              <w:rPr>
                <w:rFonts w:cstheme="minorHAnsi"/>
                <w:szCs w:val="22"/>
              </w:rPr>
              <w:t xml:space="preserve">regulated </w:t>
            </w:r>
            <w:r w:rsidRPr="0081020B">
              <w:rPr>
                <w:rFonts w:cstheme="minorHAnsi"/>
                <w:szCs w:val="22"/>
              </w:rPr>
              <w:t>restrictive practices is appropriately authorised as part of a behaviour support plan developed by a suitable practitioner and subject to monitoring and oversight.</w:t>
            </w:r>
            <w:r w:rsidRPr="00A2284C">
              <w:rPr>
                <w:rFonts w:cstheme="minorHAnsi"/>
                <w:szCs w:val="22"/>
              </w:rPr>
              <w:t xml:space="preserve">   </w:t>
            </w:r>
          </w:p>
        </w:tc>
        <w:tc>
          <w:tcPr>
            <w:tcW w:w="2711" w:type="pct"/>
            <w:shd w:val="clear" w:color="auto" w:fill="auto"/>
          </w:tcPr>
          <w:p w:rsidR="00C341D5" w:rsidRPr="00A2284C" w:rsidRDefault="00C341D5" w:rsidP="00541235">
            <w:pPr>
              <w:spacing w:before="120"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A2284C">
              <w:rPr>
                <w:rFonts w:cstheme="minorHAnsi"/>
                <w:szCs w:val="22"/>
              </w:rPr>
              <w:t xml:space="preserve">The NDIS Commission regulates NDIS providers’ use of regulated restrictive practices in relation to persons with disability for the purposes of reducing and eliminating the use of restrictive practices. </w:t>
            </w:r>
          </w:p>
          <w:p w:rsidR="00C341D5" w:rsidRPr="00A2284C" w:rsidRDefault="00C341D5" w:rsidP="00541235">
            <w:pPr>
              <w:spacing w:before="120"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A2284C">
              <w:rPr>
                <w:rFonts w:cstheme="minorHAnsi"/>
                <w:szCs w:val="22"/>
              </w:rPr>
              <w:t xml:space="preserve">A restrictive practice means any practice or intervention that has the effect of restricting the rights or freedom of movement of a person with disability. Under the </w:t>
            </w:r>
            <w:r w:rsidRPr="00A2284C">
              <w:rPr>
                <w:rFonts w:cstheme="minorHAnsi"/>
                <w:i/>
                <w:iCs/>
                <w:szCs w:val="22"/>
              </w:rPr>
              <w:t xml:space="preserve">National Disability Insurance Scheme (Restrictive Practices and Behaviour Support) Rules 2018 </w:t>
            </w:r>
            <w:r w:rsidRPr="00A2284C">
              <w:rPr>
                <w:rFonts w:cstheme="minorHAnsi"/>
                <w:szCs w:val="22"/>
              </w:rPr>
              <w:t xml:space="preserve">(Restrictive Practices and Behaviour Support Rules) certain restrictive practices are subject to regulation. A restrictive practice is a regulated restrictive practice if it is or involves seclusion, chemical restraint, mechanical restraint, physical restraint and environmental restraint. </w:t>
            </w:r>
          </w:p>
          <w:p w:rsidR="00C341D5" w:rsidRPr="00A2284C" w:rsidRDefault="00C341D5" w:rsidP="00541235">
            <w:pPr>
              <w:spacing w:before="120"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A2284C">
              <w:rPr>
                <w:rFonts w:cstheme="minorHAnsi"/>
                <w:szCs w:val="22"/>
              </w:rPr>
              <w:t xml:space="preserve">The use of a restrictive practice is ‘unauthorised’ if its use has not been authorised in accordance with any applicable state or territory requirements for authorisation and/or it is not used in accordance with a behaviour support plan for the participant. Providers must report every instance of a restrictive practice, including each individual use, until evidence of authorisation (if required) and the behaviour support plan are lodged with the NDIS Commission. </w:t>
            </w:r>
          </w:p>
        </w:tc>
      </w:tr>
      <w:tr w:rsidR="00C341D5" w:rsidRPr="00A2284C" w:rsidTr="006273AF">
        <w:tc>
          <w:tcPr>
            <w:cnfStyle w:val="001000000000" w:firstRow="0" w:lastRow="0" w:firstColumn="1" w:lastColumn="0" w:oddVBand="0" w:evenVBand="0" w:oddHBand="0" w:evenHBand="0" w:firstRowFirstColumn="0" w:firstRowLastColumn="0" w:lastRowFirstColumn="0" w:lastRowLastColumn="0"/>
            <w:tcW w:w="793" w:type="pct"/>
            <w:tcBorders>
              <w:left w:val="none" w:sz="0" w:space="0" w:color="auto"/>
              <w:bottom w:val="single" w:sz="4" w:space="0" w:color="auto"/>
            </w:tcBorders>
            <w:shd w:val="clear" w:color="auto" w:fill="auto"/>
          </w:tcPr>
          <w:p w:rsidR="00C341D5" w:rsidRPr="00A2284C" w:rsidRDefault="00492299" w:rsidP="00541235">
            <w:pPr>
              <w:spacing w:before="120" w:after="120"/>
              <w:rPr>
                <w:rFonts w:cstheme="minorHAnsi"/>
                <w:color w:val="7030A0"/>
                <w:szCs w:val="22"/>
              </w:rPr>
            </w:pPr>
            <w:r w:rsidRPr="00A2284C">
              <w:rPr>
                <w:rFonts w:cstheme="minorHAnsi"/>
                <w:color w:val="7030A0"/>
                <w:szCs w:val="22"/>
              </w:rPr>
              <w:t>I</w:t>
            </w:r>
            <w:r w:rsidR="00C341D5" w:rsidRPr="00A2284C">
              <w:rPr>
                <w:rFonts w:cstheme="minorHAnsi"/>
                <w:color w:val="7030A0"/>
                <w:szCs w:val="22"/>
              </w:rPr>
              <w:t xml:space="preserve">mpact on participants of poor behaviour support plan quality </w:t>
            </w:r>
          </w:p>
        </w:tc>
        <w:tc>
          <w:tcPr>
            <w:tcW w:w="1496" w:type="pct"/>
            <w:tcBorders>
              <w:bottom w:val="single" w:sz="4" w:space="0" w:color="auto"/>
            </w:tcBorders>
            <w:shd w:val="clear" w:color="auto" w:fill="auto"/>
          </w:tcPr>
          <w:p w:rsidR="00B81362" w:rsidRPr="00A2284C" w:rsidRDefault="00C341D5" w:rsidP="00541235">
            <w:pPr>
              <w:spacing w:before="120"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A2284C">
              <w:rPr>
                <w:rFonts w:cstheme="minorHAnsi"/>
                <w:szCs w:val="22"/>
              </w:rPr>
              <w:t xml:space="preserve">We will be targeting compliance and enforcement action where we identify providers of specialist behaviour support services are not meeting their obligations for the development of behaviour support plans about NDIS participants in consultation with the participants. </w:t>
            </w:r>
          </w:p>
          <w:p w:rsidR="00C341D5" w:rsidRPr="00A2284C" w:rsidRDefault="00710D9D" w:rsidP="00153BB9">
            <w:pPr>
              <w:spacing w:before="120"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81020B">
              <w:rPr>
                <w:rFonts w:cstheme="minorHAnsi"/>
                <w:szCs w:val="22"/>
              </w:rPr>
              <w:t xml:space="preserve">This will </w:t>
            </w:r>
            <w:r w:rsidR="006273AF" w:rsidRPr="0081020B">
              <w:rPr>
                <w:rFonts w:cstheme="minorHAnsi"/>
                <w:szCs w:val="22"/>
              </w:rPr>
              <w:t xml:space="preserve">improve the </w:t>
            </w:r>
            <w:r w:rsidR="00153BB9" w:rsidRPr="0081020B">
              <w:rPr>
                <w:rFonts w:cstheme="minorHAnsi"/>
                <w:szCs w:val="22"/>
              </w:rPr>
              <w:t xml:space="preserve">experience of people with disability through </w:t>
            </w:r>
            <w:r w:rsidR="006273AF" w:rsidRPr="0081020B">
              <w:rPr>
                <w:rFonts w:cstheme="minorHAnsi"/>
                <w:szCs w:val="22"/>
              </w:rPr>
              <w:t xml:space="preserve">being </w:t>
            </w:r>
            <w:r w:rsidR="008F7995" w:rsidRPr="0081020B">
              <w:rPr>
                <w:rFonts w:cstheme="minorHAnsi"/>
                <w:szCs w:val="22"/>
              </w:rPr>
              <w:t xml:space="preserve">directly involved in the </w:t>
            </w:r>
            <w:r w:rsidR="008F7995" w:rsidRPr="0081020B">
              <w:rPr>
                <w:rFonts w:cstheme="minorHAnsi"/>
                <w:szCs w:val="22"/>
              </w:rPr>
              <w:lastRenderedPageBreak/>
              <w:t xml:space="preserve">development of </w:t>
            </w:r>
            <w:r w:rsidR="00153BB9" w:rsidRPr="0081020B">
              <w:rPr>
                <w:rFonts w:cstheme="minorHAnsi"/>
                <w:szCs w:val="22"/>
              </w:rPr>
              <w:t>quality behaviour support plans</w:t>
            </w:r>
            <w:r w:rsidR="008F7995" w:rsidRPr="0081020B">
              <w:rPr>
                <w:rFonts w:cstheme="minorHAnsi"/>
                <w:szCs w:val="22"/>
              </w:rPr>
              <w:t xml:space="preserve"> that support their participation and wellbeing</w:t>
            </w:r>
            <w:r w:rsidR="002222AE" w:rsidRPr="0081020B">
              <w:rPr>
                <w:rFonts w:cstheme="minorHAnsi"/>
                <w:szCs w:val="22"/>
              </w:rPr>
              <w:t>.</w:t>
            </w:r>
            <w:r w:rsidR="002222AE" w:rsidRPr="00A2284C">
              <w:rPr>
                <w:rFonts w:cstheme="minorHAnsi"/>
                <w:szCs w:val="22"/>
              </w:rPr>
              <w:t xml:space="preserve"> </w:t>
            </w:r>
          </w:p>
        </w:tc>
        <w:tc>
          <w:tcPr>
            <w:tcW w:w="2711" w:type="pct"/>
            <w:tcBorders>
              <w:bottom w:val="single" w:sz="4" w:space="0" w:color="auto"/>
            </w:tcBorders>
            <w:shd w:val="clear" w:color="auto" w:fill="auto"/>
          </w:tcPr>
          <w:p w:rsidR="00C341D5" w:rsidRPr="00A2284C" w:rsidRDefault="00C341D5" w:rsidP="006273AF">
            <w:pPr>
              <w:spacing w:before="120"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A2284C">
              <w:rPr>
                <w:rFonts w:cstheme="minorHAnsi"/>
                <w:szCs w:val="22"/>
              </w:rPr>
              <w:lastRenderedPageBreak/>
              <w:t xml:space="preserve">Restrictive practices not only infringe on the rights or freedom of movement on the person subject to them but they result in negative consequences on the safety and well-being of the person. Research on the quality of behaviour support plans show that a good quality plan can lead to a reduction in the use of restrictive practices. The quality of behaviour support plans also provide an insight into the clinical governance of providers and the clinical performance of practitioners. A national review conducted on more than 2,700 behaviour support plans show that the quality of plan is weak and, disappointingly, only 32% of practitioners provided evidence that they had consulted the participant in the development of the behaviour support plan. Hence, there is an urgent need to </w:t>
            </w:r>
            <w:r w:rsidR="006273AF" w:rsidRPr="00A2284C">
              <w:rPr>
                <w:rFonts w:cstheme="minorHAnsi"/>
                <w:szCs w:val="22"/>
              </w:rPr>
              <w:t xml:space="preserve">secure </w:t>
            </w:r>
            <w:r w:rsidR="006273AF" w:rsidRPr="00A2284C">
              <w:rPr>
                <w:rFonts w:cstheme="minorHAnsi"/>
                <w:szCs w:val="22"/>
              </w:rPr>
              <w:lastRenderedPageBreak/>
              <w:t>the compliance of</w:t>
            </w:r>
            <w:r w:rsidRPr="00A2284C">
              <w:rPr>
                <w:rFonts w:cstheme="minorHAnsi"/>
                <w:szCs w:val="22"/>
              </w:rPr>
              <w:t xml:space="preserve"> behaviour support providers</w:t>
            </w:r>
            <w:r w:rsidR="006273AF" w:rsidRPr="00A2284C">
              <w:rPr>
                <w:rFonts w:cstheme="minorHAnsi"/>
                <w:szCs w:val="22"/>
              </w:rPr>
              <w:t xml:space="preserve"> with their obligations for plan development</w:t>
            </w:r>
            <w:r w:rsidRPr="00A2284C">
              <w:rPr>
                <w:rFonts w:cstheme="minorHAnsi"/>
                <w:szCs w:val="22"/>
              </w:rPr>
              <w:t xml:space="preserve">. </w:t>
            </w:r>
          </w:p>
        </w:tc>
      </w:tr>
    </w:tbl>
    <w:p w:rsidR="00A91A2E" w:rsidRDefault="00A91A2E"/>
    <w:p w:rsidR="0081020B" w:rsidRDefault="0081020B"/>
    <w:p w:rsidR="0081020B" w:rsidRDefault="0081020B"/>
    <w:p w:rsidR="0081020B" w:rsidRDefault="0081020B"/>
    <w:p w:rsidR="0081020B" w:rsidRDefault="0081020B"/>
    <w:p w:rsidR="0081020B" w:rsidRDefault="0081020B"/>
    <w:p w:rsidR="0081020B" w:rsidRDefault="0081020B"/>
    <w:p w:rsidR="0081020B" w:rsidRDefault="0081020B"/>
    <w:p w:rsidR="0081020B" w:rsidRDefault="0081020B"/>
    <w:p w:rsidR="0081020B" w:rsidRDefault="0081020B"/>
    <w:p w:rsidR="0081020B" w:rsidRDefault="0081020B"/>
    <w:p w:rsidR="0081020B" w:rsidRDefault="0081020B"/>
    <w:p w:rsidR="0081020B" w:rsidRDefault="0081020B"/>
    <w:p w:rsidR="0081020B" w:rsidRDefault="0081020B"/>
    <w:p w:rsidR="0081020B" w:rsidRDefault="0081020B"/>
    <w:p w:rsidR="0081020B" w:rsidRPr="00A2284C" w:rsidRDefault="0081020B"/>
    <w:tbl>
      <w:tblPr>
        <w:tblStyle w:val="GridTable5Dark-Accent1"/>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537"/>
        <w:gridCol w:w="8221"/>
      </w:tblGrid>
      <w:tr w:rsidR="00AA6B75" w:rsidRPr="00A2284C" w:rsidTr="00A91A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Borders>
              <w:top w:val="single" w:sz="4" w:space="0" w:color="auto"/>
              <w:left w:val="single" w:sz="4" w:space="0" w:color="auto"/>
              <w:right w:val="single" w:sz="4" w:space="0" w:color="auto"/>
            </w:tcBorders>
            <w:shd w:val="clear" w:color="auto" w:fill="D9D9D9" w:themeFill="background1" w:themeFillShade="D9"/>
          </w:tcPr>
          <w:p w:rsidR="00AA6B75" w:rsidRPr="00A2284C" w:rsidRDefault="00AA6B75" w:rsidP="00541235">
            <w:pPr>
              <w:spacing w:before="120" w:after="120"/>
              <w:rPr>
                <w:rFonts w:cstheme="minorHAnsi"/>
                <w:color w:val="7030A0"/>
                <w:szCs w:val="22"/>
              </w:rPr>
            </w:pPr>
            <w:r w:rsidRPr="00A2284C">
              <w:rPr>
                <w:rFonts w:asciiTheme="majorHAnsi" w:eastAsiaTheme="majorEastAsia" w:hAnsiTheme="majorHAnsi" w:cstheme="majorBidi"/>
                <w:color w:val="7030A0"/>
                <w:sz w:val="24"/>
                <w:szCs w:val="34"/>
              </w:rPr>
              <w:lastRenderedPageBreak/>
              <w:t>Outcome</w:t>
            </w:r>
            <w:r w:rsidR="00153BB9" w:rsidRPr="00A2284C">
              <w:rPr>
                <w:rFonts w:asciiTheme="majorHAnsi" w:eastAsiaTheme="majorEastAsia" w:hAnsiTheme="majorHAnsi" w:cstheme="majorBidi"/>
                <w:color w:val="7030A0"/>
                <w:sz w:val="24"/>
                <w:szCs w:val="34"/>
              </w:rPr>
              <w:t xml:space="preserve"> 2</w:t>
            </w:r>
          </w:p>
        </w:tc>
        <w:tc>
          <w:tcPr>
            <w:tcW w:w="4207" w:type="pct"/>
            <w:gridSpan w:val="2"/>
            <w:tcBorders>
              <w:top w:val="single" w:sz="4" w:space="0" w:color="auto"/>
              <w:left w:val="single" w:sz="4" w:space="0" w:color="auto"/>
              <w:right w:val="single" w:sz="4" w:space="0" w:color="auto"/>
            </w:tcBorders>
            <w:shd w:val="clear" w:color="auto" w:fill="D9D9D9" w:themeFill="background1" w:themeFillShade="D9"/>
          </w:tcPr>
          <w:p w:rsidR="00AA6B75" w:rsidRPr="00A2284C" w:rsidRDefault="00AA6B75" w:rsidP="00541235">
            <w:pPr>
              <w:spacing w:before="120" w:after="120"/>
              <w:cnfStyle w:val="100000000000" w:firstRow="1" w:lastRow="0" w:firstColumn="0" w:lastColumn="0" w:oddVBand="0" w:evenVBand="0" w:oddHBand="0" w:evenHBand="0" w:firstRowFirstColumn="0" w:firstRowLastColumn="0" w:lastRowFirstColumn="0" w:lastRowLastColumn="0"/>
              <w:rPr>
                <w:rFonts w:cstheme="minorHAnsi"/>
                <w:color w:val="7030A0"/>
                <w:sz w:val="24"/>
                <w:szCs w:val="24"/>
              </w:rPr>
            </w:pPr>
            <w:r w:rsidRPr="00A2284C">
              <w:rPr>
                <w:rFonts w:cstheme="minorHAnsi"/>
                <w:color w:val="7030A0"/>
                <w:sz w:val="24"/>
                <w:szCs w:val="24"/>
              </w:rPr>
              <w:t>Unscrupulous and ineffective operators are exited from the market</w:t>
            </w:r>
          </w:p>
        </w:tc>
      </w:tr>
      <w:tr w:rsidR="00AA6B75" w:rsidRPr="00A2284C" w:rsidTr="008102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Borders>
              <w:left w:val="single" w:sz="4" w:space="0" w:color="auto"/>
              <w:bottom w:val="single" w:sz="4" w:space="0" w:color="auto"/>
            </w:tcBorders>
            <w:shd w:val="clear" w:color="auto" w:fill="D9D9D9" w:themeFill="background1" w:themeFillShade="D9"/>
          </w:tcPr>
          <w:p w:rsidR="00AA6B75" w:rsidRPr="00A2284C" w:rsidRDefault="00AA6B75" w:rsidP="00AA6B75">
            <w:pPr>
              <w:spacing w:before="120" w:after="120"/>
              <w:rPr>
                <w:rFonts w:cstheme="minorHAnsi"/>
                <w:color w:val="7030A0"/>
                <w:szCs w:val="22"/>
              </w:rPr>
            </w:pPr>
            <w:r w:rsidRPr="00A2284C">
              <w:rPr>
                <w:rFonts w:cstheme="minorHAnsi"/>
                <w:color w:val="7030A0"/>
                <w:szCs w:val="22"/>
              </w:rPr>
              <w:t xml:space="preserve">Priority </w:t>
            </w:r>
          </w:p>
        </w:tc>
        <w:tc>
          <w:tcPr>
            <w:tcW w:w="1496" w:type="pct"/>
            <w:tcBorders>
              <w:top w:val="single" w:sz="12" w:space="0" w:color="auto"/>
              <w:bottom w:val="single" w:sz="4" w:space="0" w:color="auto"/>
            </w:tcBorders>
            <w:shd w:val="clear" w:color="auto" w:fill="D9D9D9" w:themeFill="background1" w:themeFillShade="D9"/>
          </w:tcPr>
          <w:p w:rsidR="00AA6B75" w:rsidRPr="00A2284C" w:rsidRDefault="00AA6B75" w:rsidP="00AA6B75">
            <w:pPr>
              <w:spacing w:before="120" w:after="120"/>
              <w:cnfStyle w:val="000000100000" w:firstRow="0" w:lastRow="0" w:firstColumn="0" w:lastColumn="0" w:oddVBand="0" w:evenVBand="0" w:oddHBand="1" w:evenHBand="0" w:firstRowFirstColumn="0" w:firstRowLastColumn="0" w:lastRowFirstColumn="0" w:lastRowLastColumn="0"/>
              <w:rPr>
                <w:rFonts w:cstheme="minorHAnsi"/>
                <w:b/>
                <w:szCs w:val="22"/>
              </w:rPr>
            </w:pPr>
            <w:r w:rsidRPr="00A2284C">
              <w:rPr>
                <w:rFonts w:cstheme="minorHAnsi"/>
                <w:b/>
                <w:color w:val="7030A0"/>
                <w:szCs w:val="22"/>
              </w:rPr>
              <w:t>Intent Statement</w:t>
            </w:r>
          </w:p>
        </w:tc>
        <w:tc>
          <w:tcPr>
            <w:tcW w:w="2711" w:type="pct"/>
            <w:tcBorders>
              <w:top w:val="single" w:sz="12" w:space="0" w:color="auto"/>
              <w:bottom w:val="single" w:sz="4" w:space="0" w:color="auto"/>
            </w:tcBorders>
            <w:shd w:val="clear" w:color="auto" w:fill="D9D9D9" w:themeFill="background1" w:themeFillShade="D9"/>
          </w:tcPr>
          <w:p w:rsidR="00AA6B75" w:rsidRPr="00A2284C" w:rsidRDefault="00AA6B75" w:rsidP="00AA6B75">
            <w:pPr>
              <w:spacing w:before="120" w:after="120"/>
              <w:cnfStyle w:val="000000100000" w:firstRow="0" w:lastRow="0" w:firstColumn="0" w:lastColumn="0" w:oddVBand="0" w:evenVBand="0" w:oddHBand="1" w:evenHBand="0" w:firstRowFirstColumn="0" w:firstRowLastColumn="0" w:lastRowFirstColumn="0" w:lastRowLastColumn="0"/>
              <w:rPr>
                <w:rFonts w:cstheme="minorHAnsi"/>
                <w:b/>
                <w:szCs w:val="22"/>
              </w:rPr>
            </w:pPr>
            <w:r w:rsidRPr="00A2284C">
              <w:rPr>
                <w:rFonts w:cstheme="minorHAnsi"/>
                <w:b/>
                <w:color w:val="7030A0"/>
                <w:szCs w:val="22"/>
              </w:rPr>
              <w:t>Risk Summary</w:t>
            </w:r>
          </w:p>
        </w:tc>
      </w:tr>
      <w:tr w:rsidR="00C341D5" w:rsidRPr="00A2284C" w:rsidTr="0081020B">
        <w:tc>
          <w:tcPr>
            <w:cnfStyle w:val="001000000000" w:firstRow="0" w:lastRow="0" w:firstColumn="1" w:lastColumn="0" w:oddVBand="0" w:evenVBand="0" w:oddHBand="0" w:evenHBand="0" w:firstRowFirstColumn="0" w:firstRowLastColumn="0" w:lastRowFirstColumn="0" w:lastRowLastColumn="0"/>
            <w:tcW w:w="793" w:type="pct"/>
            <w:tcBorders>
              <w:left w:val="none" w:sz="0" w:space="0" w:color="auto"/>
              <w:bottom w:val="single" w:sz="4" w:space="0" w:color="auto"/>
            </w:tcBorders>
            <w:shd w:val="clear" w:color="auto" w:fill="auto"/>
          </w:tcPr>
          <w:p w:rsidR="00C341D5" w:rsidRPr="00A2284C" w:rsidRDefault="00C341D5" w:rsidP="00541235">
            <w:pPr>
              <w:spacing w:before="120" w:after="120"/>
              <w:rPr>
                <w:rFonts w:cstheme="minorHAnsi"/>
                <w:color w:val="7030A0"/>
                <w:szCs w:val="22"/>
              </w:rPr>
            </w:pPr>
            <w:r w:rsidRPr="00A2284C">
              <w:rPr>
                <w:rFonts w:cstheme="minorHAnsi"/>
                <w:color w:val="7030A0"/>
                <w:szCs w:val="22"/>
              </w:rPr>
              <w:t xml:space="preserve">Reducing and preventing fraud in the NDIS and risks to participants </w:t>
            </w:r>
          </w:p>
        </w:tc>
        <w:tc>
          <w:tcPr>
            <w:tcW w:w="1496" w:type="pct"/>
            <w:tcBorders>
              <w:bottom w:val="single" w:sz="4" w:space="0" w:color="auto"/>
            </w:tcBorders>
            <w:shd w:val="clear" w:color="auto" w:fill="auto"/>
          </w:tcPr>
          <w:p w:rsidR="00B81362" w:rsidRPr="00A2284C" w:rsidRDefault="00C341D5" w:rsidP="00541235">
            <w:pPr>
              <w:spacing w:before="120"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A2284C">
              <w:rPr>
                <w:rFonts w:cstheme="minorHAnsi"/>
                <w:szCs w:val="22"/>
              </w:rPr>
              <w:t xml:space="preserve">We will be targeting compliance and enforcement action where we identify providers may not be complying with their obligations to act with honesty, integrity and transparency in providing supports and services to people with disability. </w:t>
            </w:r>
          </w:p>
          <w:p w:rsidR="00C341D5" w:rsidRPr="00A2284C" w:rsidRDefault="00710D9D" w:rsidP="00153BB9">
            <w:pPr>
              <w:spacing w:before="120"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81020B">
              <w:rPr>
                <w:rFonts w:cstheme="minorHAnsi"/>
                <w:szCs w:val="22"/>
              </w:rPr>
              <w:t xml:space="preserve">This will </w:t>
            </w:r>
            <w:r w:rsidR="00153BB9" w:rsidRPr="0081020B">
              <w:rPr>
                <w:rFonts w:cstheme="minorHAnsi"/>
                <w:szCs w:val="22"/>
              </w:rPr>
              <w:t xml:space="preserve">support </w:t>
            </w:r>
            <w:r w:rsidR="008F7995" w:rsidRPr="0081020B">
              <w:rPr>
                <w:rFonts w:cstheme="minorHAnsi"/>
                <w:szCs w:val="22"/>
              </w:rPr>
              <w:t xml:space="preserve">cross-government efforts to identify, respond to and prevent NDIS and </w:t>
            </w:r>
            <w:r w:rsidR="002222AE" w:rsidRPr="0081020B">
              <w:rPr>
                <w:rFonts w:cstheme="minorHAnsi"/>
                <w:szCs w:val="22"/>
              </w:rPr>
              <w:t>ensure that unscrupulous providers are removed from, and prevented from entering, the NDIS market.</w:t>
            </w:r>
            <w:r w:rsidR="002222AE" w:rsidRPr="00A2284C">
              <w:rPr>
                <w:rFonts w:cstheme="minorHAnsi"/>
                <w:szCs w:val="22"/>
              </w:rPr>
              <w:t xml:space="preserve"> </w:t>
            </w:r>
          </w:p>
        </w:tc>
        <w:tc>
          <w:tcPr>
            <w:tcW w:w="2711" w:type="pct"/>
            <w:tcBorders>
              <w:bottom w:val="single" w:sz="4" w:space="0" w:color="auto"/>
            </w:tcBorders>
            <w:shd w:val="clear" w:color="auto" w:fill="auto"/>
          </w:tcPr>
          <w:p w:rsidR="00C341D5" w:rsidRPr="00A2284C" w:rsidRDefault="00C341D5" w:rsidP="00541235">
            <w:pPr>
              <w:spacing w:before="120"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A2284C">
              <w:rPr>
                <w:rFonts w:cstheme="minorHAnsi"/>
                <w:szCs w:val="22"/>
              </w:rPr>
              <w:t xml:space="preserve">The Fraud Fusion Taskforce (“the Taskforce”) commenced on 1 November 2022. The Taskforce is co-chaired by the National Disability Insurance Agency and Services Australia and supersedes the NDIS Fraud Taskforce and Taskforce Integrity. The NDIS Commission is a member of the Taskforce. </w:t>
            </w:r>
          </w:p>
          <w:p w:rsidR="00C341D5" w:rsidRPr="00A2284C" w:rsidRDefault="00C341D5" w:rsidP="00541235">
            <w:pPr>
              <w:spacing w:before="120"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A2284C">
              <w:rPr>
                <w:rFonts w:cstheme="minorHAnsi"/>
                <w:szCs w:val="22"/>
              </w:rPr>
              <w:t xml:space="preserve">The Taskforce will focus in the first 12 months on establishment of intelligence capability and information-sharing amongst Taskforce members, as well as a focus on NDIS-related fraud. The NDIS Commission is playing a key role, as part of the Taskforce, in taking action to mitigate risks to NDIS participants, including quality and safety risks associated with issues of fraud. </w:t>
            </w:r>
            <w:r w:rsidR="004B3421" w:rsidRPr="00A2284C">
              <w:rPr>
                <w:rFonts w:cstheme="minorHAnsi"/>
                <w:szCs w:val="22"/>
              </w:rPr>
              <w:t xml:space="preserve">This includes acting swiftly on identified non-compliance as well as disrupting and preventing fraud related misconduct through our broader regulatory functions. </w:t>
            </w:r>
          </w:p>
        </w:tc>
      </w:tr>
    </w:tbl>
    <w:p w:rsidR="00A91A2E" w:rsidRDefault="00A91A2E"/>
    <w:p w:rsidR="0081020B" w:rsidRDefault="0081020B"/>
    <w:p w:rsidR="0081020B" w:rsidRDefault="0081020B"/>
    <w:p w:rsidR="0081020B" w:rsidRDefault="0081020B"/>
    <w:p w:rsidR="0081020B" w:rsidRDefault="0081020B"/>
    <w:p w:rsidR="0081020B" w:rsidRDefault="0081020B"/>
    <w:p w:rsidR="0081020B" w:rsidRDefault="0081020B"/>
    <w:p w:rsidR="0081020B" w:rsidRDefault="0081020B"/>
    <w:p w:rsidR="0081020B" w:rsidRDefault="0081020B"/>
    <w:tbl>
      <w:tblPr>
        <w:tblStyle w:val="GridTable5Dark-Accent1"/>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537"/>
        <w:gridCol w:w="8221"/>
      </w:tblGrid>
      <w:tr w:rsidR="00A91A2E" w:rsidRPr="00A2284C" w:rsidTr="00A91A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rsidR="00A91A2E" w:rsidRPr="00A2284C" w:rsidRDefault="00A91A2E" w:rsidP="00A91A2E">
            <w:pPr>
              <w:spacing w:before="120" w:after="120"/>
              <w:rPr>
                <w:rFonts w:cstheme="minorHAnsi"/>
                <w:color w:val="7030A0"/>
                <w:szCs w:val="22"/>
              </w:rPr>
            </w:pPr>
            <w:r w:rsidRPr="00A2284C">
              <w:rPr>
                <w:rFonts w:asciiTheme="majorHAnsi" w:eastAsiaTheme="majorEastAsia" w:hAnsiTheme="majorHAnsi" w:cstheme="majorBidi"/>
                <w:color w:val="7030A0"/>
                <w:sz w:val="24"/>
                <w:szCs w:val="34"/>
              </w:rPr>
              <w:lastRenderedPageBreak/>
              <w:t>Outcome 3</w:t>
            </w:r>
          </w:p>
        </w:tc>
        <w:tc>
          <w:tcPr>
            <w:tcW w:w="4207" w:type="pct"/>
            <w:gridSpan w:val="2"/>
            <w:tcBorders>
              <w:top w:val="single" w:sz="4" w:space="0" w:color="auto"/>
              <w:left w:val="single" w:sz="4" w:space="0" w:color="auto"/>
              <w:right w:val="single" w:sz="4" w:space="0" w:color="auto"/>
            </w:tcBorders>
            <w:shd w:val="clear" w:color="auto" w:fill="D9D9D9" w:themeFill="background1" w:themeFillShade="D9"/>
          </w:tcPr>
          <w:p w:rsidR="00A91A2E" w:rsidRPr="00A2284C" w:rsidRDefault="00A91A2E" w:rsidP="00A91A2E">
            <w:pPr>
              <w:spacing w:before="120" w:after="120"/>
              <w:cnfStyle w:val="100000000000" w:firstRow="1" w:lastRow="0" w:firstColumn="0" w:lastColumn="0" w:oddVBand="0" w:evenVBand="0" w:oddHBand="0" w:evenHBand="0" w:firstRowFirstColumn="0" w:firstRowLastColumn="0" w:lastRowFirstColumn="0" w:lastRowLastColumn="0"/>
              <w:rPr>
                <w:rFonts w:cstheme="minorHAnsi"/>
                <w:color w:val="7030A0"/>
                <w:sz w:val="24"/>
                <w:szCs w:val="24"/>
              </w:rPr>
            </w:pPr>
            <w:r w:rsidRPr="00A2284C">
              <w:rPr>
                <w:rFonts w:cstheme="minorHAnsi"/>
                <w:color w:val="7030A0"/>
                <w:sz w:val="24"/>
                <w:szCs w:val="24"/>
              </w:rPr>
              <w:t xml:space="preserve">Providers recognise the rights of participants and support their choice and control of the NDIS services they access  </w:t>
            </w:r>
          </w:p>
        </w:tc>
      </w:tr>
      <w:tr w:rsidR="00A91A2E" w:rsidRPr="00A2284C" w:rsidTr="00A91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Borders>
              <w:top w:val="single" w:sz="12" w:space="0" w:color="auto"/>
              <w:left w:val="single" w:sz="4" w:space="0" w:color="auto"/>
            </w:tcBorders>
            <w:shd w:val="clear" w:color="auto" w:fill="D9D9D9" w:themeFill="background1" w:themeFillShade="D9"/>
          </w:tcPr>
          <w:p w:rsidR="00A91A2E" w:rsidRPr="00A2284C" w:rsidRDefault="00A91A2E" w:rsidP="00A91A2E">
            <w:pPr>
              <w:spacing w:before="120" w:after="120"/>
              <w:rPr>
                <w:rFonts w:cstheme="minorHAnsi"/>
                <w:color w:val="7030A0"/>
                <w:szCs w:val="22"/>
              </w:rPr>
            </w:pPr>
            <w:r w:rsidRPr="00A2284C">
              <w:rPr>
                <w:rFonts w:cstheme="minorHAnsi"/>
                <w:color w:val="7030A0"/>
                <w:szCs w:val="22"/>
              </w:rPr>
              <w:t xml:space="preserve">Priority </w:t>
            </w:r>
          </w:p>
        </w:tc>
        <w:tc>
          <w:tcPr>
            <w:tcW w:w="1496" w:type="pct"/>
            <w:tcBorders>
              <w:top w:val="single" w:sz="12" w:space="0" w:color="auto"/>
            </w:tcBorders>
            <w:shd w:val="clear" w:color="auto" w:fill="D9D9D9" w:themeFill="background1" w:themeFillShade="D9"/>
          </w:tcPr>
          <w:p w:rsidR="00A91A2E" w:rsidRPr="00A2284C" w:rsidRDefault="00A91A2E" w:rsidP="00A91A2E">
            <w:pPr>
              <w:spacing w:before="120" w:after="120"/>
              <w:cnfStyle w:val="000000100000" w:firstRow="0" w:lastRow="0" w:firstColumn="0" w:lastColumn="0" w:oddVBand="0" w:evenVBand="0" w:oddHBand="1" w:evenHBand="0" w:firstRowFirstColumn="0" w:firstRowLastColumn="0" w:lastRowFirstColumn="0" w:lastRowLastColumn="0"/>
              <w:rPr>
                <w:rFonts w:cstheme="minorHAnsi"/>
                <w:b/>
                <w:szCs w:val="22"/>
              </w:rPr>
            </w:pPr>
            <w:r w:rsidRPr="00A2284C">
              <w:rPr>
                <w:rFonts w:cstheme="minorHAnsi"/>
                <w:b/>
                <w:color w:val="7030A0"/>
                <w:szCs w:val="22"/>
              </w:rPr>
              <w:t>Intent Statement</w:t>
            </w:r>
          </w:p>
        </w:tc>
        <w:tc>
          <w:tcPr>
            <w:tcW w:w="2711" w:type="pct"/>
            <w:tcBorders>
              <w:top w:val="single" w:sz="12" w:space="0" w:color="auto"/>
            </w:tcBorders>
            <w:shd w:val="clear" w:color="auto" w:fill="D9D9D9" w:themeFill="background1" w:themeFillShade="D9"/>
          </w:tcPr>
          <w:p w:rsidR="00A91A2E" w:rsidRPr="00A2284C" w:rsidRDefault="00A91A2E" w:rsidP="00A91A2E">
            <w:pPr>
              <w:spacing w:before="120" w:after="120"/>
              <w:cnfStyle w:val="000000100000" w:firstRow="0" w:lastRow="0" w:firstColumn="0" w:lastColumn="0" w:oddVBand="0" w:evenVBand="0" w:oddHBand="1" w:evenHBand="0" w:firstRowFirstColumn="0" w:firstRowLastColumn="0" w:lastRowFirstColumn="0" w:lastRowLastColumn="0"/>
              <w:rPr>
                <w:rFonts w:cstheme="minorHAnsi"/>
                <w:b/>
                <w:szCs w:val="22"/>
              </w:rPr>
            </w:pPr>
            <w:r w:rsidRPr="00A2284C">
              <w:rPr>
                <w:rFonts w:cstheme="minorHAnsi"/>
                <w:b/>
                <w:color w:val="7030A0"/>
                <w:szCs w:val="22"/>
              </w:rPr>
              <w:t>Risk Summary</w:t>
            </w:r>
          </w:p>
        </w:tc>
      </w:tr>
      <w:tr w:rsidR="00C341D5" w:rsidRPr="00A2284C" w:rsidTr="00A91A2E">
        <w:tc>
          <w:tcPr>
            <w:cnfStyle w:val="001000000000" w:firstRow="0" w:lastRow="0" w:firstColumn="1" w:lastColumn="0" w:oddVBand="0" w:evenVBand="0" w:oddHBand="0" w:evenHBand="0" w:firstRowFirstColumn="0" w:firstRowLastColumn="0" w:lastRowFirstColumn="0" w:lastRowLastColumn="0"/>
            <w:tcW w:w="793" w:type="pct"/>
            <w:tcBorders>
              <w:left w:val="none" w:sz="0" w:space="0" w:color="auto"/>
              <w:bottom w:val="single" w:sz="4" w:space="0" w:color="auto"/>
            </w:tcBorders>
            <w:shd w:val="clear" w:color="auto" w:fill="auto"/>
          </w:tcPr>
          <w:p w:rsidR="00C341D5" w:rsidRPr="00A2284C" w:rsidRDefault="00FD5E67" w:rsidP="000A0546">
            <w:pPr>
              <w:spacing w:before="120" w:after="120"/>
              <w:rPr>
                <w:rFonts w:cstheme="minorHAnsi"/>
                <w:color w:val="7030A0"/>
                <w:szCs w:val="22"/>
              </w:rPr>
            </w:pPr>
            <w:r w:rsidRPr="00A2284C">
              <w:rPr>
                <w:rFonts w:cstheme="minorHAnsi"/>
                <w:color w:val="7030A0"/>
                <w:szCs w:val="22"/>
              </w:rPr>
              <w:t>P</w:t>
            </w:r>
            <w:r w:rsidR="00C341D5" w:rsidRPr="00A2284C">
              <w:rPr>
                <w:rFonts w:cstheme="minorHAnsi"/>
                <w:color w:val="7030A0"/>
                <w:szCs w:val="22"/>
              </w:rPr>
              <w:t>articipant</w:t>
            </w:r>
            <w:r w:rsidR="00492299" w:rsidRPr="00A2284C">
              <w:rPr>
                <w:rFonts w:cstheme="minorHAnsi"/>
                <w:color w:val="7030A0"/>
                <w:szCs w:val="22"/>
              </w:rPr>
              <w:t xml:space="preserve"> </w:t>
            </w:r>
            <w:r w:rsidR="00C341D5" w:rsidRPr="00A2284C">
              <w:rPr>
                <w:rFonts w:cstheme="minorHAnsi"/>
                <w:color w:val="7030A0"/>
                <w:szCs w:val="22"/>
              </w:rPr>
              <w:t xml:space="preserve">choice and control in supported accommodation </w:t>
            </w:r>
          </w:p>
        </w:tc>
        <w:tc>
          <w:tcPr>
            <w:tcW w:w="1496" w:type="pct"/>
            <w:tcBorders>
              <w:bottom w:val="single" w:sz="4" w:space="0" w:color="auto"/>
            </w:tcBorders>
            <w:shd w:val="clear" w:color="auto" w:fill="auto"/>
          </w:tcPr>
          <w:p w:rsidR="00492299" w:rsidRPr="00A2284C" w:rsidRDefault="00C341D5" w:rsidP="00541235">
            <w:pPr>
              <w:spacing w:before="120"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A2284C">
              <w:rPr>
                <w:rFonts w:cstheme="minorHAnsi"/>
                <w:szCs w:val="22"/>
              </w:rPr>
              <w:t xml:space="preserve">We will be targeting compliance and enforcement action where we identify providers of </w:t>
            </w:r>
            <w:r w:rsidR="00492299" w:rsidRPr="00A2284C">
              <w:rPr>
                <w:rFonts w:cstheme="minorHAnsi"/>
                <w:szCs w:val="22"/>
              </w:rPr>
              <w:t>supported accommodation services are not complying with their obligations under the NDIS Code of Conduct and conditions of registration where relevant, to ensure each participant receives transparent, factual advice about their support options that promote choice and control.</w:t>
            </w:r>
          </w:p>
          <w:p w:rsidR="00C341D5" w:rsidRPr="00A2284C" w:rsidRDefault="00492299" w:rsidP="00492299">
            <w:pPr>
              <w:spacing w:before="120"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A2284C">
              <w:rPr>
                <w:rFonts w:cstheme="minorHAnsi"/>
                <w:szCs w:val="22"/>
              </w:rPr>
              <w:t xml:space="preserve">We will be focusing on providers registered to deliver </w:t>
            </w:r>
            <w:r w:rsidR="00C341D5" w:rsidRPr="00A2284C">
              <w:rPr>
                <w:rFonts w:cstheme="minorHAnsi"/>
                <w:szCs w:val="22"/>
              </w:rPr>
              <w:t xml:space="preserve">specialist disability accommodation (SDA) </w:t>
            </w:r>
            <w:r w:rsidRPr="00A2284C">
              <w:rPr>
                <w:rFonts w:cstheme="minorHAnsi"/>
                <w:szCs w:val="22"/>
              </w:rPr>
              <w:t xml:space="preserve"> as well as providers delivering support for activities of daily living in group or shared accommodation, whether they are registered or unregistered. </w:t>
            </w:r>
            <w:r w:rsidR="00C341D5" w:rsidRPr="00A2284C">
              <w:rPr>
                <w:rFonts w:cstheme="minorHAnsi"/>
                <w:szCs w:val="22"/>
              </w:rPr>
              <w:t xml:space="preserve"> </w:t>
            </w:r>
          </w:p>
          <w:p w:rsidR="00710D9D" w:rsidRPr="00A2284C" w:rsidRDefault="00710D9D" w:rsidP="00A91A2E">
            <w:pPr>
              <w:spacing w:before="120"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81020B">
              <w:rPr>
                <w:rFonts w:cstheme="minorHAnsi"/>
                <w:szCs w:val="22"/>
              </w:rPr>
              <w:t xml:space="preserve">This will </w:t>
            </w:r>
            <w:r w:rsidR="00A91A2E" w:rsidRPr="0081020B">
              <w:rPr>
                <w:rFonts w:cstheme="minorHAnsi"/>
                <w:szCs w:val="22"/>
              </w:rPr>
              <w:t>support</w:t>
            </w:r>
            <w:r w:rsidR="002222AE" w:rsidRPr="0081020B">
              <w:rPr>
                <w:rFonts w:cstheme="minorHAnsi"/>
                <w:szCs w:val="22"/>
              </w:rPr>
              <w:t xml:space="preserve"> the rights of participants accessing SDA and/or supports in a group living arrangement as well as improving transparency and choice for participants of the supports they access.</w:t>
            </w:r>
            <w:r w:rsidR="002222AE" w:rsidRPr="00A2284C">
              <w:rPr>
                <w:rFonts w:cstheme="minorHAnsi"/>
                <w:szCs w:val="22"/>
              </w:rPr>
              <w:t xml:space="preserve">    </w:t>
            </w:r>
          </w:p>
        </w:tc>
        <w:tc>
          <w:tcPr>
            <w:tcW w:w="2711" w:type="pct"/>
            <w:tcBorders>
              <w:bottom w:val="single" w:sz="4" w:space="0" w:color="auto"/>
            </w:tcBorders>
            <w:shd w:val="clear" w:color="auto" w:fill="auto"/>
          </w:tcPr>
          <w:p w:rsidR="005346F5" w:rsidRPr="00A2284C" w:rsidRDefault="00492299" w:rsidP="00541235">
            <w:pPr>
              <w:spacing w:before="120"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A2284C">
              <w:rPr>
                <w:rFonts w:cstheme="minorHAnsi"/>
                <w:szCs w:val="22"/>
              </w:rPr>
              <w:t>Our Own Motion Inquiry into Aspects of Supported Accommodation</w:t>
            </w:r>
            <w:r w:rsidR="005346F5" w:rsidRPr="00A2284C">
              <w:rPr>
                <w:rFonts w:cstheme="minorHAnsi"/>
                <w:szCs w:val="22"/>
              </w:rPr>
              <w:t xml:space="preserve"> made a number of findings around issues impacting the ability for participants in supported accommodation to make changes to their living arrangements and exercise less choice and control over their NDIS supports. </w:t>
            </w:r>
          </w:p>
          <w:p w:rsidR="00C341D5" w:rsidRPr="00A2284C" w:rsidRDefault="005346F5" w:rsidP="00541235">
            <w:pPr>
              <w:spacing w:before="120"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A2284C">
              <w:rPr>
                <w:rFonts w:cstheme="minorHAnsi"/>
                <w:szCs w:val="22"/>
              </w:rPr>
              <w:t>We have also</w:t>
            </w:r>
            <w:r w:rsidR="00C341D5" w:rsidRPr="00A2284C">
              <w:rPr>
                <w:rFonts w:cstheme="minorHAnsi"/>
                <w:szCs w:val="22"/>
              </w:rPr>
              <w:t xml:space="preserve"> received concerning information about practices engaged in amongst </w:t>
            </w:r>
            <w:r w:rsidRPr="00A2284C">
              <w:rPr>
                <w:rFonts w:cstheme="minorHAnsi"/>
                <w:szCs w:val="22"/>
              </w:rPr>
              <w:t xml:space="preserve">supported disability accommodation (SDA) </w:t>
            </w:r>
            <w:r w:rsidR="00C341D5" w:rsidRPr="00A2284C">
              <w:rPr>
                <w:rFonts w:cstheme="minorHAnsi"/>
                <w:szCs w:val="22"/>
              </w:rPr>
              <w:t>providers, which may have the effect of limiting the independence, choice and control of NDIS participants residing in SDA. These practices include</w:t>
            </w:r>
            <w:r w:rsidRPr="00A2284C">
              <w:rPr>
                <w:rFonts w:cstheme="minorHAnsi"/>
                <w:szCs w:val="22"/>
              </w:rPr>
              <w:t xml:space="preserve"> SDA providers</w:t>
            </w:r>
            <w:r w:rsidR="00C341D5" w:rsidRPr="00A2284C">
              <w:rPr>
                <w:rFonts w:cstheme="minorHAnsi"/>
                <w:szCs w:val="22"/>
              </w:rPr>
              <w:t xml:space="preserve">: </w:t>
            </w:r>
          </w:p>
          <w:p w:rsidR="00C341D5" w:rsidRPr="00A2284C" w:rsidRDefault="00C341D5" w:rsidP="00541235">
            <w:pPr>
              <w:spacing w:before="120"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A2284C">
              <w:rPr>
                <w:rFonts w:cstheme="minorHAnsi"/>
                <w:szCs w:val="22"/>
              </w:rPr>
              <w:t xml:space="preserve">• entering into commercial arrangements with other NDIS providers to provide other NDIS supports and services exclusively within the SDA dwellings they operate, in the absence of freely given agreement by participants; </w:t>
            </w:r>
          </w:p>
          <w:p w:rsidR="00C341D5" w:rsidRPr="00A2284C" w:rsidRDefault="00C341D5" w:rsidP="00541235">
            <w:pPr>
              <w:spacing w:before="120"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A2284C">
              <w:rPr>
                <w:rFonts w:cstheme="minorHAnsi"/>
                <w:szCs w:val="22"/>
              </w:rPr>
              <w:t xml:space="preserve">• specifying who may provide other NDIS supports and services within an SDA dwelling, including requiring participants to engage the SDA provider to provide all NDIS supports and services within an SDA dwelling, in the absence of freely given agreement by participants; and </w:t>
            </w:r>
          </w:p>
          <w:p w:rsidR="00C341D5" w:rsidRPr="00A2284C" w:rsidRDefault="00C341D5" w:rsidP="00541235">
            <w:pPr>
              <w:spacing w:before="120" w:after="120"/>
              <w:cnfStyle w:val="000000000000" w:firstRow="0" w:lastRow="0" w:firstColumn="0" w:lastColumn="0" w:oddVBand="0" w:evenVBand="0" w:oddHBand="0" w:evenHBand="0" w:firstRowFirstColumn="0" w:firstRowLastColumn="0" w:lastRowFirstColumn="0" w:lastRowLastColumn="0"/>
              <w:rPr>
                <w:rFonts w:cstheme="minorHAnsi"/>
                <w:szCs w:val="22"/>
              </w:rPr>
            </w:pPr>
            <w:r w:rsidRPr="00A2284C">
              <w:rPr>
                <w:rFonts w:cstheme="minorHAnsi"/>
                <w:szCs w:val="22"/>
              </w:rPr>
              <w:t xml:space="preserve">• charging fees to NDIS participants and/or other NDIS providers to deliver supports and services within an SDA dwelling in the absence of transparent service agreements that allow an NDIS participant to make an informed decision about their supports and services. </w:t>
            </w:r>
          </w:p>
        </w:tc>
      </w:tr>
      <w:tr w:rsidR="00C341D5" w:rsidRPr="00A2284C" w:rsidTr="00A91A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 w:type="pct"/>
            <w:tcBorders>
              <w:left w:val="none" w:sz="0" w:space="0" w:color="auto"/>
              <w:bottom w:val="single" w:sz="4" w:space="0" w:color="auto"/>
            </w:tcBorders>
            <w:shd w:val="clear" w:color="auto" w:fill="auto"/>
          </w:tcPr>
          <w:p w:rsidR="00C341D5" w:rsidRPr="00A2284C" w:rsidRDefault="000A0546" w:rsidP="000A0546">
            <w:pPr>
              <w:spacing w:before="120" w:after="120"/>
              <w:rPr>
                <w:rFonts w:cstheme="minorHAnsi"/>
                <w:color w:val="7030A0"/>
                <w:szCs w:val="22"/>
              </w:rPr>
            </w:pPr>
            <w:r w:rsidRPr="00A2284C">
              <w:rPr>
                <w:rFonts w:cstheme="minorHAnsi"/>
                <w:color w:val="7030A0"/>
                <w:szCs w:val="22"/>
              </w:rPr>
              <w:t>Participants living in s</w:t>
            </w:r>
            <w:r w:rsidR="00C341D5" w:rsidRPr="00A2284C">
              <w:rPr>
                <w:rFonts w:cstheme="minorHAnsi"/>
                <w:color w:val="7030A0"/>
                <w:szCs w:val="22"/>
              </w:rPr>
              <w:t xml:space="preserve">upported </w:t>
            </w:r>
            <w:r w:rsidRPr="00A2284C">
              <w:rPr>
                <w:rFonts w:cstheme="minorHAnsi"/>
                <w:color w:val="7030A0"/>
                <w:szCs w:val="22"/>
              </w:rPr>
              <w:t>b</w:t>
            </w:r>
            <w:r w:rsidR="00C341D5" w:rsidRPr="00A2284C">
              <w:rPr>
                <w:rFonts w:cstheme="minorHAnsi"/>
                <w:color w:val="7030A0"/>
                <w:szCs w:val="22"/>
              </w:rPr>
              <w:t xml:space="preserve">oarding </w:t>
            </w:r>
            <w:r w:rsidRPr="00A2284C">
              <w:rPr>
                <w:rFonts w:cstheme="minorHAnsi"/>
                <w:color w:val="7030A0"/>
                <w:szCs w:val="22"/>
              </w:rPr>
              <w:t>h</w:t>
            </w:r>
            <w:r w:rsidR="00C341D5" w:rsidRPr="00A2284C">
              <w:rPr>
                <w:rFonts w:cstheme="minorHAnsi"/>
                <w:color w:val="7030A0"/>
                <w:szCs w:val="22"/>
              </w:rPr>
              <w:t>ouses</w:t>
            </w:r>
          </w:p>
        </w:tc>
        <w:tc>
          <w:tcPr>
            <w:tcW w:w="1496" w:type="pct"/>
            <w:tcBorders>
              <w:bottom w:val="single" w:sz="4" w:space="0" w:color="auto"/>
            </w:tcBorders>
            <w:shd w:val="clear" w:color="auto" w:fill="auto"/>
          </w:tcPr>
          <w:p w:rsidR="002222AE" w:rsidRPr="00A2284C" w:rsidRDefault="00C341D5" w:rsidP="00541235">
            <w:pPr>
              <w:spacing w:before="120"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A2284C">
              <w:rPr>
                <w:rFonts w:cstheme="minorHAnsi"/>
                <w:szCs w:val="22"/>
              </w:rPr>
              <w:t xml:space="preserve">Our compliance and enforcement action will be targeting NDIS providers who are also </w:t>
            </w:r>
            <w:r w:rsidR="000A0546" w:rsidRPr="00A2284C">
              <w:rPr>
                <w:rFonts w:cstheme="minorHAnsi"/>
                <w:szCs w:val="22"/>
              </w:rPr>
              <w:t>proprietors</w:t>
            </w:r>
            <w:r w:rsidRPr="00A2284C">
              <w:rPr>
                <w:rFonts w:cstheme="minorHAnsi"/>
                <w:szCs w:val="22"/>
              </w:rPr>
              <w:t xml:space="preserve"> of </w:t>
            </w:r>
            <w:r w:rsidR="000A0546" w:rsidRPr="00A2284C">
              <w:rPr>
                <w:rFonts w:cstheme="minorHAnsi"/>
                <w:szCs w:val="22"/>
              </w:rPr>
              <w:t xml:space="preserve">state-regulated </w:t>
            </w:r>
            <w:r w:rsidR="00FD5E67" w:rsidRPr="00A2284C">
              <w:rPr>
                <w:rFonts w:cstheme="minorHAnsi"/>
                <w:szCs w:val="22"/>
              </w:rPr>
              <w:t>supported boarding house style accommodation, o</w:t>
            </w:r>
            <w:r w:rsidRPr="00A2284C">
              <w:rPr>
                <w:rFonts w:cstheme="minorHAnsi"/>
                <w:szCs w:val="22"/>
              </w:rPr>
              <w:t xml:space="preserve">r are associated with </w:t>
            </w:r>
            <w:r w:rsidR="00FD5E67" w:rsidRPr="00A2284C">
              <w:rPr>
                <w:rFonts w:cstheme="minorHAnsi"/>
                <w:szCs w:val="22"/>
              </w:rPr>
              <w:t>such services</w:t>
            </w:r>
            <w:r w:rsidRPr="00A2284C">
              <w:rPr>
                <w:rFonts w:cstheme="minorHAnsi"/>
                <w:szCs w:val="22"/>
              </w:rPr>
              <w:t xml:space="preserve">, who </w:t>
            </w:r>
            <w:r w:rsidR="00FD5E67" w:rsidRPr="00A2284C">
              <w:rPr>
                <w:rFonts w:cstheme="minorHAnsi"/>
                <w:szCs w:val="22"/>
              </w:rPr>
              <w:t xml:space="preserve">we identify are </w:t>
            </w:r>
            <w:r w:rsidRPr="00A2284C">
              <w:rPr>
                <w:rFonts w:cstheme="minorHAnsi"/>
                <w:szCs w:val="22"/>
              </w:rPr>
              <w:t>not complying with obligations to act with respect for individual participant rights</w:t>
            </w:r>
            <w:r w:rsidR="000A0546" w:rsidRPr="00A2284C">
              <w:rPr>
                <w:rFonts w:cstheme="minorHAnsi"/>
                <w:szCs w:val="22"/>
              </w:rPr>
              <w:t xml:space="preserve">, provide </w:t>
            </w:r>
            <w:r w:rsidR="000A0546" w:rsidRPr="00A2284C">
              <w:rPr>
                <w:rFonts w:cstheme="minorHAnsi"/>
                <w:szCs w:val="22"/>
              </w:rPr>
              <w:lastRenderedPageBreak/>
              <w:t>supports and services in a safe and competent manner,</w:t>
            </w:r>
            <w:r w:rsidRPr="00A2284C">
              <w:rPr>
                <w:rFonts w:cstheme="minorHAnsi"/>
                <w:szCs w:val="22"/>
              </w:rPr>
              <w:t xml:space="preserve"> and to act with honesty, integrity and transparency in providing supports and services to people with disability. </w:t>
            </w:r>
          </w:p>
          <w:p w:rsidR="00C341D5" w:rsidRPr="00A2284C" w:rsidRDefault="00B81362" w:rsidP="00541235">
            <w:pPr>
              <w:spacing w:before="120"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81020B">
              <w:rPr>
                <w:rFonts w:cstheme="minorHAnsi"/>
                <w:szCs w:val="22"/>
              </w:rPr>
              <w:t>This will help to increase NDIS participants’ and providers’ knowledge and awareness of the rights of NDIS participants living in supported boarding house to exercise choice over their NDIS funded supports and services and accountability for the quality and transparency of supports being paid for from participants’ NDIS plans.</w:t>
            </w:r>
            <w:r w:rsidRPr="00A2284C">
              <w:rPr>
                <w:rFonts w:cstheme="minorHAnsi"/>
                <w:szCs w:val="22"/>
              </w:rPr>
              <w:t xml:space="preserve">  </w:t>
            </w:r>
          </w:p>
        </w:tc>
        <w:tc>
          <w:tcPr>
            <w:tcW w:w="2711" w:type="pct"/>
            <w:tcBorders>
              <w:bottom w:val="single" w:sz="4" w:space="0" w:color="auto"/>
            </w:tcBorders>
            <w:shd w:val="clear" w:color="auto" w:fill="auto"/>
          </w:tcPr>
          <w:p w:rsidR="00C341D5" w:rsidRPr="00A2284C" w:rsidRDefault="000A0546" w:rsidP="00541235">
            <w:pPr>
              <w:spacing w:before="120"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A2284C">
              <w:rPr>
                <w:rFonts w:cstheme="minorHAnsi"/>
                <w:szCs w:val="22"/>
              </w:rPr>
              <w:lastRenderedPageBreak/>
              <w:t>We have</w:t>
            </w:r>
            <w:r w:rsidR="00C341D5" w:rsidRPr="00A2284C">
              <w:rPr>
                <w:rFonts w:cstheme="minorHAnsi"/>
                <w:szCs w:val="22"/>
              </w:rPr>
              <w:t xml:space="preserve"> been working with </w:t>
            </w:r>
            <w:r w:rsidR="00FD5E67" w:rsidRPr="00A2284C">
              <w:rPr>
                <w:rFonts w:cstheme="minorHAnsi"/>
                <w:szCs w:val="22"/>
              </w:rPr>
              <w:t>other</w:t>
            </w:r>
            <w:r w:rsidR="00C341D5" w:rsidRPr="00A2284C">
              <w:rPr>
                <w:rFonts w:cstheme="minorHAnsi"/>
                <w:szCs w:val="22"/>
              </w:rPr>
              <w:t xml:space="preserve"> government agencies on a range of matters associated with the quality and safety of supports provided to NDIS participants living in </w:t>
            </w:r>
            <w:r w:rsidR="00FD5E67" w:rsidRPr="00A2284C">
              <w:rPr>
                <w:rFonts w:cstheme="minorHAnsi"/>
                <w:szCs w:val="22"/>
              </w:rPr>
              <w:t>supported boarding house style accommodation</w:t>
            </w:r>
            <w:r w:rsidRPr="00A2284C">
              <w:rPr>
                <w:rFonts w:cstheme="minorHAnsi"/>
                <w:szCs w:val="22"/>
              </w:rPr>
              <w:t xml:space="preserve"> that is regulated by state government authorities</w:t>
            </w:r>
            <w:r w:rsidR="00FD5E67" w:rsidRPr="00A2284C">
              <w:rPr>
                <w:rFonts w:cstheme="minorHAnsi"/>
                <w:szCs w:val="22"/>
              </w:rPr>
              <w:t xml:space="preserve">. </w:t>
            </w:r>
            <w:r w:rsidR="00C341D5" w:rsidRPr="00A2284C">
              <w:rPr>
                <w:rFonts w:cstheme="minorHAnsi"/>
                <w:szCs w:val="22"/>
              </w:rPr>
              <w:t xml:space="preserve"> </w:t>
            </w:r>
            <w:r w:rsidRPr="00A2284C">
              <w:rPr>
                <w:rFonts w:cstheme="minorHAnsi"/>
                <w:szCs w:val="22"/>
              </w:rPr>
              <w:t>C</w:t>
            </w:r>
            <w:r w:rsidR="00C341D5" w:rsidRPr="00A2284C">
              <w:rPr>
                <w:rFonts w:cstheme="minorHAnsi"/>
                <w:szCs w:val="22"/>
              </w:rPr>
              <w:t xml:space="preserve">omplaints </w:t>
            </w:r>
            <w:r w:rsidR="00FD5E67" w:rsidRPr="00A2284C">
              <w:rPr>
                <w:rFonts w:cstheme="minorHAnsi"/>
                <w:szCs w:val="22"/>
              </w:rPr>
              <w:t xml:space="preserve">we have </w:t>
            </w:r>
            <w:r w:rsidR="00C341D5" w:rsidRPr="00A2284C">
              <w:rPr>
                <w:rFonts w:cstheme="minorHAnsi"/>
                <w:szCs w:val="22"/>
              </w:rPr>
              <w:t xml:space="preserve">received, </w:t>
            </w:r>
            <w:r w:rsidRPr="00A2284C">
              <w:rPr>
                <w:rFonts w:cstheme="minorHAnsi"/>
                <w:szCs w:val="22"/>
              </w:rPr>
              <w:t xml:space="preserve">information we have received through </w:t>
            </w:r>
            <w:r w:rsidR="00C341D5" w:rsidRPr="00A2284C">
              <w:rPr>
                <w:rFonts w:cstheme="minorHAnsi"/>
                <w:szCs w:val="22"/>
              </w:rPr>
              <w:t xml:space="preserve">our engagement with regulators and advocates and our own compliance activities, </w:t>
            </w:r>
            <w:r w:rsidRPr="00A2284C">
              <w:rPr>
                <w:rFonts w:cstheme="minorHAnsi"/>
                <w:szCs w:val="22"/>
              </w:rPr>
              <w:t xml:space="preserve">have identified a range of risks for participants living in supported boarding houses where proprietors are also receiving NDIS funds from those participants. We will be increasing the use of our </w:t>
            </w:r>
            <w:r w:rsidR="00C341D5" w:rsidRPr="00A2284C">
              <w:rPr>
                <w:rFonts w:cstheme="minorHAnsi"/>
                <w:szCs w:val="22"/>
              </w:rPr>
              <w:lastRenderedPageBreak/>
              <w:t xml:space="preserve">regulatory powers to enhance protections for residents of </w:t>
            </w:r>
            <w:r w:rsidRPr="00A2284C">
              <w:rPr>
                <w:rFonts w:cstheme="minorHAnsi"/>
                <w:szCs w:val="22"/>
              </w:rPr>
              <w:t>supported boarding houses</w:t>
            </w:r>
            <w:r w:rsidR="00C341D5" w:rsidRPr="00A2284C">
              <w:rPr>
                <w:rFonts w:cstheme="minorHAnsi"/>
                <w:szCs w:val="22"/>
              </w:rPr>
              <w:t xml:space="preserve"> where they are receiving NDIS supports and services. </w:t>
            </w:r>
            <w:r w:rsidRPr="00A2284C">
              <w:rPr>
                <w:rFonts w:cstheme="minorHAnsi"/>
                <w:szCs w:val="22"/>
              </w:rPr>
              <w:t>This includes expanding our education and engagement activities with supported boarding house proprietors to clarify their obligations where they are supporting NDIS participants.</w:t>
            </w:r>
          </w:p>
          <w:p w:rsidR="00C341D5" w:rsidRPr="00A2284C" w:rsidRDefault="00C341D5" w:rsidP="00541235">
            <w:pPr>
              <w:spacing w:before="120"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A2284C">
              <w:rPr>
                <w:rFonts w:cstheme="minorHAnsi"/>
                <w:szCs w:val="22"/>
              </w:rPr>
              <w:t xml:space="preserve">There are </w:t>
            </w:r>
            <w:r w:rsidR="00FD5E67" w:rsidRPr="00A2284C">
              <w:rPr>
                <w:rFonts w:cstheme="minorHAnsi"/>
                <w:szCs w:val="22"/>
              </w:rPr>
              <w:t>supported boarding house style</w:t>
            </w:r>
            <w:r w:rsidRPr="00A2284C">
              <w:rPr>
                <w:rFonts w:cstheme="minorHAnsi"/>
                <w:szCs w:val="22"/>
              </w:rPr>
              <w:t xml:space="preserve"> arrangements in </w:t>
            </w:r>
            <w:r w:rsidR="00FD5E67" w:rsidRPr="00A2284C">
              <w:rPr>
                <w:rFonts w:cstheme="minorHAnsi"/>
                <w:szCs w:val="22"/>
              </w:rPr>
              <w:t>a number of</w:t>
            </w:r>
            <w:r w:rsidRPr="00A2284C">
              <w:rPr>
                <w:rFonts w:cstheme="minorHAnsi"/>
                <w:szCs w:val="22"/>
              </w:rPr>
              <w:t xml:space="preserve"> states and territories. </w:t>
            </w:r>
            <w:r w:rsidR="00541235" w:rsidRPr="00A2284C">
              <w:rPr>
                <w:rFonts w:cstheme="minorHAnsi"/>
                <w:szCs w:val="22"/>
              </w:rPr>
              <w:t>We will</w:t>
            </w:r>
            <w:r w:rsidRPr="00A2284C">
              <w:rPr>
                <w:rFonts w:cstheme="minorHAnsi"/>
                <w:szCs w:val="22"/>
              </w:rPr>
              <w:t xml:space="preserve"> focus initially on the </w:t>
            </w:r>
            <w:r w:rsidR="00541235" w:rsidRPr="00A2284C">
              <w:rPr>
                <w:rFonts w:cstheme="minorHAnsi"/>
                <w:szCs w:val="22"/>
              </w:rPr>
              <w:t xml:space="preserve">Supported Residential Services (SRS) </w:t>
            </w:r>
            <w:r w:rsidRPr="00A2284C">
              <w:rPr>
                <w:rFonts w:cstheme="minorHAnsi"/>
                <w:szCs w:val="22"/>
              </w:rPr>
              <w:t xml:space="preserve">market </w:t>
            </w:r>
            <w:r w:rsidR="00541235" w:rsidRPr="00A2284C">
              <w:rPr>
                <w:rFonts w:cstheme="minorHAnsi"/>
                <w:szCs w:val="22"/>
              </w:rPr>
              <w:t>in Victoria where there is a</w:t>
            </w:r>
            <w:r w:rsidRPr="00A2284C">
              <w:rPr>
                <w:rFonts w:cstheme="minorHAnsi"/>
                <w:szCs w:val="22"/>
              </w:rPr>
              <w:t xml:space="preserve"> significant proportion of this accommodation market </w:t>
            </w:r>
            <w:r w:rsidR="00541235" w:rsidRPr="00A2284C">
              <w:rPr>
                <w:rFonts w:cstheme="minorHAnsi"/>
                <w:szCs w:val="22"/>
              </w:rPr>
              <w:t>compared with</w:t>
            </w:r>
            <w:r w:rsidRPr="00A2284C">
              <w:rPr>
                <w:rFonts w:cstheme="minorHAnsi"/>
                <w:szCs w:val="22"/>
              </w:rPr>
              <w:t xml:space="preserve"> other states, and a significant proportion of residents living in </w:t>
            </w:r>
            <w:r w:rsidR="00541235" w:rsidRPr="00A2284C">
              <w:rPr>
                <w:rFonts w:cstheme="minorHAnsi"/>
                <w:szCs w:val="22"/>
              </w:rPr>
              <w:t xml:space="preserve">SRS </w:t>
            </w:r>
            <w:r w:rsidRPr="00A2284C">
              <w:rPr>
                <w:rFonts w:cstheme="minorHAnsi"/>
                <w:szCs w:val="22"/>
              </w:rPr>
              <w:t xml:space="preserve">are NDIS participants. </w:t>
            </w:r>
          </w:p>
          <w:p w:rsidR="00C341D5" w:rsidRPr="00A2284C" w:rsidRDefault="00541235" w:rsidP="00B81362">
            <w:pPr>
              <w:spacing w:before="120" w:after="120"/>
              <w:cnfStyle w:val="000000100000" w:firstRow="0" w:lastRow="0" w:firstColumn="0" w:lastColumn="0" w:oddVBand="0" w:evenVBand="0" w:oddHBand="1" w:evenHBand="0" w:firstRowFirstColumn="0" w:firstRowLastColumn="0" w:lastRowFirstColumn="0" w:lastRowLastColumn="0"/>
              <w:rPr>
                <w:rFonts w:cstheme="minorHAnsi"/>
                <w:szCs w:val="22"/>
              </w:rPr>
            </w:pPr>
            <w:r w:rsidRPr="00A2284C">
              <w:rPr>
                <w:rFonts w:cstheme="minorHAnsi"/>
                <w:szCs w:val="22"/>
              </w:rPr>
              <w:t>We will</w:t>
            </w:r>
            <w:r w:rsidR="00C341D5" w:rsidRPr="00A2284C">
              <w:rPr>
                <w:rFonts w:cstheme="minorHAnsi"/>
                <w:szCs w:val="22"/>
              </w:rPr>
              <w:t xml:space="preserve"> </w:t>
            </w:r>
            <w:r w:rsidR="00B81362" w:rsidRPr="0081020B">
              <w:rPr>
                <w:rFonts w:cstheme="minorHAnsi"/>
                <w:szCs w:val="22"/>
              </w:rPr>
              <w:t>extend</w:t>
            </w:r>
            <w:r w:rsidR="00C341D5" w:rsidRPr="00A2284C">
              <w:rPr>
                <w:rFonts w:cstheme="minorHAnsi"/>
                <w:szCs w:val="22"/>
              </w:rPr>
              <w:t xml:space="preserve"> this approach more broadly</w:t>
            </w:r>
            <w:r w:rsidR="009B2ABF" w:rsidRPr="00A2284C">
              <w:rPr>
                <w:rFonts w:cstheme="minorHAnsi"/>
                <w:szCs w:val="22"/>
              </w:rPr>
              <w:t>,</w:t>
            </w:r>
            <w:r w:rsidR="00C341D5" w:rsidRPr="00A2284C">
              <w:rPr>
                <w:rFonts w:cstheme="minorHAnsi"/>
                <w:szCs w:val="22"/>
              </w:rPr>
              <w:t xml:space="preserve"> </w:t>
            </w:r>
            <w:r w:rsidR="00B81362" w:rsidRPr="0081020B">
              <w:rPr>
                <w:rFonts w:cstheme="minorHAnsi"/>
                <w:szCs w:val="22"/>
              </w:rPr>
              <w:t>informed by</w:t>
            </w:r>
            <w:r w:rsidR="00C341D5" w:rsidRPr="00A2284C">
              <w:rPr>
                <w:rFonts w:cstheme="minorHAnsi"/>
                <w:szCs w:val="22"/>
              </w:rPr>
              <w:t xml:space="preserve"> its application in the Victorian context, and consideration of the risks to participants residing in similar accommodation arrangements in other jurisdictions. </w:t>
            </w:r>
          </w:p>
        </w:tc>
      </w:tr>
    </w:tbl>
    <w:p w:rsidR="0081020B" w:rsidRDefault="0081020B" w:rsidP="00AE2D52">
      <w:pPr>
        <w:pStyle w:val="Heading2"/>
      </w:pPr>
    </w:p>
    <w:p w:rsidR="0081020B" w:rsidRDefault="0081020B" w:rsidP="00AE2D52">
      <w:pPr>
        <w:pStyle w:val="Heading2"/>
      </w:pPr>
    </w:p>
    <w:p w:rsidR="0081020B" w:rsidRDefault="0081020B" w:rsidP="00AE2D52">
      <w:pPr>
        <w:pStyle w:val="Heading2"/>
      </w:pPr>
    </w:p>
    <w:p w:rsidR="0081020B" w:rsidRDefault="0081020B" w:rsidP="00AE2D52">
      <w:pPr>
        <w:pStyle w:val="Heading2"/>
      </w:pPr>
    </w:p>
    <w:p w:rsidR="0081020B" w:rsidRDefault="0081020B" w:rsidP="0081020B"/>
    <w:p w:rsidR="0081020B" w:rsidRDefault="0081020B" w:rsidP="0081020B"/>
    <w:p w:rsidR="0081020B" w:rsidRPr="0081020B" w:rsidRDefault="0081020B" w:rsidP="0081020B"/>
    <w:p w:rsidR="00AE2D52" w:rsidRPr="00A2284C" w:rsidRDefault="00AE2D52" w:rsidP="00AE2D52">
      <w:pPr>
        <w:pStyle w:val="Heading2"/>
      </w:pPr>
      <w:r w:rsidRPr="00A2284C">
        <w:lastRenderedPageBreak/>
        <w:t>Enduring Priorities</w:t>
      </w:r>
    </w:p>
    <w:tbl>
      <w:tblPr>
        <w:tblStyle w:val="TableGrid"/>
        <w:tblW w:w="0" w:type="auto"/>
        <w:tblLook w:val="04A0" w:firstRow="1" w:lastRow="0" w:firstColumn="1" w:lastColumn="0" w:noHBand="0" w:noVBand="1"/>
      </w:tblPr>
      <w:tblGrid>
        <w:gridCol w:w="15163"/>
      </w:tblGrid>
      <w:tr w:rsidR="00B43E57" w:rsidRPr="00A2284C" w:rsidTr="006E1186">
        <w:tc>
          <w:tcPr>
            <w:tcW w:w="15163" w:type="dxa"/>
          </w:tcPr>
          <w:p w:rsidR="00B43E57" w:rsidRPr="00A2284C" w:rsidRDefault="00B43E57" w:rsidP="005846E6">
            <w:pPr>
              <w:spacing w:before="120" w:after="0"/>
              <w:rPr>
                <w:b/>
                <w:color w:val="7030A0"/>
              </w:rPr>
            </w:pPr>
            <w:r w:rsidRPr="00A2284C">
              <w:rPr>
                <w:b/>
                <w:color w:val="7030A0"/>
              </w:rPr>
              <w:t>Prevention of harm</w:t>
            </w:r>
            <w:r w:rsidR="00617C5F" w:rsidRPr="00A2284C">
              <w:rPr>
                <w:b/>
                <w:color w:val="7030A0"/>
              </w:rPr>
              <w:t xml:space="preserve"> to participants </w:t>
            </w:r>
          </w:p>
          <w:p w:rsidR="00B43E57" w:rsidRPr="00A2284C" w:rsidRDefault="00B43E57" w:rsidP="005846E6">
            <w:pPr>
              <w:spacing w:before="0" w:after="120"/>
            </w:pPr>
            <w:r w:rsidRPr="00A2284C">
              <w:t>Targeting compliance and enforcement action on providers and workers alleged to have caused harm to NDIS participants, including violence, neglect, abuse, exploitation and sexual misconduct,</w:t>
            </w:r>
            <w:r w:rsidR="00A2284C">
              <w:t xml:space="preserve"> unauthorised restrictive practices</w:t>
            </w:r>
            <w:r w:rsidRPr="00A2284C">
              <w:t xml:space="preserve"> and preventing further potential harm. </w:t>
            </w:r>
            <w:r w:rsidR="00617C5F" w:rsidRPr="00A2284C">
              <w:t>This enduring priority incorporates a proactive approach to harm prevention, including through each of the compliance priorities.</w:t>
            </w:r>
          </w:p>
        </w:tc>
      </w:tr>
      <w:tr w:rsidR="00B43E57" w:rsidRPr="00A2284C" w:rsidTr="006E1186">
        <w:tc>
          <w:tcPr>
            <w:tcW w:w="15163" w:type="dxa"/>
          </w:tcPr>
          <w:p w:rsidR="00B43E57" w:rsidRPr="00A2284C" w:rsidRDefault="00B43E57" w:rsidP="005846E6">
            <w:pPr>
              <w:spacing w:before="120" w:after="0"/>
              <w:rPr>
                <w:b/>
                <w:color w:val="7030A0"/>
              </w:rPr>
            </w:pPr>
            <w:r w:rsidRPr="00A2284C">
              <w:rPr>
                <w:b/>
                <w:color w:val="7030A0"/>
              </w:rPr>
              <w:t xml:space="preserve">COVID-19 </w:t>
            </w:r>
            <w:r w:rsidR="006E1186" w:rsidRPr="00A2284C">
              <w:rPr>
                <w:b/>
                <w:color w:val="7030A0"/>
              </w:rPr>
              <w:t xml:space="preserve">and other emergency </w:t>
            </w:r>
            <w:r w:rsidRPr="00A2284C">
              <w:rPr>
                <w:b/>
                <w:color w:val="7030A0"/>
              </w:rPr>
              <w:t>management and response</w:t>
            </w:r>
          </w:p>
          <w:p w:rsidR="00B43E57" w:rsidRPr="00A2284C" w:rsidRDefault="00617C5F" w:rsidP="005846E6">
            <w:pPr>
              <w:spacing w:before="0" w:after="120"/>
              <w:rPr>
                <w:rFonts w:cstheme="minorHAnsi"/>
                <w:szCs w:val="22"/>
              </w:rPr>
            </w:pPr>
            <w:r w:rsidRPr="00A2284C">
              <w:t>Targeting compliance and enforcement action where providers are not complying with obligations to manage risk, ensure continuity of supports, and mitigate impacts on the health and wellbeing of NDIS participants as a result of the COVID-19 pandemic</w:t>
            </w:r>
            <w:r w:rsidR="006E1186" w:rsidRPr="00A2284C">
              <w:t xml:space="preserve"> and other emergencies and disasters</w:t>
            </w:r>
            <w:r w:rsidRPr="00A2284C">
              <w:t>.</w:t>
            </w:r>
            <w:r w:rsidR="006E1186" w:rsidRPr="00A2284C">
              <w:t xml:space="preserve"> This enduring priority incorporates a proactive approach to monitoring the impact of COVID and other significant events on participants and providers. </w:t>
            </w:r>
            <w:r w:rsidR="006E1186" w:rsidRPr="00A2284C">
              <w:rPr>
                <w:rFonts w:cstheme="minorHAnsi"/>
                <w:szCs w:val="22"/>
              </w:rPr>
              <w:t xml:space="preserve">People with disability are at increased risk of serious illness and death from COVID-19 and providers have key obligations for supporting participant safety, including through effective infection prevention and control and supporting participants to access vaccinations. </w:t>
            </w:r>
          </w:p>
        </w:tc>
      </w:tr>
      <w:tr w:rsidR="00B43E57" w:rsidTr="006E1186">
        <w:tc>
          <w:tcPr>
            <w:tcW w:w="15163" w:type="dxa"/>
          </w:tcPr>
          <w:p w:rsidR="00B43E57" w:rsidRPr="00A2284C" w:rsidRDefault="006E1186" w:rsidP="005846E6">
            <w:pPr>
              <w:spacing w:before="120" w:after="0"/>
              <w:rPr>
                <w:b/>
                <w:color w:val="7030A0"/>
              </w:rPr>
            </w:pPr>
            <w:r w:rsidRPr="00A2284C">
              <w:rPr>
                <w:b/>
                <w:color w:val="7030A0"/>
              </w:rPr>
              <w:t>Incident management and</w:t>
            </w:r>
            <w:r w:rsidR="00B43E57" w:rsidRPr="00A2284C">
              <w:rPr>
                <w:b/>
                <w:color w:val="7030A0"/>
              </w:rPr>
              <w:t xml:space="preserve"> response</w:t>
            </w:r>
          </w:p>
          <w:p w:rsidR="00617C5F" w:rsidRDefault="006E1186" w:rsidP="005846E6">
            <w:pPr>
              <w:spacing w:before="0" w:after="120"/>
            </w:pPr>
            <w:r w:rsidRPr="00A2284C">
              <w:t>Monitoring providers’ compliance with obligations to report and effectively respond to incidents, with an emphasis on provider engagement with participants in the prevention and mitigation of incidents, and targeting compliance and enforcement action where providers are identified as non-compliant.</w:t>
            </w:r>
          </w:p>
        </w:tc>
      </w:tr>
    </w:tbl>
    <w:p w:rsidR="00AE2D52" w:rsidRPr="005040C6" w:rsidRDefault="00AE2D52" w:rsidP="005846E6">
      <w:pPr>
        <w:suppressAutoHyphens w:val="0"/>
        <w:spacing w:before="120" w:after="120" w:line="240" w:lineRule="auto"/>
      </w:pPr>
    </w:p>
    <w:sectPr w:rsidR="00AE2D52" w:rsidRPr="005040C6" w:rsidSect="000953E0">
      <w:headerReference w:type="default" r:id="rId12"/>
      <w:footerReference w:type="default" r:id="rId13"/>
      <w:headerReference w:type="first" r:id="rId14"/>
      <w:footerReference w:type="first" r:id="rId15"/>
      <w:pgSz w:w="16838" w:h="11906" w:orient="landscape" w:code="9"/>
      <w:pgMar w:top="720" w:right="720" w:bottom="720" w:left="72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9CF" w:rsidRDefault="004669CF" w:rsidP="008E21DE">
      <w:pPr>
        <w:spacing w:before="0" w:after="0"/>
      </w:pPr>
      <w:r>
        <w:separator/>
      </w:r>
    </w:p>
  </w:endnote>
  <w:endnote w:type="continuationSeparator" w:id="0">
    <w:p w:rsidR="004669CF" w:rsidRDefault="004669CF"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FD66D7" w:rsidP="00362AB6">
    <w:pPr>
      <w:pStyle w:val="Footer"/>
    </w:pPr>
    <w:r>
      <w:rPr>
        <w:b/>
        <w:bCs/>
        <w:noProof/>
        <w:lang w:eastAsia="en-AU"/>
      </w:rPr>
      <mc:AlternateContent>
        <mc:Choice Requires="wps">
          <w:drawing>
            <wp:inline distT="0" distB="0" distL="0" distR="0" wp14:anchorId="6C127442" wp14:editId="1B0306FC">
              <wp:extent cx="9677400" cy="8509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9677400" cy="8509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28BDF5" id="Rectangle 8" o:spid="_x0000_s1026" alt="Title: background - Description: background" style="width:762pt;height:6.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5846E6">
    <w:pPr>
      <w:pStyle w:val="Footer"/>
      <w:tabs>
        <w:tab w:val="clear" w:pos="4513"/>
        <w:tab w:val="center" w:pos="1560"/>
      </w:tabs>
    </w:pPr>
    <w:r>
      <w:tab/>
    </w:r>
    <w:r w:rsidRPr="00362AB6">
      <w:rPr>
        <w:sz w:val="18"/>
        <w:szCs w:val="18"/>
      </w:rPr>
      <w:t>NDIS Quality and Safeguards Commission</w:t>
    </w:r>
    <w:r w:rsidR="00362AB6">
      <w:tab/>
    </w:r>
    <w:r w:rsidR="00541235">
      <w:tab/>
    </w:r>
    <w:r w:rsidR="00541235">
      <w:tab/>
    </w:r>
    <w:r w:rsidR="00541235">
      <w:tab/>
    </w:r>
    <w:r w:rsidR="00541235">
      <w:tab/>
    </w:r>
    <w:r w:rsidR="00541235">
      <w:tab/>
    </w:r>
    <w:r w:rsidR="00541235">
      <w:tab/>
    </w:r>
    <w:r w:rsidR="00541235">
      <w:tab/>
    </w:r>
    <w:r w:rsidR="00541235">
      <w:tab/>
    </w:r>
    <w:r w:rsidR="00541235">
      <w:tab/>
    </w:r>
    <w:r w:rsidR="00362AB6">
      <w:fldChar w:fldCharType="begin"/>
    </w:r>
    <w:r w:rsidR="00362AB6">
      <w:instrText xml:space="preserve"> PAGE   \* MERGEFORMAT </w:instrText>
    </w:r>
    <w:r w:rsidR="00362AB6">
      <w:fldChar w:fldCharType="separate"/>
    </w:r>
    <w:r w:rsidR="00C030AE">
      <w:rPr>
        <w:noProof/>
      </w:rPr>
      <w:t>6</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953E0">
    <w:pPr>
      <w:pStyle w:val="Footer"/>
      <w:tabs>
        <w:tab w:val="clear" w:pos="4513"/>
        <w:tab w:val="clear" w:pos="9026"/>
        <w:tab w:val="center" w:pos="7230"/>
        <w:tab w:val="right" w:pos="13892"/>
      </w:tabs>
      <w:rPr>
        <w:sz w:val="18"/>
        <w:szCs w:val="18"/>
      </w:rPr>
    </w:pPr>
    <w:r>
      <w:rPr>
        <w:b/>
        <w:bCs/>
        <w:noProof/>
        <w:lang w:eastAsia="en-AU"/>
      </w:rPr>
      <mc:AlternateContent>
        <mc:Choice Requires="wps">
          <w:drawing>
            <wp:inline distT="0" distB="0" distL="0" distR="0" wp14:anchorId="5B0BBB25" wp14:editId="6C17588D">
              <wp:extent cx="9686925" cy="85725"/>
              <wp:effectExtent l="0" t="0" r="9525" b="9525"/>
              <wp:docPr id="7" name="Rectangle 7" descr="background" title="background"/>
              <wp:cNvGraphicFramePr/>
              <a:graphic xmlns:a="http://schemas.openxmlformats.org/drawingml/2006/main">
                <a:graphicData uri="http://schemas.microsoft.com/office/word/2010/wordprocessingShape">
                  <wps:wsp>
                    <wps:cNvSpPr/>
                    <wps:spPr>
                      <a:xfrm flipV="1">
                        <a:off x="0" y="0"/>
                        <a:ext cx="9686925" cy="85725"/>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B68ADE" id="Rectangle 7" o:spid="_x0000_s1026" alt="Title: background - Description: background" style="width:762.75pt;height:6.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" fillcolor="#539250 [3207]" stroked="f" strokeweight="1pt">
              <v:fill color2="#83b14c [3208]" angle="90" colors="0 #539250;.5 #83b14c" focus="100%" type="gradient">
                <o:fill v:ext="view" type="gradientUnscaled"/>
              </v:fill>
              <w10:anchorlock/>
            </v:rect>
          </w:pict>
        </mc:Fallback>
      </mc:AlternateContent>
    </w:r>
  </w:p>
  <w:p w:rsidR="008E21DE" w:rsidRPr="00080615" w:rsidRDefault="004D4273" w:rsidP="00BC02C7">
    <w:pPr>
      <w:pStyle w:val="Footer"/>
      <w:tabs>
        <w:tab w:val="clear" w:pos="4513"/>
        <w:tab w:val="clear" w:pos="9026"/>
        <w:tab w:val="center" w:pos="7655"/>
        <w:tab w:val="right" w:pos="15309"/>
      </w:tabs>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C030AE">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9CF" w:rsidRDefault="004669CF" w:rsidP="008E21DE">
      <w:pPr>
        <w:spacing w:before="0" w:after="0"/>
      </w:pPr>
      <w:r>
        <w:separator/>
      </w:r>
    </w:p>
  </w:footnote>
  <w:footnote w:type="continuationSeparator" w:id="0">
    <w:p w:rsidR="004669CF" w:rsidRDefault="004669CF"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680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182709">
    <w:pPr>
      <w:pStyle w:val="Header"/>
    </w:pPr>
    <w:r>
      <w:rPr>
        <w:noProof/>
        <w:lang w:eastAsia="en-AU"/>
      </w:rPr>
      <w:ptab w:relativeTo="margin" w:alignment="left" w:leader="none"/>
    </w:r>
    <w:r w:rsidR="00EE737C">
      <w:rPr>
        <w:noProof/>
        <w:lang w:eastAsia="en-AU"/>
      </w:rPr>
      <w:drawing>
        <wp:inline distT="0" distB="0" distL="0" distR="0" wp14:anchorId="5E2FA087" wp14:editId="642E309C">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00AE2D52" w:rsidRPr="00AE2D52">
      <w:t xml:space="preserve"> </w:t>
    </w:r>
    <w:r w:rsidR="00AE2D52">
      <w:tab/>
    </w:r>
    <w:r w:rsidR="00AE2D52">
      <w:tab/>
    </w:r>
    <w:r w:rsidR="00AE2D52">
      <w:tab/>
    </w:r>
    <w:r w:rsidR="00AE2D52">
      <w:tab/>
    </w:r>
    <w:r w:rsidR="00AE2D52">
      <w:tab/>
    </w:r>
    <w:r w:rsidR="00AE2D52">
      <w:tab/>
    </w:r>
    <w:r w:rsidR="00AE2D52">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BA632A9"/>
    <w:multiLevelType w:val="multilevel"/>
    <w:tmpl w:val="A41689A2"/>
    <w:numStyleLink w:val="AppendixNumbers"/>
  </w:abstractNum>
  <w:abstractNum w:abstractNumId="9"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1" w15:restartNumberingAfterBreak="0">
    <w:nsid w:val="49587F78"/>
    <w:multiLevelType w:val="multilevel"/>
    <w:tmpl w:val="07629034"/>
    <w:numStyleLink w:val="KCBullets"/>
  </w:abstractNum>
  <w:abstractNum w:abstractNumId="12" w15:restartNumberingAfterBreak="0">
    <w:nsid w:val="498A73CE"/>
    <w:multiLevelType w:val="hybridMultilevel"/>
    <w:tmpl w:val="DF8A39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0517343"/>
    <w:multiLevelType w:val="multilevel"/>
    <w:tmpl w:val="131EEC6C"/>
    <w:numStyleLink w:val="TableNumbers"/>
  </w:abstractNum>
  <w:abstractNum w:abstractNumId="14" w15:restartNumberingAfterBreak="0">
    <w:nsid w:val="50E12008"/>
    <w:multiLevelType w:val="multilevel"/>
    <w:tmpl w:val="07629034"/>
    <w:numStyleLink w:val="KCBullets"/>
  </w:abstractNum>
  <w:abstractNum w:abstractNumId="15"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63048B"/>
    <w:multiLevelType w:val="multilevel"/>
    <w:tmpl w:val="C284D0B0"/>
    <w:numStyleLink w:val="FigureNumbers"/>
  </w:abstractNum>
  <w:abstractNum w:abstractNumId="17"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615703"/>
    <w:multiLevelType w:val="multilevel"/>
    <w:tmpl w:val="803CF862"/>
    <w:numStyleLink w:val="List1Numbered"/>
  </w:abstractNum>
  <w:abstractNum w:abstractNumId="19" w15:restartNumberingAfterBreak="0">
    <w:nsid w:val="5BF51665"/>
    <w:multiLevelType w:val="multilevel"/>
    <w:tmpl w:val="4E929216"/>
    <w:numStyleLink w:val="NumberedHeadings"/>
  </w:abstractNum>
  <w:abstractNum w:abstractNumId="20" w15:restartNumberingAfterBreak="0">
    <w:nsid w:val="62397869"/>
    <w:multiLevelType w:val="multilevel"/>
    <w:tmpl w:val="4E929216"/>
    <w:numStyleLink w:val="NumberedHeadings"/>
  </w:abstractNum>
  <w:abstractNum w:abstractNumId="21" w15:restartNumberingAfterBreak="0">
    <w:nsid w:val="6D4F423B"/>
    <w:multiLevelType w:val="multilevel"/>
    <w:tmpl w:val="4A7CCC2C"/>
    <w:numStyleLink w:val="DefaultBullets"/>
  </w:abstractNum>
  <w:abstractNum w:abstractNumId="2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76E0053"/>
    <w:multiLevelType w:val="hybridMultilevel"/>
    <w:tmpl w:val="B1D47E10"/>
    <w:lvl w:ilvl="0" w:tplc="D19E2528">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90B67C4"/>
    <w:multiLevelType w:val="multilevel"/>
    <w:tmpl w:val="FE688822"/>
    <w:numStyleLink w:val="BoxedBullets"/>
  </w:abstractNum>
  <w:abstractNum w:abstractNumId="25" w15:restartNumberingAfterBreak="0">
    <w:nsid w:val="7EE44065"/>
    <w:multiLevelType w:val="multilevel"/>
    <w:tmpl w:val="A41689A2"/>
    <w:numStyleLink w:val="AppendixNumbers"/>
  </w:abstractNum>
  <w:num w:numId="1">
    <w:abstractNumId w:val="3"/>
  </w:num>
  <w:num w:numId="2">
    <w:abstractNumId w:val="25"/>
  </w:num>
  <w:num w:numId="3">
    <w:abstractNumId w:val="15"/>
  </w:num>
  <w:num w:numId="4">
    <w:abstractNumId w:val="24"/>
  </w:num>
  <w:num w:numId="5">
    <w:abstractNumId w:val="24"/>
  </w:num>
  <w:num w:numId="6">
    <w:abstractNumId w:val="10"/>
  </w:num>
  <w:num w:numId="7">
    <w:abstractNumId w:val="14"/>
  </w:num>
  <w:num w:numId="8">
    <w:abstractNumId w:val="14"/>
  </w:num>
  <w:num w:numId="9">
    <w:abstractNumId w:val="14"/>
  </w:num>
  <w:num w:numId="10">
    <w:abstractNumId w:val="5"/>
  </w:num>
  <w:num w:numId="11">
    <w:abstractNumId w:val="16"/>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4"/>
  </w:num>
  <w:num w:numId="20">
    <w:abstractNumId w:val="18"/>
  </w:num>
  <w:num w:numId="21">
    <w:abstractNumId w:val="18"/>
  </w:num>
  <w:num w:numId="22">
    <w:abstractNumId w:val="18"/>
  </w:num>
  <w:num w:numId="23">
    <w:abstractNumId w:val="17"/>
  </w:num>
  <w:num w:numId="24">
    <w:abstractNumId w:val="9"/>
  </w:num>
  <w:num w:numId="25">
    <w:abstractNumId w:val="6"/>
  </w:num>
  <w:num w:numId="26">
    <w:abstractNumId w:val="13"/>
  </w:num>
  <w:num w:numId="27">
    <w:abstractNumId w:val="0"/>
  </w:num>
  <w:num w:numId="28">
    <w:abstractNumId w:val="22"/>
  </w:num>
  <w:num w:numId="29">
    <w:abstractNumId w:val="2"/>
  </w:num>
  <w:num w:numId="30">
    <w:abstractNumId w:val="1"/>
  </w:num>
  <w:num w:numId="31">
    <w:abstractNumId w:val="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8"/>
  </w:num>
  <w:num w:numId="36">
    <w:abstractNumId w:val="11"/>
  </w:num>
  <w:num w:numId="37">
    <w:abstractNumId w:val="2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A1E"/>
    <w:rsid w:val="00032C42"/>
    <w:rsid w:val="00043D08"/>
    <w:rsid w:val="00060407"/>
    <w:rsid w:val="00080615"/>
    <w:rsid w:val="000953E0"/>
    <w:rsid w:val="000A0546"/>
    <w:rsid w:val="000C252F"/>
    <w:rsid w:val="000F3A54"/>
    <w:rsid w:val="000F48FC"/>
    <w:rsid w:val="00153BB9"/>
    <w:rsid w:val="00182709"/>
    <w:rsid w:val="00201052"/>
    <w:rsid w:val="002222AE"/>
    <w:rsid w:val="00231AAC"/>
    <w:rsid w:val="002804D3"/>
    <w:rsid w:val="003449A0"/>
    <w:rsid w:val="00362AB6"/>
    <w:rsid w:val="003F29B8"/>
    <w:rsid w:val="00406A70"/>
    <w:rsid w:val="004154E2"/>
    <w:rsid w:val="004669CF"/>
    <w:rsid w:val="00492299"/>
    <w:rsid w:val="004B3421"/>
    <w:rsid w:val="004C31FE"/>
    <w:rsid w:val="004D4273"/>
    <w:rsid w:val="005040C6"/>
    <w:rsid w:val="005346F5"/>
    <w:rsid w:val="00534D53"/>
    <w:rsid w:val="00541235"/>
    <w:rsid w:val="005846E6"/>
    <w:rsid w:val="005B053D"/>
    <w:rsid w:val="0060666A"/>
    <w:rsid w:val="00617C5F"/>
    <w:rsid w:val="00625854"/>
    <w:rsid w:val="006273AF"/>
    <w:rsid w:val="006344AD"/>
    <w:rsid w:val="00651348"/>
    <w:rsid w:val="00680A20"/>
    <w:rsid w:val="00680F04"/>
    <w:rsid w:val="0069555E"/>
    <w:rsid w:val="006D6D91"/>
    <w:rsid w:val="006E1186"/>
    <w:rsid w:val="006F29B7"/>
    <w:rsid w:val="00710D9D"/>
    <w:rsid w:val="0078103B"/>
    <w:rsid w:val="007D1536"/>
    <w:rsid w:val="008063FB"/>
    <w:rsid w:val="0081020B"/>
    <w:rsid w:val="008966CF"/>
    <w:rsid w:val="008A33B1"/>
    <w:rsid w:val="008A649A"/>
    <w:rsid w:val="008B7938"/>
    <w:rsid w:val="008E21DE"/>
    <w:rsid w:val="008F2435"/>
    <w:rsid w:val="008F7995"/>
    <w:rsid w:val="0092679E"/>
    <w:rsid w:val="00942C76"/>
    <w:rsid w:val="009539C8"/>
    <w:rsid w:val="00956A6A"/>
    <w:rsid w:val="00972A1E"/>
    <w:rsid w:val="009B2ABF"/>
    <w:rsid w:val="009D06E2"/>
    <w:rsid w:val="009D5E47"/>
    <w:rsid w:val="009F4EAA"/>
    <w:rsid w:val="00A07E4A"/>
    <w:rsid w:val="00A2284C"/>
    <w:rsid w:val="00A60009"/>
    <w:rsid w:val="00A62CCC"/>
    <w:rsid w:val="00A91A2E"/>
    <w:rsid w:val="00AA094B"/>
    <w:rsid w:val="00AA6B75"/>
    <w:rsid w:val="00AB12D5"/>
    <w:rsid w:val="00AD735D"/>
    <w:rsid w:val="00AE2D52"/>
    <w:rsid w:val="00AF0899"/>
    <w:rsid w:val="00B13996"/>
    <w:rsid w:val="00B43E57"/>
    <w:rsid w:val="00B603C0"/>
    <w:rsid w:val="00B81362"/>
    <w:rsid w:val="00B83AB4"/>
    <w:rsid w:val="00BA4FF9"/>
    <w:rsid w:val="00BC02C7"/>
    <w:rsid w:val="00BC3BA1"/>
    <w:rsid w:val="00C030AE"/>
    <w:rsid w:val="00C0421C"/>
    <w:rsid w:val="00C10202"/>
    <w:rsid w:val="00C204F9"/>
    <w:rsid w:val="00C21944"/>
    <w:rsid w:val="00C2698C"/>
    <w:rsid w:val="00C341D5"/>
    <w:rsid w:val="00C47511"/>
    <w:rsid w:val="00C52C59"/>
    <w:rsid w:val="00C90DF2"/>
    <w:rsid w:val="00CB64BD"/>
    <w:rsid w:val="00D171C8"/>
    <w:rsid w:val="00DD12DA"/>
    <w:rsid w:val="00DF74BA"/>
    <w:rsid w:val="00E243C4"/>
    <w:rsid w:val="00E260AC"/>
    <w:rsid w:val="00E40290"/>
    <w:rsid w:val="00EA45E6"/>
    <w:rsid w:val="00EE737C"/>
    <w:rsid w:val="00F41613"/>
    <w:rsid w:val="00F467C3"/>
    <w:rsid w:val="00F56891"/>
    <w:rsid w:val="00F9318C"/>
    <w:rsid w:val="00F94AF3"/>
    <w:rsid w:val="00FD5E67"/>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B6053AD-3C92-4469-9E5D-75598790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Default">
    <w:name w:val="Default"/>
    <w:rsid w:val="006F29B7"/>
    <w:pPr>
      <w:autoSpaceDE w:val="0"/>
      <w:autoSpaceDN w:val="0"/>
      <w:adjustRightInd w:val="0"/>
      <w:spacing w:before="0" w:after="0"/>
    </w:pPr>
    <w:rPr>
      <w:rFonts w:ascii="Arial" w:hAnsi="Arial" w:cs="Arial"/>
      <w:color w:val="000000"/>
      <w:sz w:val="24"/>
      <w:szCs w:val="24"/>
    </w:rPr>
  </w:style>
  <w:style w:type="paragraph" w:styleId="ListParagraph">
    <w:name w:val="List Paragraph"/>
    <w:basedOn w:val="Normal"/>
    <w:uiPriority w:val="34"/>
    <w:qFormat/>
    <w:rsid w:val="006F29B7"/>
    <w:pPr>
      <w:suppressAutoHyphens w:val="0"/>
      <w:spacing w:before="0" w:line="276" w:lineRule="auto"/>
      <w:ind w:left="720"/>
      <w:contextualSpacing/>
    </w:pPr>
    <w:rPr>
      <w:rFonts w:ascii="Arial" w:hAnsi="Arial"/>
      <w:color w:val="auto"/>
      <w:szCs w:val="22"/>
    </w:rPr>
  </w:style>
  <w:style w:type="character" w:styleId="CommentReference">
    <w:name w:val="annotation reference"/>
    <w:basedOn w:val="DefaultParagraphFont"/>
    <w:uiPriority w:val="99"/>
    <w:semiHidden/>
    <w:unhideWhenUsed/>
    <w:rsid w:val="005040C6"/>
    <w:rPr>
      <w:sz w:val="16"/>
      <w:szCs w:val="16"/>
    </w:rPr>
  </w:style>
  <w:style w:type="paragraph" w:styleId="CommentText">
    <w:name w:val="annotation text"/>
    <w:basedOn w:val="Normal"/>
    <w:link w:val="CommentTextChar"/>
    <w:uiPriority w:val="99"/>
    <w:unhideWhenUsed/>
    <w:rsid w:val="005040C6"/>
    <w:pPr>
      <w:spacing w:line="240" w:lineRule="auto"/>
    </w:pPr>
    <w:rPr>
      <w:sz w:val="20"/>
    </w:rPr>
  </w:style>
  <w:style w:type="character" w:customStyle="1" w:styleId="CommentTextChar">
    <w:name w:val="Comment Text Char"/>
    <w:basedOn w:val="DefaultParagraphFont"/>
    <w:link w:val="CommentText"/>
    <w:uiPriority w:val="99"/>
    <w:rsid w:val="005040C6"/>
  </w:style>
  <w:style w:type="paragraph" w:styleId="CommentSubject">
    <w:name w:val="annotation subject"/>
    <w:basedOn w:val="CommentText"/>
    <w:next w:val="CommentText"/>
    <w:link w:val="CommentSubjectChar"/>
    <w:uiPriority w:val="99"/>
    <w:semiHidden/>
    <w:unhideWhenUsed/>
    <w:rsid w:val="005040C6"/>
    <w:rPr>
      <w:b/>
      <w:bCs/>
    </w:rPr>
  </w:style>
  <w:style w:type="character" w:customStyle="1" w:styleId="CommentSubjectChar">
    <w:name w:val="Comment Subject Char"/>
    <w:basedOn w:val="CommentTextChar"/>
    <w:link w:val="CommentSubject"/>
    <w:uiPriority w:val="99"/>
    <w:semiHidden/>
    <w:rsid w:val="005040C6"/>
    <w:rPr>
      <w:b/>
      <w:bCs/>
    </w:rPr>
  </w:style>
  <w:style w:type="paragraph" w:styleId="BalloonText">
    <w:name w:val="Balloon Text"/>
    <w:basedOn w:val="Normal"/>
    <w:link w:val="BalloonTextChar"/>
    <w:uiPriority w:val="99"/>
    <w:semiHidden/>
    <w:unhideWhenUsed/>
    <w:rsid w:val="005040C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0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797131">
      <w:bodyDiv w:val="1"/>
      <w:marLeft w:val="0"/>
      <w:marRight w:val="0"/>
      <w:marTop w:val="0"/>
      <w:marBottom w:val="0"/>
      <w:divBdr>
        <w:top w:val="none" w:sz="0" w:space="0" w:color="auto"/>
        <w:left w:val="none" w:sz="0" w:space="0" w:color="auto"/>
        <w:bottom w:val="none" w:sz="0" w:space="0" w:color="auto"/>
        <w:right w:val="none" w:sz="0" w:space="0" w:color="auto"/>
      </w:divBdr>
    </w:div>
    <w:div w:id="115907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commission.gov.au/regulatory-approa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697C6F7F-FFED-4516-BF5D-9271237BB6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F4E6DBA8AFF294D8C547507C8ADD2B6" ma:contentTypeVersion="" ma:contentTypeDescription="PDMS Document Site Content Type" ma:contentTypeScope="" ma:versionID="3ed996104727c0802bf6778cd5423542">
  <xsd:schema xmlns:xsd="http://www.w3.org/2001/XMLSchema" xmlns:xs="http://www.w3.org/2001/XMLSchema" xmlns:p="http://schemas.microsoft.com/office/2006/metadata/properties" xmlns:ns2="697C6F7F-FFED-4516-BF5D-9271237BB68E" targetNamespace="http://schemas.microsoft.com/office/2006/metadata/properties" ma:root="true" ma:fieldsID="c75b2923a094540a00cc9aaef1f631e4" ns2:_="">
    <xsd:import namespace="697C6F7F-FFED-4516-BF5D-9271237BB68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C6F7F-FFED-4516-BF5D-9271237BB68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F87E0-2066-4289-893B-84008580F7BF}">
  <ds:schemaRefs>
    <ds:schemaRef ds:uri="http://schemas.openxmlformats.org/package/2006/metadata/core-properties"/>
    <ds:schemaRef ds:uri="http://purl.org/dc/dcmitype/"/>
    <ds:schemaRef ds:uri="http://purl.org/dc/elements/1.1/"/>
    <ds:schemaRef ds:uri="http://schemas.microsoft.com/office/2006/metadata/properties"/>
    <ds:schemaRef ds:uri="697C6F7F-FFED-4516-BF5D-9271237BB68E"/>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FE8F1A6D-E274-48A2-A674-F3466FD2A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C6F7F-FFED-4516-BF5D-9271237BB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F7821-9014-4840-89E8-575CC777C7D9}">
  <ds:schemaRefs>
    <ds:schemaRef ds:uri="http://schemas.microsoft.com/sharepoint/v3/contenttype/forms"/>
  </ds:schemaRefs>
</ds:datastoreItem>
</file>

<file path=customXml/itemProps4.xml><?xml version="1.0" encoding="utf-8"?>
<ds:datastoreItem xmlns:ds="http://schemas.openxmlformats.org/officeDocument/2006/customXml" ds:itemID="{9E060269-C0A2-47BF-B7F4-D25B8EFC5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2</TotalTime>
  <Pages>7</Pages>
  <Words>1722</Words>
  <Characters>10227</Characters>
  <Application>Microsoft Office Word</Application>
  <DocSecurity>0</DocSecurity>
  <Lines>250</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KRANEN, Tanya</dc:creator>
  <cp:keywords>[SEC=OFFICIAL]</cp:keywords>
  <dc:description/>
  <cp:lastModifiedBy>STEPHENS, Paul</cp:lastModifiedBy>
  <cp:revision>3</cp:revision>
  <cp:lastPrinted>2023-10-25T23:09:00Z</cp:lastPrinted>
  <dcterms:created xsi:type="dcterms:W3CDTF">2023-10-25T21:56:00Z</dcterms:created>
  <dcterms:modified xsi:type="dcterms:W3CDTF">2023-10-25T23:10:00Z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78117C262EFB4B70BED57E55F4B0BDF5</vt:lpwstr>
  </property>
  <property fmtid="{D5CDD505-2E9C-101B-9397-08002B2CF9AE}" pid="9" name="PM_ProtectiveMarkingValue_Footer">
    <vt:lpwstr>OFFICIAL</vt:lpwstr>
  </property>
  <property fmtid="{D5CDD505-2E9C-101B-9397-08002B2CF9AE}" pid="10" name="PM_Originator_Hash_SHA1">
    <vt:lpwstr>1DF09B2C8D13AF7C4E0E0E727046F251275B95BC</vt:lpwstr>
  </property>
  <property fmtid="{D5CDD505-2E9C-101B-9397-08002B2CF9AE}" pid="11" name="PM_OriginationTimeStamp">
    <vt:lpwstr>2023-10-25T23:10:05Z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1E84C28821D130CE014E6393A1F777BF</vt:lpwstr>
  </property>
  <property fmtid="{D5CDD505-2E9C-101B-9397-08002B2CF9AE}" pid="21" name="PM_Hash_Salt">
    <vt:lpwstr>918A984695D07DC85A5030447DE4BE13</vt:lpwstr>
  </property>
  <property fmtid="{D5CDD505-2E9C-101B-9397-08002B2CF9AE}" pid="22" name="PM_Hash_SHA1">
    <vt:lpwstr>F31E73C9EE83566EE303DFAB1C7E0FD1AF232752</vt:lpwstr>
  </property>
  <property fmtid="{D5CDD505-2E9C-101B-9397-08002B2CF9AE}" pid="23" name="PM_OriginatorUserAccountName_SHA256">
    <vt:lpwstr>04ED523FCA24F5CC65810951CCB0F070D50051C3C831B9129BF98E757FBF2896</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ContentTypeId">
    <vt:lpwstr>0x010100266966F133664895A6EE3632470D45F5009F4E6DBA8AFF294D8C547507C8ADD2B6</vt:lpwstr>
  </property>
</Properties>
</file>