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D9620" w14:textId="28114796" w:rsidR="00EB0121" w:rsidRPr="00452D48" w:rsidRDefault="00EB0121" w:rsidP="00452D48">
      <w:pPr>
        <w:pStyle w:val="Covertitle"/>
      </w:pPr>
      <w:r w:rsidRPr="00452D48">
        <w:t xml:space="preserve">Corporate Plan </w:t>
      </w:r>
      <w:r w:rsidR="00132AC2" w:rsidRPr="00452D48">
        <w:t>2023</w:t>
      </w:r>
      <w:r w:rsidRPr="00452D48">
        <w:t>–</w:t>
      </w:r>
      <w:r w:rsidR="00132AC2" w:rsidRPr="00452D48">
        <w:t>24</w:t>
      </w:r>
      <w:r w:rsidR="00072FC5" w:rsidRPr="00452D48">
        <w:t xml:space="preserve"> </w:t>
      </w:r>
    </w:p>
    <w:p w14:paraId="12A50DE3" w14:textId="555E4201" w:rsidR="007A13F0" w:rsidRDefault="007A13F0" w:rsidP="00452D48">
      <w:pPr>
        <w:pBdr>
          <w:left w:val="single" w:sz="48" w:space="4" w:color="9DC44D" w:themeColor="accent6"/>
        </w:pBdr>
        <w:spacing w:before="0" w:after="120"/>
        <w:ind w:left="284"/>
        <w:rPr>
          <w:color w:val="FFFFFF" w:themeColor="background1"/>
          <w:sz w:val="40"/>
          <w:szCs w:val="40"/>
        </w:rPr>
      </w:pPr>
      <w:r w:rsidRPr="007A13F0">
        <w:rPr>
          <w:color w:val="FFFFFF" w:themeColor="background1"/>
          <w:sz w:val="40"/>
          <w:szCs w:val="40"/>
        </w:rPr>
        <w:t>The NDIS Quality and Safeguards Commission (NDIS Commission) is an independent body that works with people with disability, providers and the community to deliver nationally consistent, responsive and effective regulation of NDIS providers.</w:t>
      </w:r>
    </w:p>
    <w:p w14:paraId="6213E6BA" w14:textId="16240EB2" w:rsidR="003023B7" w:rsidRPr="003023B7" w:rsidRDefault="003023B7" w:rsidP="009B15A6">
      <w:pPr>
        <w:pStyle w:val="ListParagraph"/>
        <w:pBdr>
          <w:left w:val="single" w:sz="48" w:space="4" w:color="9DC44D" w:themeColor="accent6"/>
        </w:pBdr>
        <w:spacing w:before="0"/>
        <w:ind w:left="644"/>
        <w:rPr>
          <w:color w:val="FFFFFF" w:themeColor="background1"/>
          <w:sz w:val="40"/>
          <w:szCs w:val="40"/>
        </w:rPr>
        <w:sectPr w:rsidR="003023B7" w:rsidRPr="003023B7" w:rsidSect="005C15E8">
          <w:headerReference w:type="default" r:id="rId11"/>
          <w:footerReference w:type="default" r:id="rId12"/>
          <w:headerReference w:type="first" r:id="rId13"/>
          <w:footerReference w:type="first" r:id="rId14"/>
          <w:type w:val="continuous"/>
          <w:pgSz w:w="11906" w:h="16838" w:code="9"/>
          <w:pgMar w:top="1134" w:right="1440" w:bottom="1440" w:left="1440" w:header="284" w:footer="397" w:gutter="0"/>
          <w:cols w:space="340"/>
          <w:titlePg/>
          <w:docGrid w:linePitch="360"/>
        </w:sectPr>
      </w:pPr>
    </w:p>
    <w:p w14:paraId="61128326" w14:textId="710A97B0" w:rsidR="00297DD0" w:rsidRDefault="00297DD0" w:rsidP="00297DD0">
      <w:pPr>
        <w:suppressAutoHyphens w:val="0"/>
        <w:spacing w:before="120" w:after="120" w:line="240" w:lineRule="auto"/>
      </w:pPr>
      <w:r>
        <w:lastRenderedPageBreak/>
        <w:t>This document, the NDIS Qualit</w:t>
      </w:r>
      <w:r w:rsidR="005F6658">
        <w:t>y and Safeguards Commission 2023–24</w:t>
      </w:r>
      <w:r>
        <w:t xml:space="preserve"> Corporate Plan, is licensed under the Creative Commons Attribution 4.0 International Licence.</w:t>
      </w:r>
    </w:p>
    <w:p w14:paraId="1E3E36CD" w14:textId="5C399F07" w:rsidR="00297DD0" w:rsidRDefault="00297DD0" w:rsidP="00297DD0">
      <w:pPr>
        <w:suppressAutoHyphens w:val="0"/>
        <w:spacing w:before="120" w:after="120" w:line="240" w:lineRule="auto"/>
      </w:pPr>
      <w:r>
        <w:t xml:space="preserve">Licence URL: </w:t>
      </w:r>
      <w:hyperlink r:id="rId15" w:tooltip="Creative Commons Attribution 4.0 International Licence" w:history="1">
        <w:r w:rsidRPr="00686753">
          <w:rPr>
            <w:rStyle w:val="Hyperlink"/>
          </w:rPr>
          <w:t>creativecommons.org/licenses/by/4.0/legalcode</w:t>
        </w:r>
      </w:hyperlink>
    </w:p>
    <w:p w14:paraId="53C922D3" w14:textId="06C849DF" w:rsidR="00297DD0" w:rsidRDefault="00297DD0" w:rsidP="00297DD0">
      <w:pPr>
        <w:suppressAutoHyphens w:val="0"/>
        <w:spacing w:before="120" w:after="120" w:line="240" w:lineRule="auto"/>
      </w:pPr>
      <w:r>
        <w:t>Please attribute: © Commonwealth of Australia (National Disability Insurance Scheme Quality and Safeguards Commission) 202</w:t>
      </w:r>
      <w:r w:rsidR="00132AC2">
        <w:t>3</w:t>
      </w:r>
      <w:r>
        <w:t>.</w:t>
      </w:r>
    </w:p>
    <w:p w14:paraId="6649D603" w14:textId="77777777" w:rsidR="00297DD0" w:rsidRDefault="00297DD0" w:rsidP="00297DD0">
      <w:pPr>
        <w:suppressAutoHyphens w:val="0"/>
        <w:spacing w:before="120" w:after="120" w:line="240" w:lineRule="auto"/>
      </w:pPr>
      <w:r>
        <w:t>ISSN 2652-2608 (Online)</w:t>
      </w:r>
    </w:p>
    <w:p w14:paraId="39A4175E" w14:textId="77777777" w:rsidR="00297DD0" w:rsidRPr="00452D48" w:rsidRDefault="00297DD0" w:rsidP="00452D48">
      <w:pPr>
        <w:rPr>
          <w:color w:val="5F2E74" w:themeColor="accent1"/>
        </w:rPr>
      </w:pPr>
      <w:bookmarkStart w:id="0" w:name="_Toc112642076"/>
      <w:r w:rsidRPr="00452D48">
        <w:rPr>
          <w:color w:val="5F2E74" w:themeColor="accent1"/>
        </w:rPr>
        <w:t>Notice:</w:t>
      </w:r>
      <w:bookmarkEnd w:id="0"/>
    </w:p>
    <w:p w14:paraId="02ED8198" w14:textId="4D8AF583" w:rsidR="00297DD0" w:rsidRDefault="00297DD0" w:rsidP="00DA4FA9">
      <w:pPr>
        <w:pStyle w:val="List1Numbered1"/>
      </w:pPr>
      <w:r>
        <w:t>If you create a derivative of this document, the NDIS Quality and Safeguards Commission requests the following notice be placed on your derivative: Based on Commonwealth of Australia</w:t>
      </w:r>
      <w:r w:rsidR="00DA4FA9">
        <w:t xml:space="preserve"> </w:t>
      </w:r>
      <w:r>
        <w:t>(NDIS Quality and Safeguards Commission) data.</w:t>
      </w:r>
    </w:p>
    <w:p w14:paraId="6C9163E8" w14:textId="4CE1B6A5" w:rsidR="00297DD0" w:rsidRDefault="00297DD0" w:rsidP="00297DD0">
      <w:pPr>
        <w:suppressAutoHyphens w:val="0"/>
        <w:spacing w:before="120" w:after="120" w:line="240" w:lineRule="auto"/>
      </w:pPr>
      <w:r w:rsidRPr="00282322">
        <w:t xml:space="preserve">Inquiries regarding this licence or any other use of this document are welcome. Please contact: Director – </w:t>
      </w:r>
      <w:r w:rsidR="00220B35">
        <w:t>Communication and Engagement</w:t>
      </w:r>
      <w:r w:rsidRPr="00282322">
        <w:t xml:space="preserve">, NDIS Quality and Safeguards Commission. Email: </w:t>
      </w:r>
      <w:hyperlink r:id="rId16" w:tooltip="Communications team email" w:history="1">
        <w:r w:rsidR="00686753" w:rsidRPr="00282322">
          <w:rPr>
            <w:rStyle w:val="Hyperlink"/>
          </w:rPr>
          <w:t>communications@ndiscommission.gov.au</w:t>
        </w:r>
      </w:hyperlink>
    </w:p>
    <w:p w14:paraId="20B2A443" w14:textId="77777777" w:rsidR="00297DD0" w:rsidRDefault="00297DD0" w:rsidP="00297DD0">
      <w:pPr>
        <w:suppressAutoHyphens w:val="0"/>
        <w:spacing w:before="120" w:after="120" w:line="240" w:lineRule="auto"/>
      </w:pPr>
      <w:r>
        <w:t>Notice identifying other material or rights in this publication:</w:t>
      </w:r>
    </w:p>
    <w:p w14:paraId="005454D1" w14:textId="4EB7378F" w:rsidR="00297DD0" w:rsidRDefault="00297DD0" w:rsidP="00297DD0">
      <w:pPr>
        <w:pStyle w:val="List1Numbered1"/>
      </w:pPr>
      <w:r>
        <w:t xml:space="preserve">Australian Commonwealth Coat of Arms — not licensed under Creative Commons, see </w:t>
      </w:r>
      <w:hyperlink r:id="rId17" w:tooltip="Australian Government Coat of Arms" w:history="1">
        <w:r w:rsidRPr="00686753">
          <w:rPr>
            <w:rStyle w:val="Hyperlink"/>
          </w:rPr>
          <w:t>www.pmc.gov.au/government/commonwealth-coat-arms</w:t>
        </w:r>
      </w:hyperlink>
    </w:p>
    <w:p w14:paraId="3E468B6D" w14:textId="77777777" w:rsidR="00297DD0" w:rsidRDefault="00297DD0" w:rsidP="00297DD0">
      <w:pPr>
        <w:pStyle w:val="List1Numbered1"/>
      </w:pPr>
      <w:r>
        <w:t>Certain images and photographs (as marked) — not licensed under Creative Commons.</w:t>
      </w:r>
    </w:p>
    <w:p w14:paraId="335FA29A" w14:textId="77777777" w:rsidR="00297DD0" w:rsidRDefault="00297DD0" w:rsidP="00297DD0">
      <w:pPr>
        <w:suppressAutoHyphens w:val="0"/>
        <w:spacing w:before="120" w:after="120" w:line="240" w:lineRule="auto"/>
      </w:pPr>
      <w:r>
        <w:t>If you are deaf or have a hearing or speech impairment, you can use the National Relay Service to ask for the NDIS Quality and Safeguards Commission on 1800 035 544.</w:t>
      </w:r>
    </w:p>
    <w:p w14:paraId="76EDB32D" w14:textId="56A3728B" w:rsidR="00297DD0" w:rsidRDefault="00297DD0" w:rsidP="00297DD0">
      <w:pPr>
        <w:suppressAutoHyphens w:val="0"/>
        <w:spacing w:before="120" w:after="120" w:line="240" w:lineRule="auto"/>
      </w:pPr>
      <w:r>
        <w:t>TTY users—phone 133 677 and ask for 1800 035 544.</w:t>
      </w:r>
    </w:p>
    <w:p w14:paraId="17FFBF42" w14:textId="474ADE76" w:rsidR="00297DD0" w:rsidRDefault="00297DD0" w:rsidP="00297DD0">
      <w:pPr>
        <w:suppressAutoHyphens w:val="0"/>
        <w:spacing w:before="120" w:after="120" w:line="240" w:lineRule="auto"/>
      </w:pPr>
      <w:r>
        <w:t xml:space="preserve">Speak and Listen users — phone 1300 555 727 and ask for 1800 035 544. Internet relay users — visit the National Relay Service website at </w:t>
      </w:r>
      <w:hyperlink r:id="rId18" w:tooltip="National Relay Service" w:history="1">
        <w:r w:rsidRPr="00686753">
          <w:rPr>
            <w:rStyle w:val="Hyperlink"/>
          </w:rPr>
          <w:t>https://internet-relay.nrscall.gov.au/</w:t>
        </w:r>
      </w:hyperlink>
    </w:p>
    <w:p w14:paraId="49590ED5" w14:textId="77777777" w:rsidR="00297DD0" w:rsidRDefault="00297DD0" w:rsidP="00297DD0">
      <w:pPr>
        <w:suppressAutoHyphens w:val="0"/>
        <w:spacing w:before="120" w:after="120" w:line="240" w:lineRule="auto"/>
      </w:pPr>
      <w:r>
        <w:t>WARNING: Aboriginal and Torres Strait Islander readers are warned this document may contain images of deceased persons.</w:t>
      </w:r>
    </w:p>
    <w:p w14:paraId="789AE2A2" w14:textId="77777777" w:rsidR="00297DD0" w:rsidRDefault="00297DD0" w:rsidP="00297DD0">
      <w:pPr>
        <w:suppressAutoHyphens w:val="0"/>
        <w:spacing w:before="120" w:after="120" w:line="240" w:lineRule="auto"/>
      </w:pPr>
      <w:r>
        <w:t>Connect with the NDIS Quality and Safeguards Commission via social media:</w:t>
      </w:r>
    </w:p>
    <w:p w14:paraId="68F55836" w14:textId="6C0ED73A" w:rsidR="00297DD0" w:rsidRDefault="00B45257" w:rsidP="00297DD0">
      <w:pPr>
        <w:suppressAutoHyphens w:val="0"/>
        <w:spacing w:before="120" w:after="120" w:line="240" w:lineRule="auto"/>
      </w:pPr>
      <w:hyperlink r:id="rId19" w:tooltip="NDIS Commission on LinkedIn" w:history="1">
        <w:r w:rsidR="00297DD0" w:rsidRPr="00686753">
          <w:rPr>
            <w:rStyle w:val="Hyperlink"/>
          </w:rPr>
          <w:t>www.linkedin.com/company/ndiscommission</w:t>
        </w:r>
      </w:hyperlink>
      <w:r w:rsidR="00297DD0">
        <w:t xml:space="preserve"> </w:t>
      </w:r>
    </w:p>
    <w:p w14:paraId="2745F718" w14:textId="4BAE952A" w:rsidR="00297DD0" w:rsidRDefault="00B45257" w:rsidP="00297DD0">
      <w:pPr>
        <w:suppressAutoHyphens w:val="0"/>
        <w:spacing w:before="120" w:after="120" w:line="240" w:lineRule="auto"/>
      </w:pPr>
      <w:hyperlink r:id="rId20" w:tooltip="NDIS Commission on Facebook" w:history="1">
        <w:r w:rsidR="00297DD0" w:rsidRPr="00686753">
          <w:rPr>
            <w:rStyle w:val="Hyperlink"/>
          </w:rPr>
          <w:t>www.facebook.com/ndiscommission</w:t>
        </w:r>
      </w:hyperlink>
    </w:p>
    <w:p w14:paraId="422527A3" w14:textId="77777777" w:rsidR="00297DD0" w:rsidRDefault="00297DD0" w:rsidP="00297DD0">
      <w:pPr>
        <w:suppressAutoHyphens w:val="0"/>
        <w:spacing w:before="120" w:after="120" w:line="240" w:lineRule="auto"/>
      </w:pPr>
    </w:p>
    <w:p w14:paraId="789E37C9" w14:textId="77777777" w:rsidR="00297DD0" w:rsidRDefault="00297DD0">
      <w:pPr>
        <w:suppressAutoHyphens w:val="0"/>
        <w:spacing w:before="120" w:after="120" w:line="240" w:lineRule="auto"/>
      </w:pPr>
      <w:r>
        <w:br w:type="page"/>
      </w:r>
    </w:p>
    <w:p w14:paraId="68CF175F" w14:textId="77777777" w:rsidR="007D6085" w:rsidRDefault="007D6085" w:rsidP="007D6085">
      <w:pPr>
        <w:pStyle w:val="Heading1"/>
      </w:pPr>
      <w:bookmarkStart w:id="1" w:name="_Toc144222442"/>
      <w:bookmarkStart w:id="2" w:name="_Toc144287936"/>
      <w:bookmarkStart w:id="3" w:name="_Toc144302589"/>
      <w:r>
        <w:lastRenderedPageBreak/>
        <w:t>Acknowledgement of Country</w:t>
      </w:r>
      <w:bookmarkEnd w:id="1"/>
      <w:bookmarkEnd w:id="2"/>
      <w:bookmarkEnd w:id="3"/>
    </w:p>
    <w:p w14:paraId="3682DF93" w14:textId="132123A0" w:rsidR="00172E75" w:rsidRPr="00452D48" w:rsidRDefault="007D6085" w:rsidP="00172E75">
      <w:r>
        <w:t xml:space="preserve">The NDIS Quality and Safeguards Commission acknowledges the traditional custodians of </w:t>
      </w:r>
      <w:r w:rsidR="003039A4">
        <w:t xml:space="preserve">all </w:t>
      </w:r>
      <w:r>
        <w:t>the land</w:t>
      </w:r>
      <w:r w:rsidR="003039A4">
        <w:t>s</w:t>
      </w:r>
      <w:r>
        <w:t xml:space="preserve"> on which we work.</w:t>
      </w:r>
      <w:r w:rsidR="00FA7928">
        <w:t xml:space="preserve"> </w:t>
      </w:r>
      <w:r>
        <w:t>We pay our respects to their Elders past</w:t>
      </w:r>
      <w:r w:rsidR="00123CAD">
        <w:t xml:space="preserve">, present </w:t>
      </w:r>
      <w:r>
        <w:t xml:space="preserve">and </w:t>
      </w:r>
      <w:r w:rsidR="00123CAD">
        <w:t>emerging</w:t>
      </w:r>
      <w:r w:rsidR="00FA7928">
        <w:t>.</w:t>
      </w:r>
      <w:r w:rsidR="00220B35">
        <w:t xml:space="preserve"> </w:t>
      </w:r>
      <w:r w:rsidR="000D607F">
        <w:t xml:space="preserve">We </w:t>
      </w:r>
      <w:r w:rsidR="00E31BAC">
        <w:t xml:space="preserve">thank all </w:t>
      </w:r>
      <w:r w:rsidR="00EE788F">
        <w:t xml:space="preserve">Aboriginal and Torres Strait Islander people who share their knowledge </w:t>
      </w:r>
      <w:r w:rsidR="00822628">
        <w:t xml:space="preserve">of country and culture </w:t>
      </w:r>
      <w:r w:rsidR="00EE788F">
        <w:t xml:space="preserve">with us </w:t>
      </w:r>
      <w:r w:rsidR="00B00911">
        <w:t xml:space="preserve">so that we can work together to shape </w:t>
      </w:r>
      <w:r w:rsidR="007A085D">
        <w:t xml:space="preserve">culturally appropriate </w:t>
      </w:r>
      <w:r w:rsidR="006A6EA2">
        <w:t>services for a more inclusive society.</w:t>
      </w:r>
      <w:r w:rsidR="00220B35">
        <w:t xml:space="preserve"> </w:t>
      </w:r>
      <w:bookmarkStart w:id="4" w:name="_Introduction"/>
      <w:bookmarkEnd w:id="4"/>
    </w:p>
    <w:p w14:paraId="4B678CFE" w14:textId="5ADB1ED7" w:rsidR="00892FC0" w:rsidRDefault="00892FC0" w:rsidP="00892FC0">
      <w:pPr>
        <w:pStyle w:val="Heading1"/>
      </w:pPr>
      <w:bookmarkStart w:id="5" w:name="_Toc144222443"/>
      <w:bookmarkStart w:id="6" w:name="_Toc144287937"/>
      <w:bookmarkStart w:id="7" w:name="_Toc144302590"/>
      <w:r>
        <w:t>Statement of preparation</w:t>
      </w:r>
      <w:bookmarkEnd w:id="5"/>
      <w:bookmarkEnd w:id="6"/>
      <w:bookmarkEnd w:id="7"/>
    </w:p>
    <w:p w14:paraId="750686D0" w14:textId="0D4C1930" w:rsidR="00892FC0" w:rsidRDefault="00892FC0" w:rsidP="00892FC0">
      <w:pPr>
        <w:pStyle w:val="firstparagraph"/>
      </w:pPr>
      <w:bookmarkStart w:id="8" w:name="_Hlk140753447"/>
      <w:r w:rsidRPr="00892FC0">
        <w:rPr>
          <w:sz w:val="22"/>
          <w:szCs w:val="20"/>
        </w:rPr>
        <w:t xml:space="preserve">I, Tracy Mackey, as the accountable authority of the NDIS Quality and Safeguards Commission (NDIS Commission), am pleased </w:t>
      </w:r>
      <w:bookmarkEnd w:id="8"/>
      <w:r w:rsidRPr="00892FC0">
        <w:rPr>
          <w:sz w:val="22"/>
          <w:szCs w:val="20"/>
        </w:rPr>
        <w:t xml:space="preserve">to present the 2023–24 NDIS Quality and Safeguards Commission Corporate Plan. The plan covers the periods 2023–24 through to 2026–27, as required under paragraph 35(1)(b) of the </w:t>
      </w:r>
      <w:r w:rsidRPr="00766A67">
        <w:rPr>
          <w:i/>
          <w:sz w:val="22"/>
          <w:szCs w:val="20"/>
        </w:rPr>
        <w:t>Public Governance, Performance and Accountability Act 2013</w:t>
      </w:r>
      <w:r w:rsidRPr="00892FC0">
        <w:rPr>
          <w:sz w:val="22"/>
          <w:szCs w:val="20"/>
        </w:rPr>
        <w:t xml:space="preserve"> and to aligns in aggregate with the </w:t>
      </w:r>
      <w:r w:rsidR="0076271C">
        <w:rPr>
          <w:sz w:val="22"/>
          <w:szCs w:val="20"/>
        </w:rPr>
        <w:t xml:space="preserve">NDIS </w:t>
      </w:r>
      <w:r w:rsidRPr="00892FC0">
        <w:rPr>
          <w:sz w:val="22"/>
          <w:szCs w:val="20"/>
        </w:rPr>
        <w:t>Commission’s five-year strategic outlook.</w:t>
      </w:r>
    </w:p>
    <w:p w14:paraId="45A7C6D5" w14:textId="180B941F" w:rsidR="00892FC0" w:rsidRPr="00452D48" w:rsidRDefault="000559FB" w:rsidP="00995ABE">
      <w:pPr>
        <w:pStyle w:val="firstparagraph"/>
        <w:rPr>
          <w:b/>
          <w:bCs/>
          <w:sz w:val="22"/>
          <w:szCs w:val="20"/>
        </w:rPr>
      </w:pPr>
      <w:r w:rsidRPr="00452D48">
        <w:rPr>
          <w:b/>
          <w:bCs/>
          <w:sz w:val="22"/>
          <w:szCs w:val="20"/>
        </w:rPr>
        <w:t>Trac</w:t>
      </w:r>
      <w:r w:rsidR="00892FC0" w:rsidRPr="00452D48">
        <w:rPr>
          <w:b/>
          <w:bCs/>
          <w:sz w:val="22"/>
          <w:szCs w:val="20"/>
        </w:rPr>
        <w:t>y Mackey</w:t>
      </w:r>
    </w:p>
    <w:p w14:paraId="62F5CEF2" w14:textId="341D9098" w:rsidR="00892FC0" w:rsidRDefault="00892FC0" w:rsidP="00892FC0">
      <w:r>
        <w:t>NDIS Quality and Safeguards Commissioner</w:t>
      </w:r>
    </w:p>
    <w:p w14:paraId="2DF3409F" w14:textId="20DA67EF" w:rsidR="00892FC0" w:rsidRPr="00892FC0" w:rsidRDefault="00892FC0" w:rsidP="00892FC0">
      <w:r>
        <w:t>31 August 2023</w:t>
      </w:r>
    </w:p>
    <w:p w14:paraId="4880EAE1" w14:textId="2F861386" w:rsidR="007D6085" w:rsidRDefault="007D6085" w:rsidP="00892FC0">
      <w:pPr>
        <w:pStyle w:val="Heading1"/>
      </w:pPr>
      <w:r>
        <w:br w:type="page"/>
      </w:r>
    </w:p>
    <w:p w14:paraId="14BF8665" w14:textId="7FDCD16F" w:rsidR="007D6085" w:rsidRPr="00B22C6A" w:rsidRDefault="00892FC0" w:rsidP="007D6085">
      <w:pPr>
        <w:pStyle w:val="Heading1"/>
        <w:rPr>
          <w:rFonts w:asciiTheme="minorHAnsi" w:eastAsiaTheme="minorHAnsi" w:hAnsiTheme="minorHAnsi" w:cstheme="minorBidi"/>
          <w:b w:val="0"/>
          <w:color w:val="000000" w:themeColor="text1"/>
          <w:sz w:val="22"/>
          <w:szCs w:val="20"/>
        </w:rPr>
      </w:pPr>
      <w:bookmarkStart w:id="9" w:name="_Toc144222444"/>
      <w:bookmarkStart w:id="10" w:name="_Toc144287938"/>
      <w:bookmarkStart w:id="11" w:name="_Toc144302591"/>
      <w:r>
        <w:lastRenderedPageBreak/>
        <w:t>M</w:t>
      </w:r>
      <w:r w:rsidR="001F1CDE">
        <w:t xml:space="preserve">essage from the </w:t>
      </w:r>
      <w:r w:rsidR="007D6085">
        <w:t>Commissioner</w:t>
      </w:r>
      <w:bookmarkEnd w:id="9"/>
      <w:bookmarkEnd w:id="10"/>
      <w:bookmarkEnd w:id="11"/>
      <w:r w:rsidR="00B22C6A">
        <w:t xml:space="preserve"> </w:t>
      </w:r>
    </w:p>
    <w:p w14:paraId="4AFCC813" w14:textId="7CCBDD4E" w:rsidR="00997399" w:rsidRDefault="00997399" w:rsidP="00997399">
      <w:pPr>
        <w:suppressAutoHyphens w:val="0"/>
        <w:spacing w:before="120" w:after="120" w:line="240" w:lineRule="auto"/>
      </w:pPr>
      <w:r>
        <w:t>The National Disability Insurance Scheme (NDIS) assists people with permanent and significant disability to access the supports and services that allow them</w:t>
      </w:r>
      <w:r w:rsidR="003B0E2C">
        <w:t xml:space="preserve"> to choose what a good life and </w:t>
      </w:r>
      <w:r w:rsidR="00B114F2">
        <w:t xml:space="preserve">what consumer </w:t>
      </w:r>
      <w:r w:rsidR="003B0E2C">
        <w:t xml:space="preserve">independence looks like for them. </w:t>
      </w:r>
      <w:r>
        <w:t>The NDIS Commission is the national regulator</w:t>
      </w:r>
      <w:r w:rsidR="003B0E2C">
        <w:t xml:space="preserve">y authority responsible </w:t>
      </w:r>
      <w:r w:rsidR="00ED1C58">
        <w:t>for upholding the</w:t>
      </w:r>
      <w:r w:rsidR="003B0E2C">
        <w:t xml:space="preserve"> rights of people with disability accessing the </w:t>
      </w:r>
      <w:r w:rsidR="00ED1C58">
        <w:t>NDIS</w:t>
      </w:r>
      <w:r w:rsidR="003B0E2C">
        <w:t>.</w:t>
      </w:r>
      <w:r>
        <w:t xml:space="preserve"> We make sure </w:t>
      </w:r>
      <w:r w:rsidR="00ED1C58">
        <w:t>the supports and services participants</w:t>
      </w:r>
      <w:r>
        <w:t xml:space="preserve"> use to live the life they want</w:t>
      </w:r>
      <w:r w:rsidR="000F332B">
        <w:t>,</w:t>
      </w:r>
      <w:r>
        <w:t xml:space="preserve"> are safe and offered to the highest possible quality. </w:t>
      </w:r>
    </w:p>
    <w:p w14:paraId="7ED2D5DE" w14:textId="33F604EE" w:rsidR="00B114F2" w:rsidRDefault="00DA36C0" w:rsidP="00DA36C0">
      <w:pPr>
        <w:suppressAutoHyphens w:val="0"/>
        <w:spacing w:before="120" w:after="120" w:line="240" w:lineRule="auto"/>
      </w:pPr>
      <w:r w:rsidRPr="008B332D">
        <w:t xml:space="preserve">The </w:t>
      </w:r>
      <w:r>
        <w:t>NDIS Commission</w:t>
      </w:r>
      <w:r w:rsidRPr="008B332D">
        <w:t>’s governance and strategic direction are underpinned by a planning framework</w:t>
      </w:r>
      <w:r w:rsidR="009C5960">
        <w:t xml:space="preserve"> guide</w:t>
      </w:r>
      <w:r w:rsidR="00383468">
        <w:t>d</w:t>
      </w:r>
      <w:r w:rsidR="009C5960">
        <w:t xml:space="preserve"> </w:t>
      </w:r>
      <w:r w:rsidR="001E2642">
        <w:t>by our</w:t>
      </w:r>
      <w:r w:rsidR="009C5960">
        <w:t xml:space="preserve"> </w:t>
      </w:r>
      <w:r>
        <w:t>Strategic Plan</w:t>
      </w:r>
      <w:r w:rsidR="00CA448E">
        <w:t xml:space="preserve"> 2022-</w:t>
      </w:r>
      <w:r w:rsidR="001E2642">
        <w:t>2027 that</w:t>
      </w:r>
      <w:r w:rsidR="009C5960">
        <w:t xml:space="preserve"> outlines our </w:t>
      </w:r>
      <w:r>
        <w:t>visi</w:t>
      </w:r>
      <w:r w:rsidR="003023B7">
        <w:t>on, purpose</w:t>
      </w:r>
      <w:r w:rsidR="00B114F2">
        <w:t xml:space="preserve"> and impact</w:t>
      </w:r>
      <w:r>
        <w:t xml:space="preserve"> areas. </w:t>
      </w:r>
    </w:p>
    <w:p w14:paraId="56D0D6F6" w14:textId="190594AD" w:rsidR="00DA36C0" w:rsidRPr="00DA36C0" w:rsidRDefault="00DA36C0" w:rsidP="00DA36C0">
      <w:pPr>
        <w:suppressAutoHyphens w:val="0"/>
        <w:spacing w:before="120" w:after="120" w:line="240" w:lineRule="auto"/>
      </w:pPr>
      <w:r>
        <w:t>The Corporate P</w:t>
      </w:r>
      <w:r w:rsidRPr="008B332D">
        <w:t xml:space="preserve">lan is the </w:t>
      </w:r>
      <w:r>
        <w:t>NDIS Commission</w:t>
      </w:r>
      <w:r w:rsidRPr="008B332D">
        <w:t>’s primary planni</w:t>
      </w:r>
      <w:r>
        <w:t>ng document and covers a four-year period, 202</w:t>
      </w:r>
      <w:r w:rsidR="00B45257">
        <w:t>3</w:t>
      </w:r>
      <w:r>
        <w:t>–2</w:t>
      </w:r>
      <w:r w:rsidR="00B45257">
        <w:t>4</w:t>
      </w:r>
      <w:bookmarkStart w:id="12" w:name="_GoBack"/>
      <w:bookmarkEnd w:id="12"/>
      <w:r w:rsidRPr="008B332D">
        <w:t xml:space="preserve"> to 2026–27.</w:t>
      </w:r>
      <w:r w:rsidR="00ED1C58">
        <w:t xml:space="preserve"> This second </w:t>
      </w:r>
      <w:r>
        <w:t xml:space="preserve">plan outlines </w:t>
      </w:r>
      <w:r w:rsidR="00B45257">
        <w:t>the</w:t>
      </w:r>
      <w:r>
        <w:t xml:space="preserve"> factors that influence the </w:t>
      </w:r>
      <w:r w:rsidR="0076271C">
        <w:t xml:space="preserve">NDIS </w:t>
      </w:r>
      <w:r>
        <w:t>Commission’s regulatory work,</w:t>
      </w:r>
      <w:r w:rsidR="000D3F95">
        <w:t xml:space="preserve"> how we stay connected with</w:t>
      </w:r>
      <w:r>
        <w:t xml:space="preserve"> </w:t>
      </w:r>
      <w:r w:rsidR="009C5960">
        <w:t>our Scheme-wide partners though</w:t>
      </w:r>
      <w:r w:rsidR="00CA448E">
        <w:t xml:space="preserve"> collaboration and engagement</w:t>
      </w:r>
      <w:r w:rsidR="00ED1C58">
        <w:t>,</w:t>
      </w:r>
      <w:r w:rsidR="00CA448E">
        <w:t xml:space="preserve"> and speaks to our priorities in growing the </w:t>
      </w:r>
      <w:r w:rsidR="0076271C">
        <w:t xml:space="preserve">NDIS </w:t>
      </w:r>
      <w:r w:rsidR="00CA448E">
        <w:t>Commission</w:t>
      </w:r>
      <w:r w:rsidR="00ED1C58">
        <w:t>’</w:t>
      </w:r>
      <w:r w:rsidR="00470E23">
        <w:t>s</w:t>
      </w:r>
      <w:r w:rsidR="009C5960">
        <w:t xml:space="preserve"> capability</w:t>
      </w:r>
      <w:r w:rsidR="003B0E2C">
        <w:t xml:space="preserve"> as we lead the way in creating impact for people with disabilities.</w:t>
      </w:r>
    </w:p>
    <w:p w14:paraId="154F4661" w14:textId="66262A53" w:rsidR="00CA448E" w:rsidRDefault="00CA448E" w:rsidP="00CA448E">
      <w:pPr>
        <w:suppressAutoHyphens w:val="0"/>
        <w:spacing w:before="120" w:after="120" w:line="240" w:lineRule="auto"/>
      </w:pPr>
      <w:r>
        <w:t xml:space="preserve">Over the four </w:t>
      </w:r>
      <w:r w:rsidR="001E2642">
        <w:t>years,</w:t>
      </w:r>
      <w:r>
        <w:t xml:space="preserve"> </w:t>
      </w:r>
      <w:r w:rsidR="004809FA">
        <w:t xml:space="preserve">the </w:t>
      </w:r>
      <w:r w:rsidR="00604C8A">
        <w:t xml:space="preserve">NDIS </w:t>
      </w:r>
      <w:r w:rsidR="004809FA">
        <w:t>Commission’s priority</w:t>
      </w:r>
      <w:r>
        <w:t xml:space="preserve"> is</w:t>
      </w:r>
      <w:r w:rsidR="004809FA">
        <w:t xml:space="preserve"> to move from start up to scale up and grow our maturity as a contemporary </w:t>
      </w:r>
      <w:r w:rsidR="004F39A8">
        <w:t>purpose-</w:t>
      </w:r>
      <w:r w:rsidR="004809FA">
        <w:t>centred regulator</w:t>
      </w:r>
      <w:r w:rsidR="004F39A8">
        <w:t xml:space="preserve"> that sees </w:t>
      </w:r>
      <w:r w:rsidR="004F39A8" w:rsidRPr="00CA448E">
        <w:t>people with disability achieve their aspirations.</w:t>
      </w:r>
      <w:r>
        <w:t xml:space="preserve"> </w:t>
      </w:r>
    </w:p>
    <w:p w14:paraId="30CF44BD" w14:textId="22650306" w:rsidR="00CA448E" w:rsidRPr="00CA448E" w:rsidRDefault="009C5960" w:rsidP="000D3F95">
      <w:pPr>
        <w:suppressAutoHyphens w:val="0"/>
        <w:spacing w:before="120" w:after="120" w:line="240" w:lineRule="auto"/>
      </w:pPr>
      <w:r>
        <w:t>The impact of our</w:t>
      </w:r>
      <w:r w:rsidR="00CA448E">
        <w:t xml:space="preserve"> work is </w:t>
      </w:r>
      <w:r>
        <w:t xml:space="preserve">a regulated, innovative and </w:t>
      </w:r>
      <w:r w:rsidR="00AA4C7F">
        <w:t>diverse market</w:t>
      </w:r>
      <w:r>
        <w:t xml:space="preserve"> </w:t>
      </w:r>
      <w:r w:rsidR="00CA448E">
        <w:t>that optimise</w:t>
      </w:r>
      <w:r>
        <w:t>s</w:t>
      </w:r>
      <w:r w:rsidR="000D3F95">
        <w:t xml:space="preserve"> people with disability having</w:t>
      </w:r>
      <w:r w:rsidR="00CA448E" w:rsidRPr="00CA448E">
        <w:t xml:space="preserve"> the independence and choice they seek and deserve.</w:t>
      </w:r>
      <w:r w:rsidR="00220B35">
        <w:t xml:space="preserve"> </w:t>
      </w:r>
      <w:r w:rsidR="001E2642">
        <w:t>Our enduring</w:t>
      </w:r>
      <w:r>
        <w:t xml:space="preserve"> </w:t>
      </w:r>
      <w:r w:rsidR="001E2642">
        <w:t xml:space="preserve">commitment to </w:t>
      </w:r>
      <w:r w:rsidR="001E2642" w:rsidRPr="00CA448E">
        <w:t>purpose</w:t>
      </w:r>
      <w:r w:rsidR="00CA448E" w:rsidRPr="00CA448E">
        <w:t>-</w:t>
      </w:r>
      <w:r w:rsidR="001E2642" w:rsidRPr="00CA448E">
        <w:t xml:space="preserve">centred </w:t>
      </w:r>
      <w:r w:rsidR="001E2642">
        <w:t>regulation</w:t>
      </w:r>
      <w:r>
        <w:t xml:space="preserve"> </w:t>
      </w:r>
      <w:r w:rsidR="00CA448E" w:rsidRPr="00CA448E">
        <w:t xml:space="preserve">involves channelling our collective focus toward NDIS participants, so that they are </w:t>
      </w:r>
      <w:r w:rsidR="00AA4C7F">
        <w:t>central to</w:t>
      </w:r>
      <w:r w:rsidR="00CA448E" w:rsidRPr="00CA448E">
        <w:t xml:space="preserve"> all our decision-making.</w:t>
      </w:r>
      <w:r w:rsidR="00CA448E" w:rsidRPr="000D3F95">
        <w:t xml:space="preserve"> Getting this right means that participants, stakeholders and all </w:t>
      </w:r>
      <w:r w:rsidR="000D3F95" w:rsidRPr="000D3F95">
        <w:t>Australians will</w:t>
      </w:r>
      <w:r w:rsidR="00CA448E" w:rsidRPr="000D3F95">
        <w:t xml:space="preserve"> have </w:t>
      </w:r>
      <w:r w:rsidR="000D3F95">
        <w:t xml:space="preserve">trust and </w:t>
      </w:r>
      <w:r w:rsidR="00CA448E" w:rsidRPr="000D3F95">
        <w:t xml:space="preserve">confidence </w:t>
      </w:r>
      <w:r w:rsidR="000D3F95">
        <w:t>in the</w:t>
      </w:r>
      <w:r w:rsidR="00A53184">
        <w:t xml:space="preserve"> </w:t>
      </w:r>
      <w:r w:rsidR="00604C8A">
        <w:t>NDIS</w:t>
      </w:r>
      <w:r w:rsidR="000D3F95">
        <w:t xml:space="preserve"> Commission’s </w:t>
      </w:r>
      <w:r w:rsidR="00CA448E" w:rsidRPr="000D3F95">
        <w:t>human rights based regulation</w:t>
      </w:r>
      <w:r w:rsidR="00ED1C58">
        <w:t xml:space="preserve"> and safeguarding.</w:t>
      </w:r>
    </w:p>
    <w:p w14:paraId="30C9CFD8" w14:textId="35EEE0C7" w:rsidR="004809FA" w:rsidRDefault="000D3F95" w:rsidP="00997399">
      <w:pPr>
        <w:suppressAutoHyphens w:val="0"/>
        <w:spacing w:before="120" w:after="120" w:line="240" w:lineRule="auto"/>
      </w:pPr>
      <w:r>
        <w:t>In 2023</w:t>
      </w:r>
      <w:r w:rsidR="003F3D80">
        <w:t>-</w:t>
      </w:r>
      <w:r>
        <w:t>24 a</w:t>
      </w:r>
      <w:r w:rsidR="004F39A8">
        <w:t xml:space="preserve">t </w:t>
      </w:r>
      <w:r w:rsidR="003B0E2C">
        <w:t>all levels and locations across the</w:t>
      </w:r>
      <w:r w:rsidR="00604C8A">
        <w:t xml:space="preserve"> NDIS</w:t>
      </w:r>
      <w:r w:rsidR="003B0E2C">
        <w:t xml:space="preserve"> Commission</w:t>
      </w:r>
      <w:r w:rsidR="00DA36C0">
        <w:t>,</w:t>
      </w:r>
      <w:r w:rsidR="004F39A8">
        <w:t xml:space="preserve"> w</w:t>
      </w:r>
      <w:r w:rsidR="004809FA">
        <w:t>e</w:t>
      </w:r>
      <w:r>
        <w:t xml:space="preserve"> will continue to keep learning and </w:t>
      </w:r>
      <w:r w:rsidR="003B0E2C">
        <w:t>invest</w:t>
      </w:r>
      <w:r w:rsidR="004809FA">
        <w:t xml:space="preserve"> time listening to what participants </w:t>
      </w:r>
      <w:r w:rsidR="003B0E2C">
        <w:t>have</w:t>
      </w:r>
      <w:r w:rsidR="004809FA">
        <w:t xml:space="preserve"> to say about their scheme</w:t>
      </w:r>
      <w:r w:rsidR="00911978">
        <w:t>,</w:t>
      </w:r>
      <w:r w:rsidR="004809FA">
        <w:t xml:space="preserve"> and how we best support them</w:t>
      </w:r>
      <w:r w:rsidR="003B0E2C">
        <w:t>.</w:t>
      </w:r>
      <w:r w:rsidR="004809FA">
        <w:t xml:space="preserve"> </w:t>
      </w:r>
      <w:r w:rsidR="00911978">
        <w:t xml:space="preserve">Stakeholders are </w:t>
      </w:r>
      <w:r w:rsidR="004809FA">
        <w:t>also an important source</w:t>
      </w:r>
      <w:r w:rsidR="004F39A8">
        <w:t xml:space="preserve"> of learning</w:t>
      </w:r>
      <w:r w:rsidR="00911978">
        <w:t xml:space="preserve"> and insights</w:t>
      </w:r>
      <w:r w:rsidR="00604C8A">
        <w:t>,</w:t>
      </w:r>
      <w:r w:rsidR="003B0E2C">
        <w:t xml:space="preserve"> and a</w:t>
      </w:r>
      <w:r w:rsidR="004F39A8">
        <w:t xml:space="preserve">ll of these connections, </w:t>
      </w:r>
      <w:r w:rsidR="004809FA">
        <w:t>conversation</w:t>
      </w:r>
      <w:r w:rsidR="004F39A8">
        <w:t>s and engagement</w:t>
      </w:r>
      <w:r w:rsidR="003B0E2C">
        <w:t>s will</w:t>
      </w:r>
      <w:r w:rsidR="004F39A8">
        <w:t xml:space="preserve"> </w:t>
      </w:r>
      <w:r w:rsidR="003B0E2C">
        <w:t xml:space="preserve">inform the delivery of the </w:t>
      </w:r>
      <w:r w:rsidR="004F39A8">
        <w:t>priority actions in this Corporate Plan.</w:t>
      </w:r>
    </w:p>
    <w:p w14:paraId="09BD4740" w14:textId="6748CCE3" w:rsidR="003B0E2C" w:rsidRDefault="0079387A" w:rsidP="008731CF">
      <w:pPr>
        <w:suppressAutoHyphens w:val="0"/>
        <w:spacing w:before="120" w:after="120" w:line="240" w:lineRule="auto"/>
      </w:pPr>
      <w:r>
        <w:t>T</w:t>
      </w:r>
      <w:r w:rsidR="00604C8A">
        <w:t xml:space="preserve">he NDIS </w:t>
      </w:r>
      <w:r w:rsidR="00ED1C58">
        <w:t>Commission through the 2023-2</w:t>
      </w:r>
      <w:r w:rsidRPr="00BF1944">
        <w:t xml:space="preserve">4 Budget received </w:t>
      </w:r>
      <w:r>
        <w:t xml:space="preserve">additional funding of $142.6 million over two years to support the </w:t>
      </w:r>
      <w:r w:rsidR="00604C8A">
        <w:t xml:space="preserve">NDIS </w:t>
      </w:r>
      <w:r w:rsidR="00911978">
        <w:t>Commission deliver against it</w:t>
      </w:r>
      <w:r w:rsidR="000F3262">
        <w:t>s</w:t>
      </w:r>
      <w:r w:rsidR="00911978">
        <w:t xml:space="preserve"> regulatory responsibilities. </w:t>
      </w:r>
      <w:r w:rsidR="00ED1C58">
        <w:t>Of this funding</w:t>
      </w:r>
      <w:r w:rsidR="00ED1C58" w:rsidRPr="00AA4C7F">
        <w:t xml:space="preserve">, </w:t>
      </w:r>
      <w:r w:rsidRPr="00AA4C7F">
        <w:t>$120.3 million</w:t>
      </w:r>
      <w:r>
        <w:t xml:space="preserve"> over two years </w:t>
      </w:r>
      <w:r w:rsidR="00D0495D">
        <w:t xml:space="preserve">will be focused on </w:t>
      </w:r>
      <w:r>
        <w:t>scal</w:t>
      </w:r>
      <w:r w:rsidR="00D0495D">
        <w:t xml:space="preserve">ing </w:t>
      </w:r>
      <w:r w:rsidR="008731CF">
        <w:t>u</w:t>
      </w:r>
      <w:r w:rsidR="00D0495D">
        <w:t xml:space="preserve">p our </w:t>
      </w:r>
      <w:r>
        <w:t>workforce and workforce capability</w:t>
      </w:r>
      <w:r w:rsidR="00D0495D">
        <w:t xml:space="preserve"> to allow the NDIS Commission to grow in ali</w:t>
      </w:r>
      <w:r w:rsidR="003B0E2C">
        <w:t>gnment with demand for the NDIS.</w:t>
      </w:r>
      <w:r w:rsidR="00220B35">
        <w:t xml:space="preserve"> </w:t>
      </w:r>
    </w:p>
    <w:p w14:paraId="0E895F02" w14:textId="6EE90D1C" w:rsidR="004C0217" w:rsidRDefault="00997399" w:rsidP="008731CF">
      <w:pPr>
        <w:suppressAutoHyphens w:val="0"/>
        <w:spacing w:before="120" w:after="120" w:line="240" w:lineRule="auto"/>
      </w:pPr>
      <w:r>
        <w:t xml:space="preserve">The funding allows us to accelerate important </w:t>
      </w:r>
      <w:r w:rsidR="00383468">
        <w:t xml:space="preserve">work </w:t>
      </w:r>
      <w:r>
        <w:t>across the</w:t>
      </w:r>
      <w:r w:rsidR="00604C8A">
        <w:t xml:space="preserve"> NDIS </w:t>
      </w:r>
      <w:r>
        <w:t xml:space="preserve">Commission to support more people, faster and more efficiently. Most urgently, the </w:t>
      </w:r>
      <w:r w:rsidR="00604C8A">
        <w:t xml:space="preserve">NDIS </w:t>
      </w:r>
      <w:r>
        <w:t>Commission will focus on significantly increasing our resourcin</w:t>
      </w:r>
      <w:r w:rsidR="0079387A">
        <w:t xml:space="preserve">g, particularly </w:t>
      </w:r>
      <w:r w:rsidR="008731CF">
        <w:t>frontline staff and our systems</w:t>
      </w:r>
      <w:r w:rsidR="000F332B">
        <w:t>. We will</w:t>
      </w:r>
      <w:r w:rsidR="008731CF">
        <w:t xml:space="preserve"> pr</w:t>
      </w:r>
      <w:r w:rsidR="000F332B">
        <w:t xml:space="preserve">ioritise the implementation of </w:t>
      </w:r>
      <w:r w:rsidR="008731CF">
        <w:t xml:space="preserve">the </w:t>
      </w:r>
      <w:r w:rsidR="00604C8A">
        <w:t xml:space="preserve">NDIS </w:t>
      </w:r>
      <w:r w:rsidR="008731CF">
        <w:t xml:space="preserve">Commission’s regulatory </w:t>
      </w:r>
      <w:r w:rsidR="000F332B">
        <w:t>approach and operating model that</w:t>
      </w:r>
      <w:r w:rsidR="008731CF">
        <w:t xml:space="preserve"> </w:t>
      </w:r>
      <w:r w:rsidR="000F332B">
        <w:t xml:space="preserve">further </w:t>
      </w:r>
      <w:r w:rsidR="003B0E2C">
        <w:t>enables participant</w:t>
      </w:r>
      <w:r w:rsidR="000F332B">
        <w:t xml:space="preserve"> safeguarding </w:t>
      </w:r>
      <w:r w:rsidR="008731CF">
        <w:t>and drive</w:t>
      </w:r>
      <w:r w:rsidR="000F332B">
        <w:t>s</w:t>
      </w:r>
      <w:r w:rsidR="008731CF">
        <w:t xml:space="preserve"> quality improvement in the sector.</w:t>
      </w:r>
      <w:r w:rsidR="000F332B">
        <w:t xml:space="preserve"> </w:t>
      </w:r>
      <w:r w:rsidR="00F70CC3">
        <w:t>Central to all we do will be initiatives that result in the amplification of participant voices.</w:t>
      </w:r>
    </w:p>
    <w:p w14:paraId="40AD0323" w14:textId="7D42AC0C" w:rsidR="00B114F2" w:rsidRPr="00F70CC3" w:rsidRDefault="00ED1C58" w:rsidP="00F70CC3">
      <w:pPr>
        <w:suppressAutoHyphens w:val="0"/>
        <w:spacing w:before="120" w:after="120" w:line="240" w:lineRule="auto"/>
      </w:pPr>
      <w:r w:rsidRPr="00766A67">
        <w:t xml:space="preserve">In addition to our enduring commitment to the </w:t>
      </w:r>
      <w:r w:rsidR="00604C8A" w:rsidRPr="00766A67">
        <w:t xml:space="preserve">NDIS </w:t>
      </w:r>
      <w:r w:rsidRPr="00766A67">
        <w:t>Commission</w:t>
      </w:r>
      <w:r w:rsidR="00604C8A" w:rsidRPr="00766A67">
        <w:t>’</w:t>
      </w:r>
      <w:r w:rsidRPr="00766A67">
        <w:t xml:space="preserve">s core functions as outlined in the </w:t>
      </w:r>
      <w:hyperlink r:id="rId21" w:history="1">
        <w:r w:rsidRPr="00C722A1">
          <w:rPr>
            <w:rStyle w:val="Hyperlink"/>
            <w:i/>
          </w:rPr>
          <w:t xml:space="preserve">National Disability </w:t>
        </w:r>
        <w:r w:rsidR="000F3262" w:rsidRPr="00C722A1">
          <w:rPr>
            <w:rStyle w:val="Hyperlink"/>
            <w:i/>
          </w:rPr>
          <w:t xml:space="preserve">Insurance Scheme </w:t>
        </w:r>
        <w:r w:rsidRPr="00C722A1">
          <w:rPr>
            <w:rStyle w:val="Hyperlink"/>
            <w:i/>
          </w:rPr>
          <w:t xml:space="preserve">Act </w:t>
        </w:r>
        <w:r w:rsidR="004C0217" w:rsidRPr="00C722A1">
          <w:rPr>
            <w:rStyle w:val="Hyperlink"/>
            <w:i/>
          </w:rPr>
          <w:t>2013</w:t>
        </w:r>
      </w:hyperlink>
      <w:r w:rsidR="000F3262" w:rsidRPr="00766A67">
        <w:t xml:space="preserve"> (NDIS Act)</w:t>
      </w:r>
      <w:r w:rsidR="004C0217" w:rsidRPr="00766A67">
        <w:t xml:space="preserve">, our </w:t>
      </w:r>
      <w:r w:rsidRPr="00766A67">
        <w:t>2023-24 Corporate Plan outlines our planned activities for the next 12 months</w:t>
      </w:r>
      <w:r w:rsidR="00BE37B1" w:rsidRPr="00766A67">
        <w:t>, within the four year planning period.</w:t>
      </w:r>
      <w:r w:rsidR="00220B35" w:rsidRPr="00766A67">
        <w:t xml:space="preserve"> </w:t>
      </w:r>
      <w:r w:rsidR="00BE37B1" w:rsidRPr="00766A67">
        <w:t xml:space="preserve">These activities align with our Portfolio Budget Statement measures and the impact areas in our </w:t>
      </w:r>
      <w:hyperlink r:id="rId22" w:history="1">
        <w:r w:rsidR="00BE37B1" w:rsidRPr="00C722A1">
          <w:rPr>
            <w:rStyle w:val="Hyperlink"/>
          </w:rPr>
          <w:t>Strategic Plan 2022- 2027</w:t>
        </w:r>
      </w:hyperlink>
      <w:r w:rsidRPr="00766A67">
        <w:t xml:space="preserve">; </w:t>
      </w:r>
      <w:r w:rsidR="00220B35" w:rsidRPr="00766A67">
        <w:t>t</w:t>
      </w:r>
      <w:r w:rsidRPr="00766A67">
        <w:t>he rights of people with disability, quality providers</w:t>
      </w:r>
      <w:r w:rsidR="00911978" w:rsidRPr="00766A67">
        <w:t xml:space="preserve"> and </w:t>
      </w:r>
      <w:r w:rsidRPr="00766A67">
        <w:t xml:space="preserve">workers and a </w:t>
      </w:r>
      <w:r w:rsidR="00911978" w:rsidRPr="00766A67">
        <w:t>thriving</w:t>
      </w:r>
      <w:r w:rsidRPr="00766A67">
        <w:t xml:space="preserve"> and </w:t>
      </w:r>
      <w:r w:rsidR="00911978" w:rsidRPr="00766A67">
        <w:t>diverse</w:t>
      </w:r>
      <w:r w:rsidRPr="00766A67">
        <w:t xml:space="preserve"> market.</w:t>
      </w:r>
    </w:p>
    <w:p w14:paraId="308C7484" w14:textId="18C3DCA4" w:rsidR="004C0217" w:rsidRDefault="004C0217" w:rsidP="00C502A2">
      <w:pPr>
        <w:suppressAutoHyphens w:val="0"/>
        <w:spacing w:before="360" w:after="120" w:line="240" w:lineRule="auto"/>
        <w:rPr>
          <w:rFonts w:cstheme="minorHAnsi"/>
          <w:szCs w:val="22"/>
        </w:rPr>
      </w:pPr>
      <w:r>
        <w:rPr>
          <w:rFonts w:cstheme="minorHAnsi"/>
          <w:szCs w:val="22"/>
        </w:rPr>
        <w:lastRenderedPageBreak/>
        <w:t>A</w:t>
      </w:r>
      <w:r w:rsidRPr="004C0217">
        <w:rPr>
          <w:rFonts w:cstheme="minorHAnsi"/>
          <w:szCs w:val="22"/>
        </w:rPr>
        <w:t>ll of this activity</w:t>
      </w:r>
      <w:r w:rsidR="00BE37B1">
        <w:rPr>
          <w:rFonts w:cstheme="minorHAnsi"/>
          <w:szCs w:val="22"/>
        </w:rPr>
        <w:t xml:space="preserve"> is </w:t>
      </w:r>
      <w:r w:rsidRPr="004C0217">
        <w:rPr>
          <w:rFonts w:cstheme="minorHAnsi"/>
          <w:szCs w:val="22"/>
        </w:rPr>
        <w:t>positioned to align</w:t>
      </w:r>
      <w:r w:rsidR="00F70CC3">
        <w:rPr>
          <w:rFonts w:cstheme="minorHAnsi"/>
          <w:szCs w:val="22"/>
        </w:rPr>
        <w:t xml:space="preserve"> with the Minister’s Statement of Expectations and recommendations from</w:t>
      </w:r>
      <w:r>
        <w:rPr>
          <w:rFonts w:cstheme="minorHAnsi"/>
          <w:szCs w:val="22"/>
        </w:rPr>
        <w:t xml:space="preserve"> the</w:t>
      </w:r>
      <w:r w:rsidRPr="004C0217">
        <w:rPr>
          <w:rFonts w:cstheme="minorHAnsi"/>
          <w:szCs w:val="22"/>
        </w:rPr>
        <w:t xml:space="preserve"> NDIS Independent Review and the Disability Royal Commission into Violence, Abuse, Neglect and Exploitation of People with Disability.</w:t>
      </w:r>
      <w:r>
        <w:rPr>
          <w:rFonts w:cstheme="minorHAnsi"/>
          <w:szCs w:val="22"/>
        </w:rPr>
        <w:t xml:space="preserve"> I look forward to working with participants, our stakeholders, and our scheme wide partners to meet the opportunities</w:t>
      </w:r>
      <w:r w:rsidR="008C441F">
        <w:rPr>
          <w:rFonts w:cstheme="minorHAnsi"/>
          <w:szCs w:val="22"/>
        </w:rPr>
        <w:t xml:space="preserve"> and challenges </w:t>
      </w:r>
      <w:r w:rsidR="004849AD">
        <w:rPr>
          <w:rFonts w:cstheme="minorHAnsi"/>
          <w:szCs w:val="22"/>
        </w:rPr>
        <w:t xml:space="preserve">in the year ahead, </w:t>
      </w:r>
      <w:r w:rsidR="008C441F">
        <w:rPr>
          <w:rFonts w:cstheme="minorHAnsi"/>
          <w:szCs w:val="22"/>
        </w:rPr>
        <w:t xml:space="preserve">working in partnership to deliver a sustainable scheme </w:t>
      </w:r>
      <w:r w:rsidR="000F3262">
        <w:rPr>
          <w:rFonts w:cstheme="minorHAnsi"/>
          <w:szCs w:val="22"/>
        </w:rPr>
        <w:t xml:space="preserve">in which </w:t>
      </w:r>
      <w:r w:rsidR="008C441F">
        <w:rPr>
          <w:rFonts w:cstheme="minorHAnsi"/>
          <w:szCs w:val="22"/>
        </w:rPr>
        <w:t>all Australians can have confidence.</w:t>
      </w:r>
    </w:p>
    <w:p w14:paraId="6970AEF7" w14:textId="13ED46B1" w:rsidR="00B114F2" w:rsidRDefault="003023B7" w:rsidP="00C502A2">
      <w:pPr>
        <w:suppressAutoHyphens w:val="0"/>
        <w:spacing w:before="360" w:after="120" w:line="240" w:lineRule="auto"/>
        <w:rPr>
          <w:b/>
        </w:rPr>
      </w:pPr>
      <w:r>
        <w:rPr>
          <w:rFonts w:cstheme="minorHAnsi"/>
          <w:szCs w:val="22"/>
        </w:rPr>
        <w:t xml:space="preserve">I am proud </w:t>
      </w:r>
      <w:r w:rsidR="00383468">
        <w:rPr>
          <w:rFonts w:cstheme="minorHAnsi"/>
          <w:szCs w:val="22"/>
        </w:rPr>
        <w:t>to be leading the team at the NDIS Quality and Safeguards Commission – an expert and dedicated workforce, focused on our purpose.</w:t>
      </w:r>
      <w:r w:rsidR="00220B35">
        <w:rPr>
          <w:rFonts w:cstheme="minorHAnsi"/>
          <w:szCs w:val="22"/>
        </w:rPr>
        <w:t xml:space="preserve"> </w:t>
      </w:r>
      <w:r w:rsidR="004C0217">
        <w:rPr>
          <w:rFonts w:cstheme="minorHAnsi"/>
          <w:szCs w:val="22"/>
        </w:rPr>
        <w:t>A</w:t>
      </w:r>
      <w:r>
        <w:rPr>
          <w:rFonts w:cstheme="minorHAnsi"/>
          <w:szCs w:val="22"/>
        </w:rPr>
        <w:t>s ‘</w:t>
      </w:r>
      <w:r w:rsidR="00BE37B1">
        <w:rPr>
          <w:rFonts w:cstheme="minorHAnsi"/>
          <w:i/>
          <w:szCs w:val="22"/>
        </w:rPr>
        <w:t>O</w:t>
      </w:r>
      <w:r w:rsidRPr="003023B7">
        <w:rPr>
          <w:rFonts w:cstheme="minorHAnsi"/>
          <w:i/>
          <w:szCs w:val="22"/>
        </w:rPr>
        <w:t>ne</w:t>
      </w:r>
      <w:r w:rsidR="00BE37B1">
        <w:rPr>
          <w:rFonts w:cstheme="minorHAnsi"/>
          <w:i/>
          <w:szCs w:val="22"/>
        </w:rPr>
        <w:t xml:space="preserve"> C</w:t>
      </w:r>
      <w:r w:rsidRPr="003023B7">
        <w:rPr>
          <w:rFonts w:cstheme="minorHAnsi"/>
          <w:i/>
          <w:szCs w:val="22"/>
        </w:rPr>
        <w:t>ommission</w:t>
      </w:r>
      <w:r w:rsidR="004C0217">
        <w:rPr>
          <w:rFonts w:cstheme="minorHAnsi"/>
          <w:i/>
          <w:szCs w:val="22"/>
        </w:rPr>
        <w:t>’</w:t>
      </w:r>
      <w:r>
        <w:rPr>
          <w:rFonts w:cstheme="minorHAnsi"/>
          <w:szCs w:val="22"/>
        </w:rPr>
        <w:t xml:space="preserve"> we are committed to building on </w:t>
      </w:r>
      <w:r w:rsidR="004C0217">
        <w:rPr>
          <w:rFonts w:cstheme="minorHAnsi"/>
          <w:szCs w:val="22"/>
        </w:rPr>
        <w:t>the progress we have made against our foundational activities in 2022-23</w:t>
      </w:r>
      <w:r w:rsidR="008C441F">
        <w:rPr>
          <w:rFonts w:cstheme="minorHAnsi"/>
          <w:szCs w:val="22"/>
        </w:rPr>
        <w:t>, as we step into a new phase of regulatory maturity in 2</w:t>
      </w:r>
      <w:r w:rsidR="00AA4C7F">
        <w:rPr>
          <w:rFonts w:cstheme="minorHAnsi"/>
          <w:szCs w:val="22"/>
        </w:rPr>
        <w:t>023</w:t>
      </w:r>
      <w:r w:rsidR="003F3D80">
        <w:rPr>
          <w:rFonts w:cstheme="minorHAnsi"/>
          <w:szCs w:val="22"/>
        </w:rPr>
        <w:t>-</w:t>
      </w:r>
      <w:r w:rsidR="00AA4C7F">
        <w:rPr>
          <w:rFonts w:cstheme="minorHAnsi"/>
          <w:szCs w:val="22"/>
        </w:rPr>
        <w:t>24 and deliver on this plan’s strategic</w:t>
      </w:r>
      <w:r w:rsidR="008C441F">
        <w:rPr>
          <w:rFonts w:cstheme="minorHAnsi"/>
          <w:szCs w:val="22"/>
        </w:rPr>
        <w:t xml:space="preserve"> </w:t>
      </w:r>
      <w:r w:rsidR="00BE37B1">
        <w:rPr>
          <w:rFonts w:cstheme="minorHAnsi"/>
          <w:szCs w:val="22"/>
        </w:rPr>
        <w:t xml:space="preserve">activities </w:t>
      </w:r>
      <w:r w:rsidR="008C441F">
        <w:rPr>
          <w:rFonts w:cstheme="minorHAnsi"/>
          <w:szCs w:val="22"/>
        </w:rPr>
        <w:t>and provide</w:t>
      </w:r>
      <w:r w:rsidR="00A5211A">
        <w:rPr>
          <w:rFonts w:cstheme="minorHAnsi"/>
          <w:szCs w:val="22"/>
        </w:rPr>
        <w:t xml:space="preserve"> accessible and diverse</w:t>
      </w:r>
      <w:r w:rsidR="008C441F">
        <w:rPr>
          <w:rFonts w:cstheme="minorHAnsi"/>
          <w:szCs w:val="22"/>
        </w:rPr>
        <w:t xml:space="preserve"> high quality</w:t>
      </w:r>
      <w:r w:rsidR="00A5211A">
        <w:rPr>
          <w:rFonts w:cstheme="minorHAnsi"/>
          <w:szCs w:val="22"/>
        </w:rPr>
        <w:t>,</w:t>
      </w:r>
      <w:r w:rsidR="008C441F">
        <w:rPr>
          <w:rFonts w:cstheme="minorHAnsi"/>
          <w:szCs w:val="22"/>
        </w:rPr>
        <w:t xml:space="preserve"> safe supports and services.</w:t>
      </w:r>
    </w:p>
    <w:p w14:paraId="49D04B74" w14:textId="09E67705" w:rsidR="007D6085" w:rsidRPr="002A13ED" w:rsidRDefault="007D6085" w:rsidP="00C502A2">
      <w:pPr>
        <w:suppressAutoHyphens w:val="0"/>
        <w:spacing w:before="360" w:after="120" w:line="240" w:lineRule="auto"/>
        <w:rPr>
          <w:b/>
        </w:rPr>
      </w:pPr>
      <w:r w:rsidRPr="002A13ED">
        <w:rPr>
          <w:b/>
        </w:rPr>
        <w:t>Tracy Mackey</w:t>
      </w:r>
    </w:p>
    <w:p w14:paraId="56EB853E" w14:textId="77777777" w:rsidR="007D6085" w:rsidRDefault="007D6085" w:rsidP="007D6085">
      <w:pPr>
        <w:suppressAutoHyphens w:val="0"/>
        <w:spacing w:before="120" w:after="120" w:line="240" w:lineRule="auto"/>
      </w:pPr>
      <w:r>
        <w:t xml:space="preserve">NDIS Quality and Safeguards Commissioner </w:t>
      </w:r>
    </w:p>
    <w:p w14:paraId="24638F24" w14:textId="72637796" w:rsidR="007D6085" w:rsidRDefault="00892FC0" w:rsidP="007D6085">
      <w:pPr>
        <w:suppressAutoHyphens w:val="0"/>
        <w:spacing w:before="120" w:after="120" w:line="240" w:lineRule="auto"/>
      </w:pPr>
      <w:r>
        <w:t>31</w:t>
      </w:r>
      <w:r w:rsidR="007D6085">
        <w:t xml:space="preserve"> August 202</w:t>
      </w:r>
      <w:r w:rsidR="002D76E1">
        <w:t>3</w:t>
      </w:r>
    </w:p>
    <w:p w14:paraId="0B4A6AF0" w14:textId="77777777" w:rsidR="006E08EE" w:rsidRDefault="006E08EE" w:rsidP="007D6085">
      <w:pPr>
        <w:suppressAutoHyphens w:val="0"/>
        <w:spacing w:before="120" w:after="120" w:line="240" w:lineRule="auto"/>
      </w:pPr>
    </w:p>
    <w:p w14:paraId="302E8BCE" w14:textId="77777777" w:rsidR="006E08EE" w:rsidRDefault="006E08EE" w:rsidP="007D6085">
      <w:pPr>
        <w:suppressAutoHyphens w:val="0"/>
        <w:spacing w:before="120" w:after="120" w:line="240" w:lineRule="auto"/>
      </w:pPr>
    </w:p>
    <w:p w14:paraId="1A7715F9" w14:textId="426823B4" w:rsidR="007D6085" w:rsidRDefault="007D6085" w:rsidP="007D6085">
      <w:pPr>
        <w:suppressAutoHyphens w:val="0"/>
        <w:spacing w:before="120" w:after="120" w:line="240" w:lineRule="auto"/>
      </w:pPr>
      <w:r>
        <w:br w:type="page"/>
      </w:r>
    </w:p>
    <w:sdt>
      <w:sdtPr>
        <w:rPr>
          <w:rFonts w:eastAsiaTheme="minorHAnsi" w:cstheme="minorBidi"/>
          <w:b w:val="0"/>
          <w:color w:val="auto"/>
          <w:sz w:val="24"/>
          <w:szCs w:val="20"/>
        </w:rPr>
        <w:id w:val="801731270"/>
        <w:docPartObj>
          <w:docPartGallery w:val="Table of Contents"/>
          <w:docPartUnique/>
        </w:docPartObj>
      </w:sdtPr>
      <w:sdtEndPr>
        <w:rPr>
          <w:bCs/>
          <w:noProof/>
        </w:rPr>
      </w:sdtEndPr>
      <w:sdtContent>
        <w:p w14:paraId="39516B21" w14:textId="77777777" w:rsidR="00452D48" w:rsidRDefault="00452D48" w:rsidP="00313CFF">
          <w:pPr>
            <w:pStyle w:val="TOCHeading"/>
            <w:spacing w:before="240" w:after="120"/>
          </w:pPr>
          <w:r>
            <w:t>Contents</w:t>
          </w:r>
        </w:p>
        <w:p w14:paraId="2C9264ED" w14:textId="739DE3D5" w:rsidR="00313CFF" w:rsidRDefault="00801DC5" w:rsidP="00313CFF">
          <w:pPr>
            <w:pStyle w:val="TOC1"/>
            <w:spacing w:after="0"/>
            <w:rPr>
              <w:rFonts w:asciiTheme="minorHAnsi" w:eastAsiaTheme="minorEastAsia" w:hAnsiTheme="minorHAnsi"/>
              <w:noProof/>
              <w:kern w:val="2"/>
              <w:szCs w:val="24"/>
              <w:lang w:eastAsia="en-GB"/>
              <w14:ligatures w14:val="standardContextual"/>
            </w:rPr>
          </w:pPr>
          <w:r>
            <w:rPr>
              <w:color w:val="000000" w:themeColor="text1"/>
              <w:szCs w:val="24"/>
            </w:rPr>
            <w:fldChar w:fldCharType="begin"/>
          </w:r>
          <w:r>
            <w:rPr>
              <w:color w:val="000000" w:themeColor="text1"/>
              <w:szCs w:val="24"/>
            </w:rPr>
            <w:instrText xml:space="preserve"> TOC \h \z \t "Heading 1,1,Heading 2,2" </w:instrText>
          </w:r>
          <w:r>
            <w:rPr>
              <w:color w:val="000000" w:themeColor="text1"/>
              <w:szCs w:val="24"/>
            </w:rPr>
            <w:fldChar w:fldCharType="separate"/>
          </w:r>
          <w:hyperlink w:anchor="_Toc144302589" w:history="1">
            <w:r w:rsidR="00313CFF" w:rsidRPr="009A67B5">
              <w:rPr>
                <w:rStyle w:val="Hyperlink"/>
                <w:noProof/>
              </w:rPr>
              <w:t>Acknowledgement of Country</w:t>
            </w:r>
            <w:r w:rsidR="00313CFF">
              <w:rPr>
                <w:noProof/>
                <w:webHidden/>
              </w:rPr>
              <w:tab/>
            </w:r>
            <w:r w:rsidR="00313CFF">
              <w:rPr>
                <w:noProof/>
                <w:webHidden/>
              </w:rPr>
              <w:fldChar w:fldCharType="begin"/>
            </w:r>
            <w:r w:rsidR="00313CFF">
              <w:rPr>
                <w:noProof/>
                <w:webHidden/>
              </w:rPr>
              <w:instrText xml:space="preserve"> PAGEREF _Toc144302589 \h </w:instrText>
            </w:r>
            <w:r w:rsidR="00313CFF">
              <w:rPr>
                <w:noProof/>
                <w:webHidden/>
              </w:rPr>
            </w:r>
            <w:r w:rsidR="00313CFF">
              <w:rPr>
                <w:noProof/>
                <w:webHidden/>
              </w:rPr>
              <w:fldChar w:fldCharType="separate"/>
            </w:r>
            <w:r w:rsidR="00313CFF">
              <w:rPr>
                <w:noProof/>
                <w:webHidden/>
              </w:rPr>
              <w:t>3</w:t>
            </w:r>
            <w:r w:rsidR="00313CFF">
              <w:rPr>
                <w:noProof/>
                <w:webHidden/>
              </w:rPr>
              <w:fldChar w:fldCharType="end"/>
            </w:r>
          </w:hyperlink>
        </w:p>
        <w:p w14:paraId="0736B22A" w14:textId="583B5304"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590" w:history="1">
            <w:r w:rsidR="00313CFF" w:rsidRPr="009A67B5">
              <w:rPr>
                <w:rStyle w:val="Hyperlink"/>
                <w:noProof/>
              </w:rPr>
              <w:t>Statement of preparation</w:t>
            </w:r>
            <w:r w:rsidR="00313CFF">
              <w:rPr>
                <w:noProof/>
                <w:webHidden/>
              </w:rPr>
              <w:tab/>
            </w:r>
            <w:r w:rsidR="00313CFF">
              <w:rPr>
                <w:noProof/>
                <w:webHidden/>
              </w:rPr>
              <w:fldChar w:fldCharType="begin"/>
            </w:r>
            <w:r w:rsidR="00313CFF">
              <w:rPr>
                <w:noProof/>
                <w:webHidden/>
              </w:rPr>
              <w:instrText xml:space="preserve"> PAGEREF _Toc144302590 \h </w:instrText>
            </w:r>
            <w:r w:rsidR="00313CFF">
              <w:rPr>
                <w:noProof/>
                <w:webHidden/>
              </w:rPr>
            </w:r>
            <w:r w:rsidR="00313CFF">
              <w:rPr>
                <w:noProof/>
                <w:webHidden/>
              </w:rPr>
              <w:fldChar w:fldCharType="separate"/>
            </w:r>
            <w:r w:rsidR="00313CFF">
              <w:rPr>
                <w:noProof/>
                <w:webHidden/>
              </w:rPr>
              <w:t>3</w:t>
            </w:r>
            <w:r w:rsidR="00313CFF">
              <w:rPr>
                <w:noProof/>
                <w:webHidden/>
              </w:rPr>
              <w:fldChar w:fldCharType="end"/>
            </w:r>
          </w:hyperlink>
        </w:p>
        <w:p w14:paraId="585DB578" w14:textId="6E4C9C64"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591" w:history="1">
            <w:r w:rsidR="00313CFF" w:rsidRPr="009A67B5">
              <w:rPr>
                <w:rStyle w:val="Hyperlink"/>
                <w:noProof/>
              </w:rPr>
              <w:t>Message from the Commissioner</w:t>
            </w:r>
            <w:r w:rsidR="00313CFF">
              <w:rPr>
                <w:noProof/>
                <w:webHidden/>
              </w:rPr>
              <w:tab/>
            </w:r>
            <w:r w:rsidR="00313CFF">
              <w:rPr>
                <w:noProof/>
                <w:webHidden/>
              </w:rPr>
              <w:fldChar w:fldCharType="begin"/>
            </w:r>
            <w:r w:rsidR="00313CFF">
              <w:rPr>
                <w:noProof/>
                <w:webHidden/>
              </w:rPr>
              <w:instrText xml:space="preserve"> PAGEREF _Toc144302591 \h </w:instrText>
            </w:r>
            <w:r w:rsidR="00313CFF">
              <w:rPr>
                <w:noProof/>
                <w:webHidden/>
              </w:rPr>
            </w:r>
            <w:r w:rsidR="00313CFF">
              <w:rPr>
                <w:noProof/>
                <w:webHidden/>
              </w:rPr>
              <w:fldChar w:fldCharType="separate"/>
            </w:r>
            <w:r w:rsidR="00313CFF">
              <w:rPr>
                <w:noProof/>
                <w:webHidden/>
              </w:rPr>
              <w:t>4</w:t>
            </w:r>
            <w:r w:rsidR="00313CFF">
              <w:rPr>
                <w:noProof/>
                <w:webHidden/>
              </w:rPr>
              <w:fldChar w:fldCharType="end"/>
            </w:r>
          </w:hyperlink>
        </w:p>
        <w:p w14:paraId="1E07AFFC" w14:textId="2499AE1C"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592" w:history="1">
            <w:r w:rsidR="00313CFF" w:rsidRPr="009A67B5">
              <w:rPr>
                <w:rStyle w:val="Hyperlink"/>
                <w:noProof/>
              </w:rPr>
              <w:t>Corporate Plan 2023–24 on a page</w:t>
            </w:r>
            <w:r w:rsidR="00313CFF">
              <w:rPr>
                <w:noProof/>
                <w:webHidden/>
              </w:rPr>
              <w:tab/>
            </w:r>
            <w:r w:rsidR="00313CFF">
              <w:rPr>
                <w:noProof/>
                <w:webHidden/>
              </w:rPr>
              <w:fldChar w:fldCharType="begin"/>
            </w:r>
            <w:r w:rsidR="00313CFF">
              <w:rPr>
                <w:noProof/>
                <w:webHidden/>
              </w:rPr>
              <w:instrText xml:space="preserve"> PAGEREF _Toc144302592 \h </w:instrText>
            </w:r>
            <w:r w:rsidR="00313CFF">
              <w:rPr>
                <w:noProof/>
                <w:webHidden/>
              </w:rPr>
            </w:r>
            <w:r w:rsidR="00313CFF">
              <w:rPr>
                <w:noProof/>
                <w:webHidden/>
              </w:rPr>
              <w:fldChar w:fldCharType="separate"/>
            </w:r>
            <w:r w:rsidR="00313CFF">
              <w:rPr>
                <w:noProof/>
                <w:webHidden/>
              </w:rPr>
              <w:t>7</w:t>
            </w:r>
            <w:r w:rsidR="00313CFF">
              <w:rPr>
                <w:noProof/>
                <w:webHidden/>
              </w:rPr>
              <w:fldChar w:fldCharType="end"/>
            </w:r>
          </w:hyperlink>
        </w:p>
        <w:p w14:paraId="27F725E6" w14:textId="793DC041"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593" w:history="1">
            <w:r w:rsidR="00313CFF" w:rsidRPr="009A67B5">
              <w:rPr>
                <w:rStyle w:val="Hyperlink"/>
                <w:noProof/>
              </w:rPr>
              <w:t>Our agency</w:t>
            </w:r>
            <w:r w:rsidR="00313CFF">
              <w:rPr>
                <w:noProof/>
                <w:webHidden/>
              </w:rPr>
              <w:tab/>
            </w:r>
            <w:r w:rsidR="00313CFF">
              <w:rPr>
                <w:noProof/>
                <w:webHidden/>
              </w:rPr>
              <w:fldChar w:fldCharType="begin"/>
            </w:r>
            <w:r w:rsidR="00313CFF">
              <w:rPr>
                <w:noProof/>
                <w:webHidden/>
              </w:rPr>
              <w:instrText xml:space="preserve"> PAGEREF _Toc144302593 \h </w:instrText>
            </w:r>
            <w:r w:rsidR="00313CFF">
              <w:rPr>
                <w:noProof/>
                <w:webHidden/>
              </w:rPr>
            </w:r>
            <w:r w:rsidR="00313CFF">
              <w:rPr>
                <w:noProof/>
                <w:webHidden/>
              </w:rPr>
              <w:fldChar w:fldCharType="separate"/>
            </w:r>
            <w:r w:rsidR="00313CFF">
              <w:rPr>
                <w:noProof/>
                <w:webHidden/>
              </w:rPr>
              <w:t>9</w:t>
            </w:r>
            <w:r w:rsidR="00313CFF">
              <w:rPr>
                <w:noProof/>
                <w:webHidden/>
              </w:rPr>
              <w:fldChar w:fldCharType="end"/>
            </w:r>
          </w:hyperlink>
        </w:p>
        <w:p w14:paraId="4F75A9BE" w14:textId="59A1B924"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594" w:history="1">
            <w:r w:rsidR="00313CFF" w:rsidRPr="009A67B5">
              <w:rPr>
                <w:rStyle w:val="Hyperlink"/>
              </w:rPr>
              <w:t>Commission’s core functions</w:t>
            </w:r>
            <w:r w:rsidR="00313CFF">
              <w:rPr>
                <w:webHidden/>
              </w:rPr>
              <w:tab/>
            </w:r>
            <w:r w:rsidR="00313CFF">
              <w:rPr>
                <w:webHidden/>
              </w:rPr>
              <w:fldChar w:fldCharType="begin"/>
            </w:r>
            <w:r w:rsidR="00313CFF">
              <w:rPr>
                <w:webHidden/>
              </w:rPr>
              <w:instrText xml:space="preserve"> PAGEREF _Toc144302594 \h </w:instrText>
            </w:r>
            <w:r w:rsidR="00313CFF">
              <w:rPr>
                <w:webHidden/>
              </w:rPr>
            </w:r>
            <w:r w:rsidR="00313CFF">
              <w:rPr>
                <w:webHidden/>
              </w:rPr>
              <w:fldChar w:fldCharType="separate"/>
            </w:r>
            <w:r w:rsidR="00313CFF">
              <w:rPr>
                <w:webHidden/>
              </w:rPr>
              <w:t>9</w:t>
            </w:r>
            <w:r w:rsidR="00313CFF">
              <w:rPr>
                <w:webHidden/>
              </w:rPr>
              <w:fldChar w:fldCharType="end"/>
            </w:r>
          </w:hyperlink>
        </w:p>
        <w:p w14:paraId="6FFDB8E9" w14:textId="74EC9503"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595" w:history="1">
            <w:r w:rsidR="00313CFF" w:rsidRPr="009A67B5">
              <w:rPr>
                <w:rStyle w:val="Hyperlink"/>
              </w:rPr>
              <w:t>Our Regulatory Approach</w:t>
            </w:r>
            <w:r w:rsidR="00313CFF">
              <w:rPr>
                <w:webHidden/>
              </w:rPr>
              <w:tab/>
            </w:r>
            <w:r w:rsidR="00313CFF">
              <w:rPr>
                <w:webHidden/>
              </w:rPr>
              <w:fldChar w:fldCharType="begin"/>
            </w:r>
            <w:r w:rsidR="00313CFF">
              <w:rPr>
                <w:webHidden/>
              </w:rPr>
              <w:instrText xml:space="preserve"> PAGEREF _Toc144302595 \h </w:instrText>
            </w:r>
            <w:r w:rsidR="00313CFF">
              <w:rPr>
                <w:webHidden/>
              </w:rPr>
            </w:r>
            <w:r w:rsidR="00313CFF">
              <w:rPr>
                <w:webHidden/>
              </w:rPr>
              <w:fldChar w:fldCharType="separate"/>
            </w:r>
            <w:r w:rsidR="00313CFF">
              <w:rPr>
                <w:webHidden/>
              </w:rPr>
              <w:t>9</w:t>
            </w:r>
            <w:r w:rsidR="00313CFF">
              <w:rPr>
                <w:webHidden/>
              </w:rPr>
              <w:fldChar w:fldCharType="end"/>
            </w:r>
          </w:hyperlink>
        </w:p>
        <w:p w14:paraId="73ABA925" w14:textId="0E259192"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596" w:history="1">
            <w:r w:rsidR="00313CFF" w:rsidRPr="009A67B5">
              <w:rPr>
                <w:rStyle w:val="Hyperlink"/>
                <w:noProof/>
              </w:rPr>
              <w:t>Our priorities and key activities in 2023-24</w:t>
            </w:r>
            <w:r w:rsidR="00313CFF">
              <w:rPr>
                <w:noProof/>
                <w:webHidden/>
              </w:rPr>
              <w:tab/>
            </w:r>
            <w:r w:rsidR="00313CFF">
              <w:rPr>
                <w:noProof/>
                <w:webHidden/>
              </w:rPr>
              <w:fldChar w:fldCharType="begin"/>
            </w:r>
            <w:r w:rsidR="00313CFF">
              <w:rPr>
                <w:noProof/>
                <w:webHidden/>
              </w:rPr>
              <w:instrText xml:space="preserve"> PAGEREF _Toc144302596 \h </w:instrText>
            </w:r>
            <w:r w:rsidR="00313CFF">
              <w:rPr>
                <w:noProof/>
                <w:webHidden/>
              </w:rPr>
            </w:r>
            <w:r w:rsidR="00313CFF">
              <w:rPr>
                <w:noProof/>
                <w:webHidden/>
              </w:rPr>
              <w:fldChar w:fldCharType="separate"/>
            </w:r>
            <w:r w:rsidR="00313CFF">
              <w:rPr>
                <w:noProof/>
                <w:webHidden/>
              </w:rPr>
              <w:t>11</w:t>
            </w:r>
            <w:r w:rsidR="00313CFF">
              <w:rPr>
                <w:noProof/>
                <w:webHidden/>
              </w:rPr>
              <w:fldChar w:fldCharType="end"/>
            </w:r>
          </w:hyperlink>
        </w:p>
        <w:p w14:paraId="1B84DCDD" w14:textId="21C67903"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597" w:history="1">
            <w:r w:rsidR="00313CFF" w:rsidRPr="009A67B5">
              <w:rPr>
                <w:rStyle w:val="Hyperlink"/>
              </w:rPr>
              <w:t>Amplifying participant voices</w:t>
            </w:r>
            <w:r w:rsidR="00313CFF">
              <w:rPr>
                <w:webHidden/>
              </w:rPr>
              <w:tab/>
            </w:r>
            <w:r w:rsidR="00313CFF">
              <w:rPr>
                <w:webHidden/>
              </w:rPr>
              <w:fldChar w:fldCharType="begin"/>
            </w:r>
            <w:r w:rsidR="00313CFF">
              <w:rPr>
                <w:webHidden/>
              </w:rPr>
              <w:instrText xml:space="preserve"> PAGEREF _Toc144302597 \h </w:instrText>
            </w:r>
            <w:r w:rsidR="00313CFF">
              <w:rPr>
                <w:webHidden/>
              </w:rPr>
            </w:r>
            <w:r w:rsidR="00313CFF">
              <w:rPr>
                <w:webHidden/>
              </w:rPr>
              <w:fldChar w:fldCharType="separate"/>
            </w:r>
            <w:r w:rsidR="00313CFF">
              <w:rPr>
                <w:webHidden/>
              </w:rPr>
              <w:t>11</w:t>
            </w:r>
            <w:r w:rsidR="00313CFF">
              <w:rPr>
                <w:webHidden/>
              </w:rPr>
              <w:fldChar w:fldCharType="end"/>
            </w:r>
          </w:hyperlink>
        </w:p>
        <w:p w14:paraId="5319DDD4" w14:textId="37F3619D"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598" w:history="1">
            <w:r w:rsidR="00313CFF" w:rsidRPr="009A67B5">
              <w:rPr>
                <w:rStyle w:val="Hyperlink"/>
              </w:rPr>
              <w:t>Accelerating regulatory impact</w:t>
            </w:r>
            <w:r w:rsidR="00313CFF">
              <w:rPr>
                <w:webHidden/>
              </w:rPr>
              <w:tab/>
            </w:r>
            <w:r w:rsidR="00313CFF">
              <w:rPr>
                <w:webHidden/>
              </w:rPr>
              <w:fldChar w:fldCharType="begin"/>
            </w:r>
            <w:r w:rsidR="00313CFF">
              <w:rPr>
                <w:webHidden/>
              </w:rPr>
              <w:instrText xml:space="preserve"> PAGEREF _Toc144302598 \h </w:instrText>
            </w:r>
            <w:r w:rsidR="00313CFF">
              <w:rPr>
                <w:webHidden/>
              </w:rPr>
            </w:r>
            <w:r w:rsidR="00313CFF">
              <w:rPr>
                <w:webHidden/>
              </w:rPr>
              <w:fldChar w:fldCharType="separate"/>
            </w:r>
            <w:r w:rsidR="00313CFF">
              <w:rPr>
                <w:webHidden/>
              </w:rPr>
              <w:t>11</w:t>
            </w:r>
            <w:r w:rsidR="00313CFF">
              <w:rPr>
                <w:webHidden/>
              </w:rPr>
              <w:fldChar w:fldCharType="end"/>
            </w:r>
          </w:hyperlink>
        </w:p>
        <w:p w14:paraId="225FFC2A" w14:textId="571D65C8"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599" w:history="1">
            <w:r w:rsidR="00313CFF" w:rsidRPr="009A67B5">
              <w:rPr>
                <w:rStyle w:val="Hyperlink"/>
              </w:rPr>
              <w:t>Improving quality</w:t>
            </w:r>
            <w:r w:rsidR="00313CFF">
              <w:rPr>
                <w:webHidden/>
              </w:rPr>
              <w:tab/>
            </w:r>
            <w:r w:rsidR="00313CFF">
              <w:rPr>
                <w:webHidden/>
              </w:rPr>
              <w:fldChar w:fldCharType="begin"/>
            </w:r>
            <w:r w:rsidR="00313CFF">
              <w:rPr>
                <w:webHidden/>
              </w:rPr>
              <w:instrText xml:space="preserve"> PAGEREF _Toc144302599 \h </w:instrText>
            </w:r>
            <w:r w:rsidR="00313CFF">
              <w:rPr>
                <w:webHidden/>
              </w:rPr>
            </w:r>
            <w:r w:rsidR="00313CFF">
              <w:rPr>
                <w:webHidden/>
              </w:rPr>
              <w:fldChar w:fldCharType="separate"/>
            </w:r>
            <w:r w:rsidR="00313CFF">
              <w:rPr>
                <w:webHidden/>
              </w:rPr>
              <w:t>12</w:t>
            </w:r>
            <w:r w:rsidR="00313CFF">
              <w:rPr>
                <w:webHidden/>
              </w:rPr>
              <w:fldChar w:fldCharType="end"/>
            </w:r>
          </w:hyperlink>
        </w:p>
        <w:p w14:paraId="57598B2F" w14:textId="4B98F8A0"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0" w:history="1">
            <w:r w:rsidR="00313CFF" w:rsidRPr="009A67B5">
              <w:rPr>
                <w:rStyle w:val="Hyperlink"/>
              </w:rPr>
              <w:t>Our people</w:t>
            </w:r>
            <w:r w:rsidR="00313CFF">
              <w:rPr>
                <w:webHidden/>
              </w:rPr>
              <w:tab/>
            </w:r>
            <w:r w:rsidR="00313CFF">
              <w:rPr>
                <w:webHidden/>
              </w:rPr>
              <w:fldChar w:fldCharType="begin"/>
            </w:r>
            <w:r w:rsidR="00313CFF">
              <w:rPr>
                <w:webHidden/>
              </w:rPr>
              <w:instrText xml:space="preserve"> PAGEREF _Toc144302600 \h </w:instrText>
            </w:r>
            <w:r w:rsidR="00313CFF">
              <w:rPr>
                <w:webHidden/>
              </w:rPr>
            </w:r>
            <w:r w:rsidR="00313CFF">
              <w:rPr>
                <w:webHidden/>
              </w:rPr>
              <w:fldChar w:fldCharType="separate"/>
            </w:r>
            <w:r w:rsidR="00313CFF">
              <w:rPr>
                <w:webHidden/>
              </w:rPr>
              <w:t>12</w:t>
            </w:r>
            <w:r w:rsidR="00313CFF">
              <w:rPr>
                <w:webHidden/>
              </w:rPr>
              <w:fldChar w:fldCharType="end"/>
            </w:r>
          </w:hyperlink>
        </w:p>
        <w:p w14:paraId="213D5F32" w14:textId="40849B00"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1" w:history="1">
            <w:r w:rsidR="00313CFF" w:rsidRPr="009A67B5">
              <w:rPr>
                <w:rStyle w:val="Hyperlink"/>
              </w:rPr>
              <w:t>Integrated Capability</w:t>
            </w:r>
            <w:r w:rsidR="00313CFF">
              <w:rPr>
                <w:webHidden/>
              </w:rPr>
              <w:tab/>
            </w:r>
            <w:r w:rsidR="00313CFF">
              <w:rPr>
                <w:webHidden/>
              </w:rPr>
              <w:fldChar w:fldCharType="begin"/>
            </w:r>
            <w:r w:rsidR="00313CFF">
              <w:rPr>
                <w:webHidden/>
              </w:rPr>
              <w:instrText xml:space="preserve"> PAGEREF _Toc144302601 \h </w:instrText>
            </w:r>
            <w:r w:rsidR="00313CFF">
              <w:rPr>
                <w:webHidden/>
              </w:rPr>
            </w:r>
            <w:r w:rsidR="00313CFF">
              <w:rPr>
                <w:webHidden/>
              </w:rPr>
              <w:fldChar w:fldCharType="separate"/>
            </w:r>
            <w:r w:rsidR="00313CFF">
              <w:rPr>
                <w:webHidden/>
              </w:rPr>
              <w:t>13</w:t>
            </w:r>
            <w:r w:rsidR="00313CFF">
              <w:rPr>
                <w:webHidden/>
              </w:rPr>
              <w:fldChar w:fldCharType="end"/>
            </w:r>
          </w:hyperlink>
        </w:p>
        <w:p w14:paraId="4A79C1D4" w14:textId="0789D516"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02" w:history="1">
            <w:r w:rsidR="00313CFF" w:rsidRPr="009A67B5">
              <w:rPr>
                <w:rStyle w:val="Hyperlink"/>
                <w:noProof/>
              </w:rPr>
              <w:t>Our operating context</w:t>
            </w:r>
            <w:r w:rsidR="00313CFF">
              <w:rPr>
                <w:noProof/>
                <w:webHidden/>
              </w:rPr>
              <w:tab/>
            </w:r>
            <w:r w:rsidR="00313CFF">
              <w:rPr>
                <w:noProof/>
                <w:webHidden/>
              </w:rPr>
              <w:fldChar w:fldCharType="begin"/>
            </w:r>
            <w:r w:rsidR="00313CFF">
              <w:rPr>
                <w:noProof/>
                <w:webHidden/>
              </w:rPr>
              <w:instrText xml:space="preserve"> PAGEREF _Toc144302602 \h </w:instrText>
            </w:r>
            <w:r w:rsidR="00313CFF">
              <w:rPr>
                <w:noProof/>
                <w:webHidden/>
              </w:rPr>
            </w:r>
            <w:r w:rsidR="00313CFF">
              <w:rPr>
                <w:noProof/>
                <w:webHidden/>
              </w:rPr>
              <w:fldChar w:fldCharType="separate"/>
            </w:r>
            <w:r w:rsidR="00313CFF">
              <w:rPr>
                <w:noProof/>
                <w:webHidden/>
              </w:rPr>
              <w:t>14</w:t>
            </w:r>
            <w:r w:rsidR="00313CFF">
              <w:rPr>
                <w:noProof/>
                <w:webHidden/>
              </w:rPr>
              <w:fldChar w:fldCharType="end"/>
            </w:r>
          </w:hyperlink>
        </w:p>
        <w:p w14:paraId="3C0DB27D" w14:textId="6A107871"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3" w:history="1">
            <w:r w:rsidR="00313CFF" w:rsidRPr="009A67B5">
              <w:rPr>
                <w:rStyle w:val="Hyperlink"/>
              </w:rPr>
              <w:t>Environment</w:t>
            </w:r>
            <w:r w:rsidR="00313CFF">
              <w:rPr>
                <w:webHidden/>
              </w:rPr>
              <w:tab/>
            </w:r>
            <w:r w:rsidR="00313CFF">
              <w:rPr>
                <w:webHidden/>
              </w:rPr>
              <w:fldChar w:fldCharType="begin"/>
            </w:r>
            <w:r w:rsidR="00313CFF">
              <w:rPr>
                <w:webHidden/>
              </w:rPr>
              <w:instrText xml:space="preserve"> PAGEREF _Toc144302603 \h </w:instrText>
            </w:r>
            <w:r w:rsidR="00313CFF">
              <w:rPr>
                <w:webHidden/>
              </w:rPr>
            </w:r>
            <w:r w:rsidR="00313CFF">
              <w:rPr>
                <w:webHidden/>
              </w:rPr>
              <w:fldChar w:fldCharType="separate"/>
            </w:r>
            <w:r w:rsidR="00313CFF">
              <w:rPr>
                <w:webHidden/>
              </w:rPr>
              <w:t>14</w:t>
            </w:r>
            <w:r w:rsidR="00313CFF">
              <w:rPr>
                <w:webHidden/>
              </w:rPr>
              <w:fldChar w:fldCharType="end"/>
            </w:r>
          </w:hyperlink>
        </w:p>
        <w:p w14:paraId="74854265" w14:textId="5C334E96"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04" w:history="1">
            <w:r w:rsidR="00313CFF" w:rsidRPr="009A67B5">
              <w:rPr>
                <w:rStyle w:val="Hyperlink"/>
                <w:noProof/>
              </w:rPr>
              <w:t>Capability</w:t>
            </w:r>
            <w:r w:rsidR="00313CFF">
              <w:rPr>
                <w:noProof/>
                <w:webHidden/>
              </w:rPr>
              <w:tab/>
            </w:r>
            <w:r w:rsidR="00313CFF">
              <w:rPr>
                <w:noProof/>
                <w:webHidden/>
              </w:rPr>
              <w:fldChar w:fldCharType="begin"/>
            </w:r>
            <w:r w:rsidR="00313CFF">
              <w:rPr>
                <w:noProof/>
                <w:webHidden/>
              </w:rPr>
              <w:instrText xml:space="preserve"> PAGEREF _Toc144302604 \h </w:instrText>
            </w:r>
            <w:r w:rsidR="00313CFF">
              <w:rPr>
                <w:noProof/>
                <w:webHidden/>
              </w:rPr>
            </w:r>
            <w:r w:rsidR="00313CFF">
              <w:rPr>
                <w:noProof/>
                <w:webHidden/>
              </w:rPr>
              <w:fldChar w:fldCharType="separate"/>
            </w:r>
            <w:r w:rsidR="00313CFF">
              <w:rPr>
                <w:noProof/>
                <w:webHidden/>
              </w:rPr>
              <w:t>16</w:t>
            </w:r>
            <w:r w:rsidR="00313CFF">
              <w:rPr>
                <w:noProof/>
                <w:webHidden/>
              </w:rPr>
              <w:fldChar w:fldCharType="end"/>
            </w:r>
          </w:hyperlink>
        </w:p>
        <w:p w14:paraId="3751067E" w14:textId="13CBFBF6"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5" w:history="1">
            <w:r w:rsidR="00313CFF" w:rsidRPr="009A67B5">
              <w:rPr>
                <w:rStyle w:val="Hyperlink"/>
              </w:rPr>
              <w:t xml:space="preserve">Our </w:t>
            </w:r>
            <w:r w:rsidR="00313CFF">
              <w:rPr>
                <w:rStyle w:val="Hyperlink"/>
              </w:rPr>
              <w:t>p</w:t>
            </w:r>
            <w:r w:rsidR="00313CFF" w:rsidRPr="009A67B5">
              <w:rPr>
                <w:rStyle w:val="Hyperlink"/>
              </w:rPr>
              <w:t>eople</w:t>
            </w:r>
            <w:r w:rsidR="00313CFF">
              <w:rPr>
                <w:webHidden/>
              </w:rPr>
              <w:tab/>
            </w:r>
            <w:r w:rsidR="00313CFF">
              <w:rPr>
                <w:webHidden/>
              </w:rPr>
              <w:fldChar w:fldCharType="begin"/>
            </w:r>
            <w:r w:rsidR="00313CFF">
              <w:rPr>
                <w:webHidden/>
              </w:rPr>
              <w:instrText xml:space="preserve"> PAGEREF _Toc144302605 \h </w:instrText>
            </w:r>
            <w:r w:rsidR="00313CFF">
              <w:rPr>
                <w:webHidden/>
              </w:rPr>
            </w:r>
            <w:r w:rsidR="00313CFF">
              <w:rPr>
                <w:webHidden/>
              </w:rPr>
              <w:fldChar w:fldCharType="separate"/>
            </w:r>
            <w:r w:rsidR="00313CFF">
              <w:rPr>
                <w:webHidden/>
              </w:rPr>
              <w:t>16</w:t>
            </w:r>
            <w:r w:rsidR="00313CFF">
              <w:rPr>
                <w:webHidden/>
              </w:rPr>
              <w:fldChar w:fldCharType="end"/>
            </w:r>
          </w:hyperlink>
        </w:p>
        <w:p w14:paraId="3A72D588" w14:textId="4158DFDF"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6" w:history="1">
            <w:r w:rsidR="00313CFF" w:rsidRPr="009A67B5">
              <w:rPr>
                <w:rStyle w:val="Hyperlink"/>
              </w:rPr>
              <w:t>Operations</w:t>
            </w:r>
            <w:r w:rsidR="00313CFF">
              <w:rPr>
                <w:webHidden/>
              </w:rPr>
              <w:tab/>
            </w:r>
            <w:r w:rsidR="00313CFF">
              <w:rPr>
                <w:webHidden/>
              </w:rPr>
              <w:fldChar w:fldCharType="begin"/>
            </w:r>
            <w:r w:rsidR="00313CFF">
              <w:rPr>
                <w:webHidden/>
              </w:rPr>
              <w:instrText xml:space="preserve"> PAGEREF _Toc144302606 \h </w:instrText>
            </w:r>
            <w:r w:rsidR="00313CFF">
              <w:rPr>
                <w:webHidden/>
              </w:rPr>
            </w:r>
            <w:r w:rsidR="00313CFF">
              <w:rPr>
                <w:webHidden/>
              </w:rPr>
              <w:fldChar w:fldCharType="separate"/>
            </w:r>
            <w:r w:rsidR="00313CFF">
              <w:rPr>
                <w:webHidden/>
              </w:rPr>
              <w:t>16</w:t>
            </w:r>
            <w:r w:rsidR="00313CFF">
              <w:rPr>
                <w:webHidden/>
              </w:rPr>
              <w:fldChar w:fldCharType="end"/>
            </w:r>
          </w:hyperlink>
        </w:p>
        <w:p w14:paraId="6276A05D" w14:textId="22B847D0"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7" w:history="1">
            <w:r w:rsidR="00313CFF" w:rsidRPr="009A67B5">
              <w:rPr>
                <w:rStyle w:val="Hyperlink"/>
              </w:rPr>
              <w:t>Governance</w:t>
            </w:r>
            <w:r w:rsidR="00313CFF">
              <w:rPr>
                <w:webHidden/>
              </w:rPr>
              <w:tab/>
            </w:r>
            <w:r w:rsidR="00313CFF">
              <w:rPr>
                <w:webHidden/>
              </w:rPr>
              <w:fldChar w:fldCharType="begin"/>
            </w:r>
            <w:r w:rsidR="00313CFF">
              <w:rPr>
                <w:webHidden/>
              </w:rPr>
              <w:instrText xml:space="preserve"> PAGEREF _Toc144302607 \h </w:instrText>
            </w:r>
            <w:r w:rsidR="00313CFF">
              <w:rPr>
                <w:webHidden/>
              </w:rPr>
            </w:r>
            <w:r w:rsidR="00313CFF">
              <w:rPr>
                <w:webHidden/>
              </w:rPr>
              <w:fldChar w:fldCharType="separate"/>
            </w:r>
            <w:r w:rsidR="00313CFF">
              <w:rPr>
                <w:webHidden/>
              </w:rPr>
              <w:t>16</w:t>
            </w:r>
            <w:r w:rsidR="00313CFF">
              <w:rPr>
                <w:webHidden/>
              </w:rPr>
              <w:fldChar w:fldCharType="end"/>
            </w:r>
          </w:hyperlink>
        </w:p>
        <w:p w14:paraId="7BF30771" w14:textId="483290C6"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08" w:history="1">
            <w:r w:rsidR="00313CFF" w:rsidRPr="009A67B5">
              <w:rPr>
                <w:rStyle w:val="Hyperlink"/>
              </w:rPr>
              <w:t>Data privacy and cyber-security</w:t>
            </w:r>
            <w:r w:rsidR="00313CFF">
              <w:rPr>
                <w:webHidden/>
              </w:rPr>
              <w:tab/>
            </w:r>
            <w:r w:rsidR="00313CFF">
              <w:rPr>
                <w:webHidden/>
              </w:rPr>
              <w:fldChar w:fldCharType="begin"/>
            </w:r>
            <w:r w:rsidR="00313CFF">
              <w:rPr>
                <w:webHidden/>
              </w:rPr>
              <w:instrText xml:space="preserve"> PAGEREF _Toc144302608 \h </w:instrText>
            </w:r>
            <w:r w:rsidR="00313CFF">
              <w:rPr>
                <w:webHidden/>
              </w:rPr>
            </w:r>
            <w:r w:rsidR="00313CFF">
              <w:rPr>
                <w:webHidden/>
              </w:rPr>
              <w:fldChar w:fldCharType="separate"/>
            </w:r>
            <w:r w:rsidR="00313CFF">
              <w:rPr>
                <w:webHidden/>
              </w:rPr>
              <w:t>17</w:t>
            </w:r>
            <w:r w:rsidR="00313CFF">
              <w:rPr>
                <w:webHidden/>
              </w:rPr>
              <w:fldChar w:fldCharType="end"/>
            </w:r>
          </w:hyperlink>
        </w:p>
        <w:p w14:paraId="35717D53" w14:textId="3F2103EF"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09" w:history="1">
            <w:r w:rsidR="00313CFF" w:rsidRPr="009A67B5">
              <w:rPr>
                <w:rStyle w:val="Hyperlink"/>
                <w:noProof/>
              </w:rPr>
              <w:t>Collaboration</w:t>
            </w:r>
            <w:r w:rsidR="00313CFF">
              <w:rPr>
                <w:noProof/>
                <w:webHidden/>
              </w:rPr>
              <w:tab/>
            </w:r>
            <w:r w:rsidR="00313CFF">
              <w:rPr>
                <w:noProof/>
                <w:webHidden/>
              </w:rPr>
              <w:fldChar w:fldCharType="begin"/>
            </w:r>
            <w:r w:rsidR="00313CFF">
              <w:rPr>
                <w:noProof/>
                <w:webHidden/>
              </w:rPr>
              <w:instrText xml:space="preserve"> PAGEREF _Toc144302609 \h </w:instrText>
            </w:r>
            <w:r w:rsidR="00313CFF">
              <w:rPr>
                <w:noProof/>
                <w:webHidden/>
              </w:rPr>
            </w:r>
            <w:r w:rsidR="00313CFF">
              <w:rPr>
                <w:noProof/>
                <w:webHidden/>
              </w:rPr>
              <w:fldChar w:fldCharType="separate"/>
            </w:r>
            <w:r w:rsidR="00313CFF">
              <w:rPr>
                <w:noProof/>
                <w:webHidden/>
              </w:rPr>
              <w:t>18</w:t>
            </w:r>
            <w:r w:rsidR="00313CFF">
              <w:rPr>
                <w:noProof/>
                <w:webHidden/>
              </w:rPr>
              <w:fldChar w:fldCharType="end"/>
            </w:r>
          </w:hyperlink>
        </w:p>
        <w:p w14:paraId="5DE1BBFB" w14:textId="62E78048"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10" w:history="1">
            <w:r w:rsidR="00313CFF" w:rsidRPr="009A67B5">
              <w:rPr>
                <w:rStyle w:val="Hyperlink"/>
                <w:noProof/>
              </w:rPr>
              <w:t>Risk Management</w:t>
            </w:r>
            <w:r w:rsidR="00313CFF">
              <w:rPr>
                <w:noProof/>
                <w:webHidden/>
              </w:rPr>
              <w:tab/>
            </w:r>
            <w:r w:rsidR="00313CFF">
              <w:rPr>
                <w:noProof/>
                <w:webHidden/>
              </w:rPr>
              <w:fldChar w:fldCharType="begin"/>
            </w:r>
            <w:r w:rsidR="00313CFF">
              <w:rPr>
                <w:noProof/>
                <w:webHidden/>
              </w:rPr>
              <w:instrText xml:space="preserve"> PAGEREF _Toc144302610 \h </w:instrText>
            </w:r>
            <w:r w:rsidR="00313CFF">
              <w:rPr>
                <w:noProof/>
                <w:webHidden/>
              </w:rPr>
            </w:r>
            <w:r w:rsidR="00313CFF">
              <w:rPr>
                <w:noProof/>
                <w:webHidden/>
              </w:rPr>
              <w:fldChar w:fldCharType="separate"/>
            </w:r>
            <w:r w:rsidR="00313CFF">
              <w:rPr>
                <w:noProof/>
                <w:webHidden/>
              </w:rPr>
              <w:t>19</w:t>
            </w:r>
            <w:r w:rsidR="00313CFF">
              <w:rPr>
                <w:noProof/>
                <w:webHidden/>
              </w:rPr>
              <w:fldChar w:fldCharType="end"/>
            </w:r>
          </w:hyperlink>
        </w:p>
        <w:p w14:paraId="37F57C6D" w14:textId="07867092"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11" w:history="1">
            <w:r w:rsidR="00313CFF" w:rsidRPr="009A67B5">
              <w:rPr>
                <w:rStyle w:val="Hyperlink"/>
                <w:noProof/>
              </w:rPr>
              <w:t>Performance</w:t>
            </w:r>
            <w:r w:rsidR="00313CFF">
              <w:rPr>
                <w:noProof/>
                <w:webHidden/>
              </w:rPr>
              <w:tab/>
            </w:r>
            <w:r w:rsidR="00313CFF">
              <w:rPr>
                <w:noProof/>
                <w:webHidden/>
              </w:rPr>
              <w:fldChar w:fldCharType="begin"/>
            </w:r>
            <w:r w:rsidR="00313CFF">
              <w:rPr>
                <w:noProof/>
                <w:webHidden/>
              </w:rPr>
              <w:instrText xml:space="preserve"> PAGEREF _Toc144302611 \h </w:instrText>
            </w:r>
            <w:r w:rsidR="00313CFF">
              <w:rPr>
                <w:noProof/>
                <w:webHidden/>
              </w:rPr>
            </w:r>
            <w:r w:rsidR="00313CFF">
              <w:rPr>
                <w:noProof/>
                <w:webHidden/>
              </w:rPr>
              <w:fldChar w:fldCharType="separate"/>
            </w:r>
            <w:r w:rsidR="00313CFF">
              <w:rPr>
                <w:noProof/>
                <w:webHidden/>
              </w:rPr>
              <w:t>23</w:t>
            </w:r>
            <w:r w:rsidR="00313CFF">
              <w:rPr>
                <w:noProof/>
                <w:webHidden/>
              </w:rPr>
              <w:fldChar w:fldCharType="end"/>
            </w:r>
          </w:hyperlink>
        </w:p>
        <w:p w14:paraId="5FB33F2E" w14:textId="506ADEB2"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2" w:history="1">
            <w:r w:rsidR="00313CFF" w:rsidRPr="009A67B5">
              <w:rPr>
                <w:rStyle w:val="Hyperlink"/>
              </w:rPr>
              <w:t>The rights of people with disability</w:t>
            </w:r>
            <w:r w:rsidR="00313CFF">
              <w:rPr>
                <w:webHidden/>
              </w:rPr>
              <w:tab/>
            </w:r>
            <w:r w:rsidR="00313CFF">
              <w:rPr>
                <w:webHidden/>
              </w:rPr>
              <w:fldChar w:fldCharType="begin"/>
            </w:r>
            <w:r w:rsidR="00313CFF">
              <w:rPr>
                <w:webHidden/>
              </w:rPr>
              <w:instrText xml:space="preserve"> PAGEREF _Toc144302612 \h </w:instrText>
            </w:r>
            <w:r w:rsidR="00313CFF">
              <w:rPr>
                <w:webHidden/>
              </w:rPr>
            </w:r>
            <w:r w:rsidR="00313CFF">
              <w:rPr>
                <w:webHidden/>
              </w:rPr>
              <w:fldChar w:fldCharType="separate"/>
            </w:r>
            <w:r w:rsidR="00313CFF">
              <w:rPr>
                <w:webHidden/>
              </w:rPr>
              <w:t>23</w:t>
            </w:r>
            <w:r w:rsidR="00313CFF">
              <w:rPr>
                <w:webHidden/>
              </w:rPr>
              <w:fldChar w:fldCharType="end"/>
            </w:r>
          </w:hyperlink>
        </w:p>
        <w:p w14:paraId="7A8BC2E4" w14:textId="0325576B"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3" w:history="1">
            <w:r w:rsidR="00313CFF" w:rsidRPr="009A67B5">
              <w:rPr>
                <w:rStyle w:val="Hyperlink"/>
              </w:rPr>
              <w:t>Quality providers and workers</w:t>
            </w:r>
            <w:r w:rsidR="00313CFF">
              <w:rPr>
                <w:webHidden/>
              </w:rPr>
              <w:tab/>
            </w:r>
            <w:r w:rsidR="00313CFF">
              <w:rPr>
                <w:webHidden/>
              </w:rPr>
              <w:fldChar w:fldCharType="begin"/>
            </w:r>
            <w:r w:rsidR="00313CFF">
              <w:rPr>
                <w:webHidden/>
              </w:rPr>
              <w:instrText xml:space="preserve"> PAGEREF _Toc144302613 \h </w:instrText>
            </w:r>
            <w:r w:rsidR="00313CFF">
              <w:rPr>
                <w:webHidden/>
              </w:rPr>
            </w:r>
            <w:r w:rsidR="00313CFF">
              <w:rPr>
                <w:webHidden/>
              </w:rPr>
              <w:fldChar w:fldCharType="separate"/>
            </w:r>
            <w:r w:rsidR="00313CFF">
              <w:rPr>
                <w:webHidden/>
              </w:rPr>
              <w:t>25</w:t>
            </w:r>
            <w:r w:rsidR="00313CFF">
              <w:rPr>
                <w:webHidden/>
              </w:rPr>
              <w:fldChar w:fldCharType="end"/>
            </w:r>
          </w:hyperlink>
        </w:p>
        <w:p w14:paraId="5EC09658" w14:textId="298ED390"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4" w:history="1">
            <w:r w:rsidR="00313CFF" w:rsidRPr="009A67B5">
              <w:rPr>
                <w:rStyle w:val="Hyperlink"/>
              </w:rPr>
              <w:t>Thriving, diverse markets</w:t>
            </w:r>
            <w:r w:rsidR="00313CFF">
              <w:rPr>
                <w:webHidden/>
              </w:rPr>
              <w:tab/>
            </w:r>
            <w:r w:rsidR="00313CFF">
              <w:rPr>
                <w:webHidden/>
              </w:rPr>
              <w:fldChar w:fldCharType="begin"/>
            </w:r>
            <w:r w:rsidR="00313CFF">
              <w:rPr>
                <w:webHidden/>
              </w:rPr>
              <w:instrText xml:space="preserve"> PAGEREF _Toc144302614 \h </w:instrText>
            </w:r>
            <w:r w:rsidR="00313CFF">
              <w:rPr>
                <w:webHidden/>
              </w:rPr>
            </w:r>
            <w:r w:rsidR="00313CFF">
              <w:rPr>
                <w:webHidden/>
              </w:rPr>
              <w:fldChar w:fldCharType="separate"/>
            </w:r>
            <w:r w:rsidR="00313CFF">
              <w:rPr>
                <w:webHidden/>
              </w:rPr>
              <w:t>26</w:t>
            </w:r>
            <w:r w:rsidR="00313CFF">
              <w:rPr>
                <w:webHidden/>
              </w:rPr>
              <w:fldChar w:fldCharType="end"/>
            </w:r>
          </w:hyperlink>
        </w:p>
        <w:p w14:paraId="1D548F01" w14:textId="0F04D6AF"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15" w:history="1">
            <w:r w:rsidR="00313CFF" w:rsidRPr="009A67B5">
              <w:rPr>
                <w:rStyle w:val="Hyperlink"/>
                <w:noProof/>
              </w:rPr>
              <w:t>Appendices</w:t>
            </w:r>
            <w:r w:rsidR="00313CFF">
              <w:rPr>
                <w:noProof/>
                <w:webHidden/>
              </w:rPr>
              <w:tab/>
            </w:r>
            <w:r w:rsidR="00313CFF">
              <w:rPr>
                <w:noProof/>
                <w:webHidden/>
              </w:rPr>
              <w:fldChar w:fldCharType="begin"/>
            </w:r>
            <w:r w:rsidR="00313CFF">
              <w:rPr>
                <w:noProof/>
                <w:webHidden/>
              </w:rPr>
              <w:instrText xml:space="preserve"> PAGEREF _Toc144302615 \h </w:instrText>
            </w:r>
            <w:r w:rsidR="00313CFF">
              <w:rPr>
                <w:noProof/>
                <w:webHidden/>
              </w:rPr>
            </w:r>
            <w:r w:rsidR="00313CFF">
              <w:rPr>
                <w:noProof/>
                <w:webHidden/>
              </w:rPr>
              <w:fldChar w:fldCharType="separate"/>
            </w:r>
            <w:r w:rsidR="00313CFF">
              <w:rPr>
                <w:noProof/>
                <w:webHidden/>
              </w:rPr>
              <w:t>27</w:t>
            </w:r>
            <w:r w:rsidR="00313CFF">
              <w:rPr>
                <w:noProof/>
                <w:webHidden/>
              </w:rPr>
              <w:fldChar w:fldCharType="end"/>
            </w:r>
          </w:hyperlink>
        </w:p>
        <w:p w14:paraId="4FFED575" w14:textId="487DE8A0"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6" w:history="1">
            <w:r w:rsidR="00313CFF" w:rsidRPr="009A67B5">
              <w:rPr>
                <w:rStyle w:val="Hyperlink"/>
              </w:rPr>
              <w:t>Appendix A: Commonwealth Performance Framework: NDIS Commission 2023–24</w:t>
            </w:r>
            <w:r w:rsidR="00313CFF">
              <w:rPr>
                <w:webHidden/>
              </w:rPr>
              <w:tab/>
            </w:r>
            <w:r w:rsidR="00313CFF">
              <w:rPr>
                <w:webHidden/>
              </w:rPr>
              <w:fldChar w:fldCharType="begin"/>
            </w:r>
            <w:r w:rsidR="00313CFF">
              <w:rPr>
                <w:webHidden/>
              </w:rPr>
              <w:instrText xml:space="preserve"> PAGEREF _Toc144302616 \h </w:instrText>
            </w:r>
            <w:r w:rsidR="00313CFF">
              <w:rPr>
                <w:webHidden/>
              </w:rPr>
            </w:r>
            <w:r w:rsidR="00313CFF">
              <w:rPr>
                <w:webHidden/>
              </w:rPr>
              <w:fldChar w:fldCharType="separate"/>
            </w:r>
            <w:r w:rsidR="00313CFF">
              <w:rPr>
                <w:webHidden/>
              </w:rPr>
              <w:t>27</w:t>
            </w:r>
            <w:r w:rsidR="00313CFF">
              <w:rPr>
                <w:webHidden/>
              </w:rPr>
              <w:fldChar w:fldCharType="end"/>
            </w:r>
          </w:hyperlink>
        </w:p>
        <w:p w14:paraId="7E4FB6E7" w14:textId="649A94D3" w:rsidR="00313CFF" w:rsidRDefault="00B45257" w:rsidP="00313CFF">
          <w:pPr>
            <w:pStyle w:val="TOC2"/>
            <w:spacing w:after="0"/>
            <w:ind w:left="284" w:firstLine="0"/>
            <w:rPr>
              <w:rFonts w:asciiTheme="minorHAnsi" w:eastAsiaTheme="minorEastAsia" w:hAnsiTheme="minorHAnsi"/>
              <w:color w:val="auto"/>
              <w:kern w:val="2"/>
              <w:lang w:eastAsia="en-GB"/>
              <w14:ligatures w14:val="standardContextual"/>
            </w:rPr>
          </w:pPr>
          <w:hyperlink w:anchor="_Toc144302617" w:history="1">
            <w:r w:rsidR="00313CFF" w:rsidRPr="009A67B5">
              <w:rPr>
                <w:rStyle w:val="Hyperlink"/>
              </w:rPr>
              <w:t xml:space="preserve">Appendix B: Minister’s Letter Statement of Expectations – December 2022 and </w:t>
            </w:r>
            <w:r w:rsidR="00313CFF">
              <w:rPr>
                <w:rStyle w:val="Hyperlink"/>
              </w:rPr>
              <w:br/>
            </w:r>
            <w:r w:rsidR="00313CFF" w:rsidRPr="009A67B5">
              <w:rPr>
                <w:rStyle w:val="Hyperlink"/>
              </w:rPr>
              <w:t>the NDIS Statement of Intent – March 2023</w:t>
            </w:r>
            <w:r w:rsidR="00313CFF">
              <w:rPr>
                <w:webHidden/>
              </w:rPr>
              <w:tab/>
            </w:r>
            <w:r w:rsidR="00313CFF">
              <w:rPr>
                <w:webHidden/>
              </w:rPr>
              <w:fldChar w:fldCharType="begin"/>
            </w:r>
            <w:r w:rsidR="00313CFF">
              <w:rPr>
                <w:webHidden/>
              </w:rPr>
              <w:instrText xml:space="preserve"> PAGEREF _Toc144302617 \h </w:instrText>
            </w:r>
            <w:r w:rsidR="00313CFF">
              <w:rPr>
                <w:webHidden/>
              </w:rPr>
            </w:r>
            <w:r w:rsidR="00313CFF">
              <w:rPr>
                <w:webHidden/>
              </w:rPr>
              <w:fldChar w:fldCharType="separate"/>
            </w:r>
            <w:r w:rsidR="00313CFF">
              <w:rPr>
                <w:webHidden/>
              </w:rPr>
              <w:t>29</w:t>
            </w:r>
            <w:r w:rsidR="00313CFF">
              <w:rPr>
                <w:webHidden/>
              </w:rPr>
              <w:fldChar w:fldCharType="end"/>
            </w:r>
          </w:hyperlink>
        </w:p>
        <w:p w14:paraId="5328AE1C" w14:textId="2059F5AD"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8" w:history="1">
            <w:r w:rsidR="00313CFF" w:rsidRPr="009A67B5">
              <w:rPr>
                <w:rStyle w:val="Hyperlink"/>
              </w:rPr>
              <w:t>Appendix C: Core Functions</w:t>
            </w:r>
            <w:r w:rsidR="00313CFF">
              <w:rPr>
                <w:webHidden/>
              </w:rPr>
              <w:tab/>
            </w:r>
            <w:r w:rsidR="00313CFF">
              <w:rPr>
                <w:webHidden/>
              </w:rPr>
              <w:fldChar w:fldCharType="begin"/>
            </w:r>
            <w:r w:rsidR="00313CFF">
              <w:rPr>
                <w:webHidden/>
              </w:rPr>
              <w:instrText xml:space="preserve"> PAGEREF _Toc144302618 \h </w:instrText>
            </w:r>
            <w:r w:rsidR="00313CFF">
              <w:rPr>
                <w:webHidden/>
              </w:rPr>
            </w:r>
            <w:r w:rsidR="00313CFF">
              <w:rPr>
                <w:webHidden/>
              </w:rPr>
              <w:fldChar w:fldCharType="separate"/>
            </w:r>
            <w:r w:rsidR="00313CFF">
              <w:rPr>
                <w:webHidden/>
              </w:rPr>
              <w:t>29</w:t>
            </w:r>
            <w:r w:rsidR="00313CFF">
              <w:rPr>
                <w:webHidden/>
              </w:rPr>
              <w:fldChar w:fldCharType="end"/>
            </w:r>
          </w:hyperlink>
        </w:p>
        <w:p w14:paraId="5AAC3B1E" w14:textId="51100B8E" w:rsidR="00313CFF" w:rsidRDefault="00B45257" w:rsidP="00313CFF">
          <w:pPr>
            <w:pStyle w:val="TOC2"/>
            <w:spacing w:after="0"/>
            <w:rPr>
              <w:rFonts w:asciiTheme="minorHAnsi" w:eastAsiaTheme="minorEastAsia" w:hAnsiTheme="minorHAnsi"/>
              <w:color w:val="auto"/>
              <w:kern w:val="2"/>
              <w:lang w:eastAsia="en-GB"/>
              <w14:ligatures w14:val="standardContextual"/>
            </w:rPr>
          </w:pPr>
          <w:hyperlink w:anchor="_Toc144302619" w:history="1">
            <w:r w:rsidR="00313CFF" w:rsidRPr="009A67B5">
              <w:rPr>
                <w:rStyle w:val="Hyperlink"/>
              </w:rPr>
              <w:t>Appendix D: Compliance</w:t>
            </w:r>
            <w:r w:rsidR="00313CFF">
              <w:rPr>
                <w:webHidden/>
              </w:rPr>
              <w:tab/>
            </w:r>
            <w:r w:rsidR="00313CFF">
              <w:rPr>
                <w:webHidden/>
              </w:rPr>
              <w:fldChar w:fldCharType="begin"/>
            </w:r>
            <w:r w:rsidR="00313CFF">
              <w:rPr>
                <w:webHidden/>
              </w:rPr>
              <w:instrText xml:space="preserve"> PAGEREF _Toc144302619 \h </w:instrText>
            </w:r>
            <w:r w:rsidR="00313CFF">
              <w:rPr>
                <w:webHidden/>
              </w:rPr>
            </w:r>
            <w:r w:rsidR="00313CFF">
              <w:rPr>
                <w:webHidden/>
              </w:rPr>
              <w:fldChar w:fldCharType="separate"/>
            </w:r>
            <w:r w:rsidR="00313CFF">
              <w:rPr>
                <w:webHidden/>
              </w:rPr>
              <w:t>30</w:t>
            </w:r>
            <w:r w:rsidR="00313CFF">
              <w:rPr>
                <w:webHidden/>
              </w:rPr>
              <w:fldChar w:fldCharType="end"/>
            </w:r>
          </w:hyperlink>
        </w:p>
        <w:p w14:paraId="1C64CAAA" w14:textId="3A06E86F" w:rsidR="00313CFF" w:rsidRDefault="00B45257" w:rsidP="00313CFF">
          <w:pPr>
            <w:pStyle w:val="TOC1"/>
            <w:spacing w:after="0"/>
            <w:rPr>
              <w:rFonts w:asciiTheme="minorHAnsi" w:eastAsiaTheme="minorEastAsia" w:hAnsiTheme="minorHAnsi"/>
              <w:noProof/>
              <w:kern w:val="2"/>
              <w:szCs w:val="24"/>
              <w:lang w:eastAsia="en-GB"/>
              <w14:ligatures w14:val="standardContextual"/>
            </w:rPr>
          </w:pPr>
          <w:hyperlink w:anchor="_Toc144302620" w:history="1">
            <w:r w:rsidR="00313CFF" w:rsidRPr="009A67B5">
              <w:rPr>
                <w:rStyle w:val="Hyperlink"/>
                <w:noProof/>
              </w:rPr>
              <w:t>Glossary</w:t>
            </w:r>
            <w:r w:rsidR="00313CFF">
              <w:rPr>
                <w:noProof/>
                <w:webHidden/>
              </w:rPr>
              <w:tab/>
            </w:r>
            <w:r w:rsidR="00313CFF">
              <w:rPr>
                <w:noProof/>
                <w:webHidden/>
              </w:rPr>
              <w:fldChar w:fldCharType="begin"/>
            </w:r>
            <w:r w:rsidR="00313CFF">
              <w:rPr>
                <w:noProof/>
                <w:webHidden/>
              </w:rPr>
              <w:instrText xml:space="preserve"> PAGEREF _Toc144302620 \h </w:instrText>
            </w:r>
            <w:r w:rsidR="00313CFF">
              <w:rPr>
                <w:noProof/>
                <w:webHidden/>
              </w:rPr>
            </w:r>
            <w:r w:rsidR="00313CFF">
              <w:rPr>
                <w:noProof/>
                <w:webHidden/>
              </w:rPr>
              <w:fldChar w:fldCharType="separate"/>
            </w:r>
            <w:r w:rsidR="00313CFF">
              <w:rPr>
                <w:noProof/>
                <w:webHidden/>
              </w:rPr>
              <w:t>31</w:t>
            </w:r>
            <w:r w:rsidR="00313CFF">
              <w:rPr>
                <w:noProof/>
                <w:webHidden/>
              </w:rPr>
              <w:fldChar w:fldCharType="end"/>
            </w:r>
          </w:hyperlink>
        </w:p>
        <w:p w14:paraId="2CA32565" w14:textId="61BF8A49" w:rsidR="005257D1" w:rsidRPr="00801DC5" w:rsidRDefault="00801DC5" w:rsidP="00313CFF">
          <w:pPr>
            <w:pStyle w:val="TOC1"/>
            <w:spacing w:before="80" w:after="0"/>
            <w:rPr>
              <w:rFonts w:asciiTheme="minorHAnsi" w:hAnsiTheme="minorHAnsi"/>
              <w:bCs/>
              <w:noProof/>
              <w:color w:val="000000" w:themeColor="text1"/>
              <w:sz w:val="22"/>
            </w:rPr>
          </w:pPr>
          <w:r>
            <w:rPr>
              <w:color w:val="000000" w:themeColor="text1"/>
              <w:szCs w:val="24"/>
            </w:rPr>
            <w:fldChar w:fldCharType="end"/>
          </w:r>
        </w:p>
      </w:sdtContent>
    </w:sdt>
    <w:p w14:paraId="3281EA15" w14:textId="77777777" w:rsidR="005257D1" w:rsidRDefault="005257D1" w:rsidP="005257D1"/>
    <w:p w14:paraId="70C46598" w14:textId="77777777" w:rsidR="005257D1" w:rsidRDefault="005257D1" w:rsidP="005257D1">
      <w:pPr>
        <w:sectPr w:rsidR="005257D1" w:rsidSect="005C15E8">
          <w:headerReference w:type="even" r:id="rId23"/>
          <w:headerReference w:type="default" r:id="rId24"/>
          <w:headerReference w:type="first" r:id="rId25"/>
          <w:footerReference w:type="first" r:id="rId26"/>
          <w:pgSz w:w="11906" w:h="16838" w:code="9"/>
          <w:pgMar w:top="1134" w:right="1440" w:bottom="1440" w:left="1440" w:header="284" w:footer="397" w:gutter="0"/>
          <w:cols w:space="340"/>
          <w:titlePg/>
          <w:docGrid w:linePitch="360"/>
        </w:sectPr>
      </w:pPr>
    </w:p>
    <w:p w14:paraId="1FB08831" w14:textId="5D6A2A4A" w:rsidR="005B7F81" w:rsidRDefault="005B7F81" w:rsidP="005B7F81">
      <w:pPr>
        <w:pStyle w:val="Heading1"/>
      </w:pPr>
      <w:bookmarkStart w:id="13" w:name="_Toc144222446"/>
      <w:bookmarkStart w:id="14" w:name="_Toc144287939"/>
      <w:bookmarkStart w:id="15" w:name="_Toc144302592"/>
      <w:r w:rsidRPr="005B7F81">
        <w:lastRenderedPageBreak/>
        <w:t>Corporate Plan 2023–24</w:t>
      </w:r>
      <w:r>
        <w:rPr>
          <w:b w:val="0"/>
        </w:rPr>
        <w:t xml:space="preserve"> </w:t>
      </w:r>
      <w:r w:rsidR="002859B4">
        <w:t>on a page</w:t>
      </w:r>
      <w:bookmarkEnd w:id="13"/>
      <w:bookmarkEnd w:id="14"/>
      <w:bookmarkEnd w:id="15"/>
    </w:p>
    <w:p w14:paraId="2548D82E" w14:textId="14ADEE31" w:rsidR="005B7F81" w:rsidRPr="00452D48" w:rsidRDefault="005B7F81" w:rsidP="00801DC5">
      <w:pPr>
        <w:pStyle w:val="H2noTOC"/>
      </w:pPr>
      <w:bookmarkStart w:id="16" w:name="_Toc112641890"/>
      <w:bookmarkStart w:id="17" w:name="_Toc112642085"/>
      <w:bookmarkStart w:id="18" w:name="_Toc144288046"/>
      <w:r w:rsidRPr="00452D48">
        <w:t>Our vision</w:t>
      </w:r>
      <w:bookmarkEnd w:id="16"/>
      <w:bookmarkEnd w:id="17"/>
      <w:bookmarkEnd w:id="18"/>
    </w:p>
    <w:p w14:paraId="0DF40AC8" w14:textId="0DB2365E" w:rsidR="005B7F81" w:rsidRPr="005B7F81" w:rsidRDefault="005B7F81" w:rsidP="009B15A6">
      <w:r w:rsidRPr="005B7F81">
        <w:t>People with disability achieve their aspirations</w:t>
      </w:r>
    </w:p>
    <w:p w14:paraId="664E6642" w14:textId="77777777" w:rsidR="005B7F81" w:rsidRPr="00801DC5" w:rsidRDefault="005B7F81" w:rsidP="00801DC5">
      <w:pPr>
        <w:pStyle w:val="H2noTOC"/>
      </w:pPr>
      <w:bookmarkStart w:id="19" w:name="_Our_purpose"/>
      <w:bookmarkStart w:id="20" w:name="_Toc112641891"/>
      <w:bookmarkStart w:id="21" w:name="_Toc112642086"/>
      <w:bookmarkStart w:id="22" w:name="_Toc144288047"/>
      <w:bookmarkEnd w:id="19"/>
      <w:r w:rsidRPr="00801DC5">
        <w:t>Our purpose</w:t>
      </w:r>
      <w:bookmarkEnd w:id="20"/>
      <w:bookmarkEnd w:id="21"/>
      <w:bookmarkEnd w:id="22"/>
    </w:p>
    <w:p w14:paraId="68B5D661" w14:textId="77777777" w:rsidR="005B7F81" w:rsidRPr="00452D48" w:rsidRDefault="005B7F81" w:rsidP="00452D48">
      <w:r w:rsidRPr="00452D48">
        <w:t>To uphold the rights of NDIS participants, to elevate quality and safety and enable consumer independence</w:t>
      </w:r>
    </w:p>
    <w:p w14:paraId="22EE305D" w14:textId="77777777" w:rsidR="005B7F81" w:rsidRPr="00801DC5" w:rsidRDefault="005B7F81" w:rsidP="00801DC5">
      <w:pPr>
        <w:pStyle w:val="H2noTOC"/>
      </w:pPr>
      <w:bookmarkStart w:id="23" w:name="_Toc112641892"/>
      <w:bookmarkStart w:id="24" w:name="_Toc112642087"/>
      <w:bookmarkStart w:id="25" w:name="_Toc144288048"/>
      <w:r w:rsidRPr="00801DC5">
        <w:t>Our impact areas</w:t>
      </w:r>
      <w:bookmarkEnd w:id="23"/>
      <w:bookmarkEnd w:id="24"/>
      <w:bookmarkEnd w:id="25"/>
    </w:p>
    <w:p w14:paraId="26C2338F" w14:textId="77777777" w:rsidR="005B7F81" w:rsidRPr="005B7F81" w:rsidRDefault="005B7F81" w:rsidP="00EE1607">
      <w:pPr>
        <w:pStyle w:val="Bullet1"/>
      </w:pPr>
      <w:r w:rsidRPr="005B7F81">
        <w:t>Rights of people with disability</w:t>
      </w:r>
    </w:p>
    <w:p w14:paraId="0340AB47" w14:textId="77777777" w:rsidR="005B7F81" w:rsidRPr="005B7F81" w:rsidRDefault="005B7F81" w:rsidP="00EE1607">
      <w:pPr>
        <w:pStyle w:val="Bullet1"/>
      </w:pPr>
      <w:r w:rsidRPr="005B7F81">
        <w:t>Quality providers and workers</w:t>
      </w:r>
    </w:p>
    <w:p w14:paraId="62F76A5A" w14:textId="77777777" w:rsidR="005B7F81" w:rsidRPr="005B7F81" w:rsidRDefault="005B7F81" w:rsidP="00EE1607">
      <w:pPr>
        <w:pStyle w:val="Bullet1"/>
      </w:pPr>
      <w:r w:rsidRPr="005B7F81">
        <w:t>Thriving, diverse markets</w:t>
      </w:r>
    </w:p>
    <w:p w14:paraId="48B7FB4E" w14:textId="77777777" w:rsidR="005B7F81" w:rsidRPr="00801DC5" w:rsidRDefault="005B7F81" w:rsidP="00801DC5">
      <w:pPr>
        <w:pStyle w:val="H2noTOC"/>
      </w:pPr>
      <w:bookmarkStart w:id="26" w:name="_Toc144288049"/>
      <w:r w:rsidRPr="00801DC5">
        <w:t>Our priorities</w:t>
      </w:r>
      <w:bookmarkEnd w:id="26"/>
    </w:p>
    <w:p w14:paraId="611AC18B" w14:textId="58B59B73" w:rsidR="003734DF" w:rsidRPr="008647A4" w:rsidRDefault="00171347" w:rsidP="00EE1607">
      <w:pPr>
        <w:pStyle w:val="Bullet1"/>
      </w:pPr>
      <w:r w:rsidRPr="008647A4">
        <w:t>Amplifying p</w:t>
      </w:r>
      <w:r w:rsidR="003734DF" w:rsidRPr="008647A4">
        <w:t>articipant voice</w:t>
      </w:r>
      <w:r w:rsidRPr="008647A4">
        <w:t>s</w:t>
      </w:r>
    </w:p>
    <w:p w14:paraId="107C6AB6" w14:textId="44F84101" w:rsidR="004F3F6C" w:rsidRPr="008647A4" w:rsidRDefault="00171347" w:rsidP="00EE1607">
      <w:pPr>
        <w:pStyle w:val="Bullet1"/>
      </w:pPr>
      <w:r w:rsidRPr="008647A4">
        <w:t>Accelerating regulatory</w:t>
      </w:r>
      <w:r w:rsidR="00E0487A" w:rsidRPr="008647A4">
        <w:t xml:space="preserve"> impact</w:t>
      </w:r>
      <w:r w:rsidRPr="008647A4">
        <w:t xml:space="preserve"> maturity</w:t>
      </w:r>
    </w:p>
    <w:p w14:paraId="1CEF5D63" w14:textId="5C2EF972" w:rsidR="00171347" w:rsidRPr="008647A4" w:rsidRDefault="004F3F6C" w:rsidP="00EE1607">
      <w:pPr>
        <w:pStyle w:val="Bullet1"/>
      </w:pPr>
      <w:r w:rsidRPr="008647A4">
        <w:t xml:space="preserve">Improving quality </w:t>
      </w:r>
    </w:p>
    <w:p w14:paraId="16C3944F" w14:textId="487E8217" w:rsidR="003734DF" w:rsidRPr="008647A4" w:rsidRDefault="003734DF" w:rsidP="00EE1607">
      <w:pPr>
        <w:pStyle w:val="Bullet1"/>
      </w:pPr>
      <w:r w:rsidRPr="008647A4">
        <w:t xml:space="preserve">Our </w:t>
      </w:r>
      <w:r w:rsidR="00830594">
        <w:t>p</w:t>
      </w:r>
      <w:r w:rsidRPr="008647A4">
        <w:t xml:space="preserve">eople </w:t>
      </w:r>
    </w:p>
    <w:p w14:paraId="5B2D1AFE" w14:textId="17FADB6F" w:rsidR="003734DF" w:rsidRPr="008647A4" w:rsidRDefault="00383468" w:rsidP="00EE1607">
      <w:pPr>
        <w:pStyle w:val="Bullet1"/>
      </w:pPr>
      <w:r w:rsidRPr="008647A4">
        <w:t>Integrated Capability</w:t>
      </w:r>
    </w:p>
    <w:p w14:paraId="09048CB5" w14:textId="3B50B701" w:rsidR="005B7F81" w:rsidRPr="00801DC5" w:rsidRDefault="005B7F81" w:rsidP="00801DC5">
      <w:pPr>
        <w:pStyle w:val="H2noTOC"/>
      </w:pPr>
      <w:bookmarkStart w:id="27" w:name="_Toc112641899"/>
      <w:bookmarkStart w:id="28" w:name="_Toc112642094"/>
      <w:bookmarkStart w:id="29" w:name="_Toc144288050"/>
      <w:r w:rsidRPr="00801DC5">
        <w:t xml:space="preserve">Key </w:t>
      </w:r>
      <w:r w:rsidR="00FA597B" w:rsidRPr="00801DC5">
        <w:t>activities</w:t>
      </w:r>
      <w:bookmarkEnd w:id="27"/>
      <w:bookmarkEnd w:id="28"/>
      <w:bookmarkEnd w:id="29"/>
    </w:p>
    <w:p w14:paraId="1C505783" w14:textId="68DDCC93" w:rsidR="00424454" w:rsidRPr="008647A4" w:rsidRDefault="00FA597B" w:rsidP="008647A4">
      <w:r w:rsidRPr="008647A4">
        <w:t>Over the four-year period of the Corporate Plan,</w:t>
      </w:r>
      <w:r w:rsidR="003A3316" w:rsidRPr="008647A4">
        <w:t xml:space="preserve"> the </w:t>
      </w:r>
      <w:r w:rsidR="00571EF0" w:rsidRPr="008647A4">
        <w:t xml:space="preserve">NDIS </w:t>
      </w:r>
      <w:r w:rsidR="003A3316" w:rsidRPr="008647A4">
        <w:t>Commission will focus on creating impact</w:t>
      </w:r>
      <w:r w:rsidR="00220B35" w:rsidRPr="008647A4">
        <w:t xml:space="preserve"> </w:t>
      </w:r>
      <w:r w:rsidR="003A3316" w:rsidRPr="008647A4">
        <w:t xml:space="preserve">in the areas of </w:t>
      </w:r>
      <w:r w:rsidR="00470E23" w:rsidRPr="008647A4">
        <w:t>r</w:t>
      </w:r>
      <w:r w:rsidR="003A3316" w:rsidRPr="008647A4">
        <w:t xml:space="preserve">ights of people with disability, </w:t>
      </w:r>
      <w:r w:rsidR="00470E23" w:rsidRPr="008647A4">
        <w:t>q</w:t>
      </w:r>
      <w:r w:rsidR="003A3316" w:rsidRPr="008647A4">
        <w:t xml:space="preserve">uality providers and workers and </w:t>
      </w:r>
      <w:r w:rsidR="00470E23" w:rsidRPr="008647A4">
        <w:t>t</w:t>
      </w:r>
      <w:r w:rsidR="003A3316" w:rsidRPr="008647A4">
        <w:t>hriving, diverse markets.</w:t>
      </w:r>
      <w:r w:rsidRPr="008647A4">
        <w:t xml:space="preserve"> </w:t>
      </w:r>
      <w:r w:rsidR="003A3316" w:rsidRPr="008647A4">
        <w:t>This plan, the second in the four-year cycle, explains the</w:t>
      </w:r>
      <w:r w:rsidR="0076271C" w:rsidRPr="008647A4">
        <w:t xml:space="preserve"> NDIS</w:t>
      </w:r>
      <w:r w:rsidR="003A3316" w:rsidRPr="008647A4">
        <w:t xml:space="preserve"> Commission’s 2023-24 priorities and key activities, that along with the performance measures contribute to achieving this impact.</w:t>
      </w:r>
    </w:p>
    <w:p w14:paraId="5D9CC5AB" w14:textId="77777777" w:rsidR="008647A4" w:rsidRDefault="008647A4" w:rsidP="008647A4">
      <w:pPr>
        <w:pStyle w:val="Heading3"/>
      </w:pPr>
      <w:r w:rsidRPr="008647A4">
        <w:t>Amplifying participant voices</w:t>
      </w:r>
    </w:p>
    <w:p w14:paraId="4290FD5C" w14:textId="77777777" w:rsidR="008647A4" w:rsidRDefault="008647A4" w:rsidP="00EE1607">
      <w:pPr>
        <w:pStyle w:val="Bullet1"/>
      </w:pPr>
      <w:r>
        <w:t>Advisory Groups</w:t>
      </w:r>
    </w:p>
    <w:p w14:paraId="4F5482E5" w14:textId="77777777" w:rsidR="008647A4" w:rsidRDefault="008647A4" w:rsidP="00EE1607">
      <w:pPr>
        <w:pStyle w:val="Bullet1"/>
      </w:pPr>
      <w:r>
        <w:t>Co-design of consumer information</w:t>
      </w:r>
    </w:p>
    <w:p w14:paraId="0865C05A" w14:textId="782E682D" w:rsidR="008647A4" w:rsidRDefault="008647A4" w:rsidP="00EE1607">
      <w:pPr>
        <w:pStyle w:val="Bullet1"/>
      </w:pPr>
      <w:r>
        <w:t>Supported decision-making</w:t>
      </w:r>
    </w:p>
    <w:p w14:paraId="69AF468C" w14:textId="7FD2AD8D" w:rsidR="008647A4" w:rsidRDefault="008647A4" w:rsidP="008647A4">
      <w:pPr>
        <w:pStyle w:val="Heading3"/>
      </w:pPr>
      <w:r w:rsidRPr="008647A4">
        <w:lastRenderedPageBreak/>
        <w:t>Accelerating regulatory impact</w:t>
      </w:r>
    </w:p>
    <w:p w14:paraId="74AF517A" w14:textId="77777777" w:rsidR="008647A4" w:rsidRDefault="008647A4" w:rsidP="00EE1607">
      <w:pPr>
        <w:pStyle w:val="Bullet1"/>
      </w:pPr>
      <w:r w:rsidRPr="00EE1607">
        <w:t>Regulatory</w:t>
      </w:r>
      <w:r>
        <w:t xml:space="preserve"> Capability Framework </w:t>
      </w:r>
    </w:p>
    <w:p w14:paraId="04D59888" w14:textId="77777777" w:rsidR="008647A4" w:rsidRDefault="008647A4" w:rsidP="00EE1607">
      <w:pPr>
        <w:pStyle w:val="Bullet1"/>
      </w:pPr>
      <w:r>
        <w:t>Compliance priorities and campaigns</w:t>
      </w:r>
    </w:p>
    <w:p w14:paraId="2D5D7070" w14:textId="11493967" w:rsidR="008647A4" w:rsidRDefault="008647A4" w:rsidP="00EE1607">
      <w:pPr>
        <w:pStyle w:val="Bullet1"/>
      </w:pPr>
      <w:r>
        <w:t>Enforcement activity</w:t>
      </w:r>
    </w:p>
    <w:p w14:paraId="454AE3B9" w14:textId="650EFEF4" w:rsidR="008647A4" w:rsidRDefault="008647A4" w:rsidP="008647A4">
      <w:pPr>
        <w:pStyle w:val="Heading3"/>
      </w:pPr>
      <w:r>
        <w:t>Improving quality</w:t>
      </w:r>
    </w:p>
    <w:p w14:paraId="35598F4C" w14:textId="77777777" w:rsidR="008647A4" w:rsidRDefault="008647A4" w:rsidP="00EE1607">
      <w:pPr>
        <w:pStyle w:val="Bullet1"/>
      </w:pPr>
      <w:r>
        <w:t>Lifting quality practice</w:t>
      </w:r>
    </w:p>
    <w:p w14:paraId="47DB3133" w14:textId="77777777" w:rsidR="008647A4" w:rsidRDefault="008647A4" w:rsidP="00EE1607">
      <w:pPr>
        <w:pStyle w:val="Bullet1"/>
      </w:pPr>
      <w:r>
        <w:t>Quality investment</w:t>
      </w:r>
    </w:p>
    <w:p w14:paraId="2763A910" w14:textId="473FA113" w:rsidR="008647A4" w:rsidRDefault="008647A4" w:rsidP="00EE1607">
      <w:pPr>
        <w:pStyle w:val="Bullet1"/>
      </w:pPr>
      <w:r>
        <w:t>Responding to the findings of reviews</w:t>
      </w:r>
    </w:p>
    <w:p w14:paraId="6E4A7358" w14:textId="77777777" w:rsidR="008647A4" w:rsidRPr="008647A4" w:rsidRDefault="008647A4" w:rsidP="008647A4">
      <w:pPr>
        <w:pStyle w:val="Heading3"/>
      </w:pPr>
      <w:r w:rsidRPr="008647A4">
        <w:t xml:space="preserve">Our People </w:t>
      </w:r>
    </w:p>
    <w:p w14:paraId="2F63A332" w14:textId="77777777" w:rsidR="008647A4" w:rsidRDefault="008647A4" w:rsidP="00EE1607">
      <w:pPr>
        <w:pStyle w:val="Bullet1"/>
      </w:pPr>
      <w:r>
        <w:t>Workforce uplift</w:t>
      </w:r>
    </w:p>
    <w:p w14:paraId="1C788929" w14:textId="77777777" w:rsidR="008647A4" w:rsidRDefault="008647A4" w:rsidP="00EE1607">
      <w:pPr>
        <w:pStyle w:val="Bullet1"/>
      </w:pPr>
      <w:r>
        <w:t>Staff safety and wellbeing</w:t>
      </w:r>
    </w:p>
    <w:p w14:paraId="5D94C7D6" w14:textId="433048F2" w:rsidR="008647A4" w:rsidRPr="008647A4" w:rsidRDefault="008647A4" w:rsidP="00EE1607">
      <w:pPr>
        <w:pStyle w:val="Bullet1"/>
      </w:pPr>
      <w:r>
        <w:t xml:space="preserve">Workforce Plan implementation </w:t>
      </w:r>
    </w:p>
    <w:p w14:paraId="6C0D71F8" w14:textId="0FA23C55" w:rsidR="00424454" w:rsidRDefault="00424454" w:rsidP="005B7F81">
      <w:pPr>
        <w:suppressAutoHyphens w:val="0"/>
        <w:spacing w:before="120" w:after="120" w:line="240" w:lineRule="auto"/>
      </w:pPr>
    </w:p>
    <w:p w14:paraId="66E691AF" w14:textId="77777777" w:rsidR="008647A4" w:rsidRPr="00171347" w:rsidRDefault="008647A4" w:rsidP="008647A4">
      <w:pPr>
        <w:suppressAutoHyphens w:val="0"/>
        <w:spacing w:before="120" w:after="120" w:line="240" w:lineRule="auto"/>
        <w:rPr>
          <w:rFonts w:asciiTheme="majorHAnsi" w:eastAsiaTheme="majorEastAsia" w:hAnsiTheme="majorHAnsi" w:cstheme="majorBidi"/>
          <w:b/>
          <w:color w:val="5F2E74" w:themeColor="text2"/>
          <w:sz w:val="26"/>
          <w:szCs w:val="24"/>
        </w:rPr>
      </w:pPr>
      <w:r>
        <w:rPr>
          <w:rFonts w:asciiTheme="majorHAnsi" w:eastAsiaTheme="majorEastAsia" w:hAnsiTheme="majorHAnsi" w:cstheme="majorBidi"/>
          <w:b/>
          <w:color w:val="5F2E74" w:themeColor="text2"/>
          <w:sz w:val="26"/>
          <w:szCs w:val="24"/>
        </w:rPr>
        <w:t>Integrated Capability</w:t>
      </w:r>
    </w:p>
    <w:p w14:paraId="29F412A2" w14:textId="77777777" w:rsidR="008647A4" w:rsidRDefault="008647A4" w:rsidP="00EE1607">
      <w:pPr>
        <w:pStyle w:val="Bullet1"/>
      </w:pPr>
      <w:r>
        <w:t>T</w:t>
      </w:r>
      <w:r w:rsidRPr="00B81AE3">
        <w:t xml:space="preserve">he </w:t>
      </w:r>
      <w:r>
        <w:t>Data and Regulatory Transformation (</w:t>
      </w:r>
      <w:r w:rsidRPr="00B81AE3">
        <w:rPr>
          <w:b/>
          <w:bCs/>
        </w:rPr>
        <w:t>DART</w:t>
      </w:r>
      <w:r>
        <w:t>) project</w:t>
      </w:r>
    </w:p>
    <w:p w14:paraId="369473C3" w14:textId="77777777" w:rsidR="0058597C" w:rsidRDefault="00EC2FC2" w:rsidP="00EE1607">
      <w:pPr>
        <w:pStyle w:val="Bullet1"/>
      </w:pPr>
      <w:r>
        <w:t xml:space="preserve"> Improve Commission internal I</w:t>
      </w:r>
      <w:r w:rsidR="0058597C">
        <w:t xml:space="preserve">nformation and </w:t>
      </w:r>
      <w:r>
        <w:t>C</w:t>
      </w:r>
      <w:r w:rsidR="0058597C">
        <w:t xml:space="preserve">ommunications </w:t>
      </w:r>
      <w:r>
        <w:t>T</w:t>
      </w:r>
      <w:r w:rsidR="0058597C">
        <w:t>echnology (ICT)</w:t>
      </w:r>
      <w:r>
        <w:t xml:space="preserve"> capability</w:t>
      </w:r>
    </w:p>
    <w:p w14:paraId="058A70F1" w14:textId="26E1916B" w:rsidR="008647A4" w:rsidRDefault="008647A4" w:rsidP="00EE1607">
      <w:pPr>
        <w:pStyle w:val="Bullet1"/>
      </w:pPr>
      <w:r>
        <w:t xml:space="preserve">Continuous business improvements </w:t>
      </w:r>
    </w:p>
    <w:p w14:paraId="7BDCF69C" w14:textId="77777777" w:rsidR="008647A4" w:rsidRDefault="008647A4" w:rsidP="00FA597B">
      <w:pPr>
        <w:pStyle w:val="Heading1"/>
      </w:pPr>
      <w:bookmarkStart w:id="30" w:name="_Toc144222447"/>
      <w:bookmarkStart w:id="31" w:name="_Toc144287940"/>
      <w:bookmarkStart w:id="32" w:name="_Toc112641893"/>
      <w:bookmarkStart w:id="33" w:name="_Toc112642088"/>
      <w:r>
        <w:br w:type="page"/>
      </w:r>
    </w:p>
    <w:p w14:paraId="600A8D09" w14:textId="4C1FD28B" w:rsidR="002B0C0D" w:rsidRDefault="002B0C0D" w:rsidP="00FA597B">
      <w:pPr>
        <w:pStyle w:val="Heading1"/>
      </w:pPr>
      <w:bookmarkStart w:id="34" w:name="_Toc144302593"/>
      <w:r>
        <w:lastRenderedPageBreak/>
        <w:t>Our agency</w:t>
      </w:r>
      <w:bookmarkEnd w:id="30"/>
      <w:bookmarkEnd w:id="31"/>
      <w:bookmarkEnd w:id="34"/>
      <w:r>
        <w:t xml:space="preserve"> </w:t>
      </w:r>
    </w:p>
    <w:p w14:paraId="1CC1789C" w14:textId="5149A413" w:rsidR="009152AD" w:rsidRDefault="002B0C0D" w:rsidP="009152AD">
      <w:pPr>
        <w:pStyle w:val="Heading2"/>
      </w:pPr>
      <w:bookmarkStart w:id="35" w:name="_Toc144287941"/>
      <w:bookmarkStart w:id="36" w:name="_Toc144302594"/>
      <w:r>
        <w:t>Commission</w:t>
      </w:r>
      <w:r w:rsidR="009152AD">
        <w:t>’s core functions</w:t>
      </w:r>
      <w:bookmarkEnd w:id="35"/>
      <w:bookmarkEnd w:id="36"/>
    </w:p>
    <w:p w14:paraId="453CC925" w14:textId="1CB3ACD9" w:rsidR="009152AD" w:rsidRDefault="009152AD" w:rsidP="009152AD">
      <w:pPr>
        <w:suppressAutoHyphens w:val="0"/>
        <w:spacing w:before="120" w:after="120" w:line="240" w:lineRule="auto"/>
      </w:pPr>
      <w:r>
        <w:t xml:space="preserve">The NDIS Commission is fundamentally guided by the responsibilities assigned under the </w:t>
      </w:r>
      <w:r w:rsidRPr="00822812">
        <w:t>NDIS Act</w:t>
      </w:r>
      <w:r w:rsidRPr="00F838B5">
        <w:t xml:space="preserve">. </w:t>
      </w:r>
      <w:r>
        <w:t>In particular, the Commissioner’s core functions (</w:t>
      </w:r>
      <w:r w:rsidRPr="00EE67AD">
        <w:t xml:space="preserve">See Appendix </w:t>
      </w:r>
      <w:r w:rsidR="005B3591">
        <w:t>C</w:t>
      </w:r>
      <w:r>
        <w:t>) have been considered and applied across all elements of this Corporate Plan and the NDIS Commission’s five-year Strategic Plan.</w:t>
      </w:r>
    </w:p>
    <w:p w14:paraId="6CF3D30A" w14:textId="23061AEC" w:rsidR="00EE1607" w:rsidRDefault="00EE1607" w:rsidP="00EE1607">
      <w:pPr>
        <w:pStyle w:val="Heading3"/>
      </w:pPr>
      <w:r>
        <w:t>Complaints</w:t>
      </w:r>
    </w:p>
    <w:p w14:paraId="3DF9B33C" w14:textId="60F406C4" w:rsidR="00EE1607" w:rsidRDefault="00EE1607" w:rsidP="00EE1607">
      <w:pPr>
        <w:suppressAutoHyphens w:val="0"/>
        <w:spacing w:before="120" w:after="120" w:line="240" w:lineRule="auto"/>
      </w:pPr>
      <w:r>
        <w:t>We receive, investigate, manage, mediate and resolve complaints about NDIS supportsand services.</w:t>
      </w:r>
    </w:p>
    <w:p w14:paraId="4270B901" w14:textId="4BCD2155" w:rsidR="00EE1607" w:rsidRDefault="00EE1607" w:rsidP="00EE1607">
      <w:pPr>
        <w:pStyle w:val="Heading3"/>
      </w:pPr>
      <w:r>
        <w:t>Reportable Incidents</w:t>
      </w:r>
    </w:p>
    <w:p w14:paraId="79762457" w14:textId="64D7F489" w:rsidR="00EE1607" w:rsidRDefault="00EE1607" w:rsidP="00EE1607">
      <w:r w:rsidRPr="00EE1607">
        <w:t>We receive and handle reportable incidents, and investigate serious and alleged incidents experienced by NDIS participants.</w:t>
      </w:r>
    </w:p>
    <w:p w14:paraId="44BFF50A" w14:textId="0CD64019" w:rsidR="00EE1607" w:rsidRPr="00EE1607" w:rsidRDefault="00EE1607" w:rsidP="00EE1607">
      <w:r w:rsidRPr="00EE1607">
        <w:rPr>
          <w:rStyle w:val="Heading3Char"/>
        </w:rPr>
        <w:t>Registration</w:t>
      </w:r>
    </w:p>
    <w:p w14:paraId="132851C9" w14:textId="3CB29ED9" w:rsidR="00EE1607" w:rsidRDefault="00EE1607" w:rsidP="00EE1607">
      <w:r w:rsidRPr="00EE1607">
        <w:t>We register NDIS providers by assessing applications against the NDIS Act and rules, and administering an independent audit program.</w:t>
      </w:r>
      <w:r>
        <w:t xml:space="preserve"> </w:t>
      </w:r>
      <w:r w:rsidRPr="00EE1607">
        <w:t>In addition to operating and maintaining the NDIS worker screening database</w:t>
      </w:r>
      <w:r>
        <w:t>.</w:t>
      </w:r>
    </w:p>
    <w:p w14:paraId="30D0E7EB" w14:textId="637A3CF7" w:rsidR="00EE1607" w:rsidRDefault="00EE1607" w:rsidP="00EE1607">
      <w:pPr>
        <w:pStyle w:val="Heading3"/>
      </w:pPr>
      <w:r>
        <w:t>Regulating all providers</w:t>
      </w:r>
    </w:p>
    <w:p w14:paraId="2000E615" w14:textId="094EA032" w:rsidR="00EE1607" w:rsidRDefault="00EE1607" w:rsidP="00EE1607">
      <w:r>
        <w:t>We have a responsibility to act in response to complaints or concerns that come through to us about registered and unregistered providers’ supports and services, as they must comply with the Code of Conduct.</w:t>
      </w:r>
    </w:p>
    <w:p w14:paraId="41568897" w14:textId="6409669E" w:rsidR="00EE1607" w:rsidRDefault="00EE1607" w:rsidP="00EE1607">
      <w:pPr>
        <w:pStyle w:val="Heading3"/>
      </w:pPr>
      <w:r>
        <w:t>Positive Behaviour Support</w:t>
      </w:r>
    </w:p>
    <w:p w14:paraId="2FC2ECF6" w14:textId="77777777" w:rsidR="00EE1607" w:rsidRPr="00EE1607" w:rsidRDefault="00EE1607" w:rsidP="00EE1607">
      <w:r w:rsidRPr="00EE1607">
        <w:t>We developed and continue to maintain the Positive Behaviour Support Capability Framework, and we undertake research to inform better practice in services and supports.</w:t>
      </w:r>
    </w:p>
    <w:p w14:paraId="52903920" w14:textId="0B5CB404" w:rsidR="00424454" w:rsidRDefault="00424454" w:rsidP="00424454">
      <w:pPr>
        <w:pStyle w:val="Heading2"/>
      </w:pPr>
      <w:bookmarkStart w:id="37" w:name="_Toc144287943"/>
      <w:bookmarkStart w:id="38" w:name="_Toc144302595"/>
      <w:r w:rsidRPr="00424454">
        <w:t>Our Regulatory Approach</w:t>
      </w:r>
      <w:bookmarkEnd w:id="37"/>
      <w:bookmarkEnd w:id="38"/>
    </w:p>
    <w:p w14:paraId="3ECC1A26" w14:textId="1DBDC3DB" w:rsidR="0035624C" w:rsidRPr="00EE1607" w:rsidRDefault="00E647F2" w:rsidP="00EE1607">
      <w:r w:rsidRPr="00EE1607">
        <w:t xml:space="preserve">The </w:t>
      </w:r>
      <w:r w:rsidR="000F3262" w:rsidRPr="00EE1607">
        <w:t xml:space="preserve">NDIS Commission </w:t>
      </w:r>
      <w:r w:rsidRPr="00EE1607">
        <w:t xml:space="preserve">Regulatory Approach outlines how we apply our regulatory capabilities and resources to </w:t>
      </w:r>
      <w:r w:rsidR="008C40D4" w:rsidRPr="00EE1607">
        <w:t xml:space="preserve">secure provider compliance with their obligations under the NDIS Act and </w:t>
      </w:r>
      <w:r w:rsidRPr="00EE1607">
        <w:t xml:space="preserve">ensure the quality and safety of services delivered to </w:t>
      </w:r>
      <w:r w:rsidR="00571EF0" w:rsidRPr="00EE1607">
        <w:t>p</w:t>
      </w:r>
      <w:r w:rsidRPr="00EE1607">
        <w:t xml:space="preserve">articipants. It guides how we will work across multiple levels, approaches, and levers, to achieve our regulatory intent. </w:t>
      </w:r>
    </w:p>
    <w:p w14:paraId="734DE345" w14:textId="2E3900B3" w:rsidR="00E647F2" w:rsidRPr="00EE1607" w:rsidRDefault="00E647F2" w:rsidP="00EE1607">
      <w:r w:rsidRPr="00EE1607">
        <w:t xml:space="preserve">Being a contemporary and purpose-led regulator requires meaningful consideration of the application of regulatory effort. The Regulatory Approach provides a guide for how we will achieve this, recognising and addressing the need to manage risk and harm at both the entity </w:t>
      </w:r>
      <w:r w:rsidR="008C40D4" w:rsidRPr="00EE1607">
        <w:t xml:space="preserve">(provider) </w:t>
      </w:r>
      <w:r w:rsidRPr="00EE1607">
        <w:t xml:space="preserve">and systemic levels. It explains to </w:t>
      </w:r>
      <w:r w:rsidR="00470E23" w:rsidRPr="00EE1607">
        <w:t>p</w:t>
      </w:r>
      <w:r w:rsidRPr="00EE1607">
        <w:t xml:space="preserve">articipants, providers, workers and the public how the </w:t>
      </w:r>
      <w:r w:rsidR="00571EF0" w:rsidRPr="00EE1607">
        <w:t xml:space="preserve">NDIS </w:t>
      </w:r>
      <w:r w:rsidRPr="00EE1607">
        <w:t xml:space="preserve">Commission will regulate the sector in the best interests of </w:t>
      </w:r>
      <w:r w:rsidR="00571EF0" w:rsidRPr="00EE1607">
        <w:t>p</w:t>
      </w:r>
      <w:r w:rsidRPr="00EE1607">
        <w:t>articipants.</w:t>
      </w:r>
    </w:p>
    <w:p w14:paraId="6AFCCD4D" w14:textId="3911F2A7" w:rsidR="00B13748" w:rsidRPr="00EE1607" w:rsidRDefault="00B13748" w:rsidP="00EE1607">
      <w:r w:rsidRPr="00EE1607">
        <w:lastRenderedPageBreak/>
        <w:t xml:space="preserve">The NDIS Commission regulates at multiple levels using a range of regulatory levers and tools. </w:t>
      </w:r>
      <w:r w:rsidR="008C40D4" w:rsidRPr="00EE1607">
        <w:t xml:space="preserve">We apply </w:t>
      </w:r>
      <w:r w:rsidRPr="00EE1607">
        <w:t xml:space="preserve">a </w:t>
      </w:r>
      <w:r w:rsidR="00365C83" w:rsidRPr="00EE1607">
        <w:t>risk-based</w:t>
      </w:r>
      <w:r w:rsidRPr="00EE1607">
        <w:t xml:space="preserve"> approach to determine an appropriate regulatory response </w:t>
      </w:r>
      <w:r w:rsidR="008C40D4" w:rsidRPr="00EE1607">
        <w:t xml:space="preserve">to secure compliance with the NDIS Act, </w:t>
      </w:r>
      <w:r w:rsidRPr="00EE1607">
        <w:t>balancing the priorities of quality and safeguarding</w:t>
      </w:r>
      <w:r w:rsidR="00E0487A" w:rsidRPr="00EE1607">
        <w:t>.</w:t>
      </w:r>
      <w:r w:rsidRPr="00EE1607">
        <w:t xml:space="preserve"> </w:t>
      </w:r>
    </w:p>
    <w:p w14:paraId="18550C4F" w14:textId="30B41C81" w:rsidR="00B13748" w:rsidRPr="00EE1607" w:rsidRDefault="00B13748" w:rsidP="00EE1607">
      <w:r w:rsidRPr="00EE1607">
        <w:t xml:space="preserve">We think about the whole NDIS system as well as the experience and actions of individual participants, providers and practitioners. This puts participants at the centre of all we do. </w:t>
      </w:r>
    </w:p>
    <w:p w14:paraId="7426EF76" w14:textId="690D4F80" w:rsidR="00B13748" w:rsidRPr="00EE1607" w:rsidRDefault="00B13748" w:rsidP="00EE1607">
      <w:r w:rsidRPr="00EE1607">
        <w:t xml:space="preserve">We work systemically to strengthen </w:t>
      </w:r>
      <w:r w:rsidR="008C40D4" w:rsidRPr="00EE1607">
        <w:t xml:space="preserve">system </w:t>
      </w:r>
      <w:r w:rsidRPr="00EE1607">
        <w:t>approaches and culture throughout the system and we provide clear standards, training and oversight</w:t>
      </w:r>
      <w:r w:rsidR="008C40D4" w:rsidRPr="00EE1607">
        <w:t xml:space="preserve"> to </w:t>
      </w:r>
      <w:r w:rsidRPr="00EE1607">
        <w:t>uplift</w:t>
      </w:r>
      <w:r w:rsidR="008C40D4" w:rsidRPr="00EE1607">
        <w:t xml:space="preserve"> NDIS service</w:t>
      </w:r>
      <w:r w:rsidRPr="00EE1607">
        <w:t xml:space="preserve"> quality. We also work directly with individual providers, workers and in individual matters to proactively improve practice and ensure safeguarding. The combination of our work at different levels provides effective and efficient regulation that drives quality and safeguarding. </w:t>
      </w:r>
    </w:p>
    <w:p w14:paraId="0E14CBB9" w14:textId="19DC3C38" w:rsidR="00E647F2" w:rsidRPr="00EE1607" w:rsidRDefault="00B13748" w:rsidP="00EE1607">
      <w:r w:rsidRPr="00EE1607">
        <w:t> </w:t>
      </w:r>
      <w:r w:rsidR="00E647F2" w:rsidRPr="00EE1607">
        <w:t>Our Regulatory Approach is underpinned by:</w:t>
      </w:r>
    </w:p>
    <w:p w14:paraId="4ED84336" w14:textId="2D837F89" w:rsidR="00E647F2" w:rsidRPr="00892FC0" w:rsidRDefault="00E647F2" w:rsidP="00EE1607">
      <w:pPr>
        <w:pStyle w:val="Bullet1"/>
      </w:pPr>
      <w:r w:rsidRPr="00892FC0">
        <w:t xml:space="preserve">Our high intensity responses </w:t>
      </w:r>
      <w:r w:rsidR="00C7390C">
        <w:t>to</w:t>
      </w:r>
      <w:r w:rsidR="00C7390C" w:rsidRPr="00892FC0">
        <w:t xml:space="preserve"> </w:t>
      </w:r>
      <w:r w:rsidRPr="00892FC0">
        <w:t>address urgent risks to participant rights and critical sector issues</w:t>
      </w:r>
    </w:p>
    <w:p w14:paraId="599741A3" w14:textId="7AD3360F" w:rsidR="00E647F2" w:rsidRPr="00892FC0" w:rsidRDefault="00E647F2" w:rsidP="00EE1607">
      <w:pPr>
        <w:pStyle w:val="Bullet1"/>
      </w:pPr>
      <w:r w:rsidRPr="00892FC0">
        <w:t xml:space="preserve">Our targeted campaigns </w:t>
      </w:r>
      <w:r w:rsidR="00C7390C">
        <w:t>to</w:t>
      </w:r>
      <w:r w:rsidR="00C7390C" w:rsidRPr="00892FC0">
        <w:t xml:space="preserve"> </w:t>
      </w:r>
      <w:r w:rsidRPr="00892FC0">
        <w:t>avert potential risks to participants and address emerging sector issues</w:t>
      </w:r>
    </w:p>
    <w:p w14:paraId="1ABDEDF2" w14:textId="1DD4DB79" w:rsidR="00E647F2" w:rsidRPr="00892FC0" w:rsidRDefault="00E647F2" w:rsidP="00EE1607">
      <w:pPr>
        <w:pStyle w:val="Bullet1"/>
        <w:spacing w:after="202"/>
      </w:pPr>
      <w:r w:rsidRPr="00892FC0">
        <w:t xml:space="preserve">Our regulatory </w:t>
      </w:r>
      <w:r w:rsidR="0003131A" w:rsidRPr="00892FC0">
        <w:t>activities, which</w:t>
      </w:r>
      <w:r w:rsidRPr="00892FC0">
        <w:t xml:space="preserve"> provide ongoing sector regulation and oversight.</w:t>
      </w:r>
    </w:p>
    <w:p w14:paraId="6F4EE99E" w14:textId="32FDB93F" w:rsidR="000729EC" w:rsidRPr="000C7B29" w:rsidRDefault="00E647F2" w:rsidP="000C7B29">
      <w:pPr>
        <w:pStyle w:val="NormalWeb"/>
        <w:spacing w:before="0" w:beforeAutospacing="0" w:after="150" w:afterAutospacing="0"/>
        <w:rPr>
          <w:rFonts w:asciiTheme="minorHAnsi" w:eastAsiaTheme="minorHAnsi" w:hAnsiTheme="minorHAnsi" w:cstheme="minorBidi"/>
          <w:color w:val="000000" w:themeColor="text1"/>
          <w:sz w:val="22"/>
          <w:szCs w:val="20"/>
          <w:lang w:eastAsia="en-US"/>
        </w:rPr>
      </w:pPr>
      <w:r w:rsidRPr="00892FC0">
        <w:rPr>
          <w:rFonts w:asciiTheme="minorHAnsi" w:eastAsiaTheme="minorHAnsi" w:hAnsiTheme="minorHAnsi" w:cstheme="minorBidi"/>
          <w:color w:val="000000" w:themeColor="text1"/>
          <w:sz w:val="22"/>
          <w:szCs w:val="20"/>
          <w:lang w:eastAsia="en-US"/>
        </w:rPr>
        <w:t>Supporting the Regulatory Approach, our </w:t>
      </w:r>
      <w:r w:rsidR="00571EF0" w:rsidRPr="00892FC0">
        <w:rPr>
          <w:rFonts w:asciiTheme="minorHAnsi" w:eastAsiaTheme="minorHAnsi" w:hAnsiTheme="minorHAnsi" w:cstheme="minorBidi"/>
          <w:color w:val="000000" w:themeColor="text1"/>
          <w:sz w:val="22"/>
          <w:szCs w:val="20"/>
          <w:lang w:eastAsia="en-US"/>
        </w:rPr>
        <w:t>Operating Model</w:t>
      </w:r>
      <w:r w:rsidRPr="00892FC0">
        <w:rPr>
          <w:rFonts w:asciiTheme="minorHAnsi" w:eastAsiaTheme="minorHAnsi" w:hAnsiTheme="minorHAnsi" w:cstheme="minorBidi"/>
          <w:color w:val="000000" w:themeColor="text1"/>
          <w:sz w:val="22"/>
          <w:szCs w:val="20"/>
          <w:lang w:eastAsia="en-US"/>
        </w:rPr>
        <w:t xml:space="preserve"> describes our regulatory functions, processes and ways of working. </w:t>
      </w:r>
      <w:r w:rsidR="000729EC" w:rsidRPr="000C7B29">
        <w:rPr>
          <w:rFonts w:asciiTheme="minorHAnsi" w:eastAsiaTheme="minorHAnsi" w:hAnsiTheme="minorHAnsi" w:cstheme="minorBidi"/>
          <w:color w:val="000000" w:themeColor="text1"/>
          <w:sz w:val="22"/>
          <w:szCs w:val="20"/>
          <w:lang w:eastAsia="en-US"/>
        </w:rPr>
        <w:t xml:space="preserve">The </w:t>
      </w:r>
      <w:r w:rsidR="00470E23">
        <w:rPr>
          <w:rFonts w:asciiTheme="minorHAnsi" w:eastAsiaTheme="minorHAnsi" w:hAnsiTheme="minorHAnsi" w:cstheme="minorBidi"/>
          <w:color w:val="000000" w:themeColor="text1"/>
          <w:sz w:val="22"/>
          <w:szCs w:val="20"/>
          <w:lang w:eastAsia="en-US"/>
        </w:rPr>
        <w:t>O</w:t>
      </w:r>
      <w:r w:rsidR="000729EC" w:rsidRPr="000C7B29">
        <w:rPr>
          <w:rFonts w:asciiTheme="minorHAnsi" w:eastAsiaTheme="minorHAnsi" w:hAnsiTheme="minorHAnsi" w:cstheme="minorBidi"/>
          <w:color w:val="000000" w:themeColor="text1"/>
          <w:sz w:val="22"/>
          <w:szCs w:val="20"/>
          <w:lang w:eastAsia="en-US"/>
        </w:rPr>
        <w:t xml:space="preserve">perating </w:t>
      </w:r>
      <w:r w:rsidR="00470E23">
        <w:rPr>
          <w:rFonts w:asciiTheme="minorHAnsi" w:eastAsiaTheme="minorHAnsi" w:hAnsiTheme="minorHAnsi" w:cstheme="minorBidi"/>
          <w:color w:val="000000" w:themeColor="text1"/>
          <w:sz w:val="22"/>
          <w:szCs w:val="20"/>
          <w:lang w:eastAsia="en-US"/>
        </w:rPr>
        <w:t>M</w:t>
      </w:r>
      <w:r w:rsidR="000729EC" w:rsidRPr="000C7B29">
        <w:rPr>
          <w:rFonts w:asciiTheme="minorHAnsi" w:eastAsiaTheme="minorHAnsi" w:hAnsiTheme="minorHAnsi" w:cstheme="minorBidi"/>
          <w:color w:val="000000" w:themeColor="text1"/>
          <w:sz w:val="22"/>
          <w:szCs w:val="20"/>
          <w:lang w:eastAsia="en-US"/>
        </w:rPr>
        <w:t>odel describes how we coordinate and deliver our regulatory approaches and how we can work together to achieve our regulatory purpose of upholding the rights of NDIS participants and elevating quality, safety and consumer independence.</w:t>
      </w:r>
    </w:p>
    <w:p w14:paraId="646CE10E" w14:textId="20A1BB6C" w:rsidR="00444D7B" w:rsidRPr="009B15A6" w:rsidRDefault="00444D7B" w:rsidP="009B15A6">
      <w:pPr>
        <w:pStyle w:val="NormalWeb"/>
        <w:spacing w:before="0" w:beforeAutospacing="0" w:after="150" w:afterAutospacing="0"/>
        <w:rPr>
          <w:rFonts w:asciiTheme="minorHAnsi" w:eastAsiaTheme="minorHAnsi" w:hAnsiTheme="minorHAnsi" w:cstheme="minorBidi"/>
          <w:color w:val="000000" w:themeColor="text1"/>
          <w:sz w:val="22"/>
          <w:szCs w:val="20"/>
          <w:lang w:eastAsia="en-US"/>
        </w:rPr>
      </w:pPr>
      <w:r w:rsidRPr="009B15A6">
        <w:rPr>
          <w:rFonts w:asciiTheme="minorHAnsi" w:eastAsiaTheme="minorHAnsi" w:hAnsiTheme="minorHAnsi" w:cstheme="minorBidi"/>
          <w:color w:val="000000" w:themeColor="text1"/>
          <w:sz w:val="22"/>
          <w:szCs w:val="20"/>
          <w:lang w:eastAsia="en-US"/>
        </w:rPr>
        <w:t>The Regulatory Approach signals a greater focus on quality, working at multiple levels of quality and safeguarding and putting participants at the centre of all we do.</w:t>
      </w:r>
      <w:r>
        <w:rPr>
          <w:rFonts w:asciiTheme="minorHAnsi" w:eastAsiaTheme="minorHAnsi" w:hAnsiTheme="minorHAnsi" w:cstheme="minorBidi"/>
          <w:color w:val="000000" w:themeColor="text1"/>
          <w:sz w:val="22"/>
          <w:szCs w:val="20"/>
          <w:lang w:eastAsia="en-US"/>
        </w:rPr>
        <w:t xml:space="preserve"> </w:t>
      </w:r>
      <w:r w:rsidRPr="009B15A6">
        <w:rPr>
          <w:rFonts w:asciiTheme="minorHAnsi" w:eastAsiaTheme="minorHAnsi" w:hAnsiTheme="minorHAnsi" w:cstheme="minorBidi"/>
          <w:color w:val="000000" w:themeColor="text1"/>
          <w:sz w:val="22"/>
          <w:szCs w:val="20"/>
          <w:lang w:eastAsia="en-US"/>
        </w:rPr>
        <w:t xml:space="preserve">Levers </w:t>
      </w:r>
      <w:r>
        <w:rPr>
          <w:rFonts w:asciiTheme="minorHAnsi" w:eastAsiaTheme="minorHAnsi" w:hAnsiTheme="minorHAnsi" w:cstheme="minorBidi"/>
          <w:color w:val="000000" w:themeColor="text1"/>
          <w:sz w:val="22"/>
          <w:szCs w:val="20"/>
          <w:lang w:eastAsia="en-US"/>
        </w:rPr>
        <w:t>that</w:t>
      </w:r>
      <w:r w:rsidRPr="009B15A6">
        <w:rPr>
          <w:rFonts w:asciiTheme="minorHAnsi" w:eastAsiaTheme="minorHAnsi" w:hAnsiTheme="minorHAnsi" w:cstheme="minorBidi"/>
          <w:color w:val="000000" w:themeColor="text1"/>
          <w:sz w:val="22"/>
          <w:szCs w:val="20"/>
          <w:lang w:eastAsia="en-US"/>
        </w:rPr>
        <w:t xml:space="preserve"> identify and respond to </w:t>
      </w:r>
      <w:r>
        <w:rPr>
          <w:rFonts w:asciiTheme="minorHAnsi" w:eastAsiaTheme="minorHAnsi" w:hAnsiTheme="minorHAnsi" w:cstheme="minorBidi"/>
          <w:color w:val="000000" w:themeColor="text1"/>
          <w:sz w:val="22"/>
          <w:szCs w:val="20"/>
          <w:lang w:eastAsia="en-US"/>
        </w:rPr>
        <w:t>drivers of risk and anticipated</w:t>
      </w:r>
      <w:r w:rsidRPr="009B15A6">
        <w:rPr>
          <w:rFonts w:asciiTheme="minorHAnsi" w:eastAsiaTheme="minorHAnsi" w:hAnsiTheme="minorHAnsi" w:cstheme="minorBidi"/>
          <w:color w:val="000000" w:themeColor="text1"/>
          <w:sz w:val="22"/>
          <w:szCs w:val="20"/>
          <w:lang w:eastAsia="en-US"/>
        </w:rPr>
        <w:t xml:space="preserve"> or actual harm</w:t>
      </w:r>
      <w:r>
        <w:rPr>
          <w:rFonts w:asciiTheme="minorHAnsi" w:eastAsiaTheme="minorHAnsi" w:hAnsiTheme="minorHAnsi" w:cstheme="minorBidi"/>
          <w:color w:val="000000" w:themeColor="text1"/>
          <w:sz w:val="22"/>
          <w:szCs w:val="20"/>
          <w:lang w:eastAsia="en-US"/>
        </w:rPr>
        <w:t xml:space="preserve"> include:</w:t>
      </w:r>
      <w:r w:rsidRPr="009B15A6">
        <w:rPr>
          <w:rFonts w:asciiTheme="minorHAnsi" w:eastAsiaTheme="minorHAnsi" w:hAnsiTheme="minorHAnsi" w:cstheme="minorBidi"/>
          <w:color w:val="000000" w:themeColor="text1"/>
          <w:sz w:val="22"/>
          <w:szCs w:val="20"/>
          <w:lang w:eastAsia="en-US"/>
        </w:rPr>
        <w:t xml:space="preserve"> require, monitor, respond enforce and ensure</w:t>
      </w:r>
      <w:r>
        <w:rPr>
          <w:rFonts w:asciiTheme="minorHAnsi" w:eastAsiaTheme="minorHAnsi" w:hAnsiTheme="minorHAnsi" w:cstheme="minorBidi"/>
          <w:color w:val="000000" w:themeColor="text1"/>
          <w:sz w:val="22"/>
          <w:szCs w:val="20"/>
          <w:lang w:eastAsia="en-US"/>
        </w:rPr>
        <w:t xml:space="preserve">. </w:t>
      </w:r>
      <w:r w:rsidRPr="009B15A6">
        <w:rPr>
          <w:rFonts w:asciiTheme="minorHAnsi" w:eastAsiaTheme="minorHAnsi" w:hAnsiTheme="minorHAnsi" w:cstheme="minorBidi"/>
          <w:color w:val="000000" w:themeColor="text1"/>
          <w:sz w:val="22"/>
          <w:szCs w:val="20"/>
          <w:lang w:eastAsia="en-US"/>
        </w:rPr>
        <w:t>Levers to promote quality and participant safety</w:t>
      </w:r>
      <w:r>
        <w:rPr>
          <w:rFonts w:asciiTheme="minorHAnsi" w:eastAsiaTheme="minorHAnsi" w:hAnsiTheme="minorHAnsi" w:cstheme="minorBidi"/>
          <w:color w:val="000000" w:themeColor="text1"/>
          <w:sz w:val="22"/>
          <w:szCs w:val="20"/>
          <w:lang w:eastAsia="en-US"/>
        </w:rPr>
        <w:t xml:space="preserve"> include: consult, educate and </w:t>
      </w:r>
      <w:r w:rsidRPr="009B15A6">
        <w:rPr>
          <w:rFonts w:asciiTheme="minorHAnsi" w:eastAsiaTheme="minorHAnsi" w:hAnsiTheme="minorHAnsi" w:cstheme="minorBidi"/>
          <w:color w:val="000000" w:themeColor="text1"/>
          <w:sz w:val="22"/>
          <w:szCs w:val="20"/>
          <w:lang w:eastAsia="en-US"/>
        </w:rPr>
        <w:t>influence</w:t>
      </w:r>
      <w:r>
        <w:rPr>
          <w:rFonts w:asciiTheme="minorHAnsi" w:eastAsiaTheme="minorHAnsi" w:hAnsiTheme="minorHAnsi" w:cstheme="minorBidi"/>
          <w:color w:val="000000" w:themeColor="text1"/>
          <w:sz w:val="22"/>
          <w:szCs w:val="20"/>
          <w:lang w:eastAsia="en-US"/>
        </w:rPr>
        <w:t>.</w:t>
      </w:r>
    </w:p>
    <w:p w14:paraId="523E1B76" w14:textId="77777777" w:rsidR="005C15E8" w:rsidRDefault="005C15E8" w:rsidP="0079387A">
      <w:pPr>
        <w:pStyle w:val="Heading1"/>
      </w:pPr>
      <w:bookmarkStart w:id="39" w:name="_Our_Priorities_and"/>
      <w:bookmarkStart w:id="40" w:name="_Toc144222448"/>
      <w:bookmarkStart w:id="41" w:name="_Toc144287944"/>
      <w:bookmarkEnd w:id="39"/>
      <w:r>
        <w:br w:type="page"/>
      </w:r>
    </w:p>
    <w:p w14:paraId="52779C6E" w14:textId="112BA3F8" w:rsidR="0079387A" w:rsidRPr="00AA4C7F" w:rsidRDefault="009152AD" w:rsidP="005C15E8">
      <w:pPr>
        <w:pStyle w:val="Heading1"/>
        <w:spacing w:after="120"/>
        <w:rPr>
          <w:color w:val="FF0000"/>
        </w:rPr>
      </w:pPr>
      <w:bookmarkStart w:id="42" w:name="_Our_priorities_and_1"/>
      <w:bookmarkStart w:id="43" w:name="_Toc144302596"/>
      <w:bookmarkEnd w:id="42"/>
      <w:r>
        <w:lastRenderedPageBreak/>
        <w:t xml:space="preserve">Our </w:t>
      </w:r>
      <w:r w:rsidR="005B3591">
        <w:t xml:space="preserve">priorities </w:t>
      </w:r>
      <w:r>
        <w:t>and key activities</w:t>
      </w:r>
      <w:r w:rsidR="00AA4C7F">
        <w:t xml:space="preserve"> </w:t>
      </w:r>
      <w:r w:rsidR="00E55829">
        <w:t>in 2023-24</w:t>
      </w:r>
      <w:bookmarkEnd w:id="40"/>
      <w:bookmarkEnd w:id="41"/>
      <w:bookmarkEnd w:id="43"/>
    </w:p>
    <w:p w14:paraId="207045A7" w14:textId="7A09A054" w:rsidR="00894640" w:rsidRDefault="00AF7700" w:rsidP="005C15E8">
      <w:pPr>
        <w:pStyle w:val="Heading2"/>
        <w:spacing w:before="240"/>
      </w:pPr>
      <w:bookmarkStart w:id="44" w:name="_Toc144302597"/>
      <w:r w:rsidRPr="00171347">
        <w:t xml:space="preserve">Amplifying participant </w:t>
      </w:r>
      <w:r>
        <w:t>voices</w:t>
      </w:r>
      <w:bookmarkEnd w:id="44"/>
    </w:p>
    <w:tbl>
      <w:tblPr>
        <w:tblStyle w:val="ListTable4-Accent11"/>
        <w:tblW w:w="9020" w:type="dxa"/>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2381"/>
        <w:gridCol w:w="6639"/>
      </w:tblGrid>
      <w:tr w:rsidR="00AF7700" w:rsidRPr="00AF7700" w14:paraId="35C8A0EA" w14:textId="77777777" w:rsidTr="0040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none" w:sz="0" w:space="0" w:color="auto"/>
              <w:left w:val="none" w:sz="0" w:space="0" w:color="auto"/>
              <w:bottom w:val="none" w:sz="0" w:space="0" w:color="auto"/>
            </w:tcBorders>
          </w:tcPr>
          <w:p w14:paraId="073F2E37" w14:textId="03513284" w:rsidR="00AF7700" w:rsidRPr="00AF7700" w:rsidRDefault="00AF7700" w:rsidP="00AF7700">
            <w:r w:rsidRPr="00AF7700">
              <w:t xml:space="preserve">Key activity </w:t>
            </w:r>
          </w:p>
        </w:tc>
        <w:tc>
          <w:tcPr>
            <w:tcW w:w="6639" w:type="dxa"/>
            <w:tcBorders>
              <w:top w:val="none" w:sz="0" w:space="0" w:color="auto"/>
              <w:bottom w:val="none" w:sz="0" w:space="0" w:color="auto"/>
              <w:right w:val="none" w:sz="0" w:space="0" w:color="auto"/>
            </w:tcBorders>
          </w:tcPr>
          <w:p w14:paraId="1DDCAC3F" w14:textId="07AEFFA6" w:rsidR="00AF7700" w:rsidRPr="00AF7700" w:rsidRDefault="00AF7700" w:rsidP="00AF7700">
            <w:pPr>
              <w:cnfStyle w:val="100000000000" w:firstRow="1" w:lastRow="0" w:firstColumn="0" w:lastColumn="0" w:oddVBand="0" w:evenVBand="0" w:oddHBand="0" w:evenHBand="0" w:firstRowFirstColumn="0" w:firstRowLastColumn="0" w:lastRowFirstColumn="0" w:lastRowLastColumn="0"/>
            </w:pPr>
            <w:r w:rsidRPr="00AF7700">
              <w:t>Initiatives</w:t>
            </w:r>
          </w:p>
        </w:tc>
      </w:tr>
      <w:tr w:rsidR="00AF7700" w:rsidRPr="00AF7700" w14:paraId="551343DD" w14:textId="77777777" w:rsidTr="004024A5">
        <w:tc>
          <w:tcPr>
            <w:cnfStyle w:val="001000000000" w:firstRow="0" w:lastRow="0" w:firstColumn="1" w:lastColumn="0" w:oddVBand="0" w:evenVBand="0" w:oddHBand="0" w:evenHBand="0" w:firstRowFirstColumn="0" w:firstRowLastColumn="0" w:lastRowFirstColumn="0" w:lastRowLastColumn="0"/>
            <w:tcW w:w="2381" w:type="dxa"/>
          </w:tcPr>
          <w:p w14:paraId="7C77198F" w14:textId="77777777" w:rsidR="00AF7700" w:rsidRPr="00AF7700" w:rsidRDefault="00AF7700" w:rsidP="00AF7700">
            <w:r w:rsidRPr="00AF7700">
              <w:t>Advisory Groups</w:t>
            </w:r>
          </w:p>
          <w:p w14:paraId="5269C7D2" w14:textId="77777777" w:rsidR="00AF7700" w:rsidRPr="00AF7700" w:rsidRDefault="00AF7700" w:rsidP="00AF7700"/>
        </w:tc>
        <w:tc>
          <w:tcPr>
            <w:tcW w:w="6639" w:type="dxa"/>
          </w:tcPr>
          <w:p w14:paraId="5F6774AD" w14:textId="7E32ED3E"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continue to place participants at the centre of all we do and will listen and seek insights. Some ways this will occur is through the refresh of the </w:t>
            </w:r>
            <w:r w:rsidRPr="00AF7700">
              <w:rPr>
                <w:b/>
                <w:bCs/>
              </w:rPr>
              <w:t>Consultative Committee</w:t>
            </w:r>
            <w:r w:rsidRPr="00AF7700">
              <w:t xml:space="preserve"> and establishment of </w:t>
            </w:r>
            <w:r w:rsidRPr="00AF7700">
              <w:rPr>
                <w:b/>
                <w:bCs/>
              </w:rPr>
              <w:t>Experts by Experience</w:t>
            </w:r>
            <w:r w:rsidRPr="00AF7700">
              <w:t xml:space="preserve">. </w:t>
            </w:r>
          </w:p>
          <w:p w14:paraId="3F23A239" w14:textId="3AE0323D"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Additionally we will host the </w:t>
            </w:r>
            <w:r w:rsidRPr="00AF7700">
              <w:rPr>
                <w:b/>
                <w:bCs/>
              </w:rPr>
              <w:t>Research Steering Committee</w:t>
            </w:r>
            <w:r w:rsidRPr="00AF7700">
              <w:t xml:space="preserve"> and embed co-designing and co-production approaches in how we develop and deliver regulatory policy and practice.</w:t>
            </w:r>
          </w:p>
        </w:tc>
      </w:tr>
      <w:tr w:rsidR="00AF7700" w:rsidRPr="00AF7700" w14:paraId="61506E31" w14:textId="77777777" w:rsidTr="004024A5">
        <w:tc>
          <w:tcPr>
            <w:cnfStyle w:val="001000000000" w:firstRow="0" w:lastRow="0" w:firstColumn="1" w:lastColumn="0" w:oddVBand="0" w:evenVBand="0" w:oddHBand="0" w:evenHBand="0" w:firstRowFirstColumn="0" w:firstRowLastColumn="0" w:lastRowFirstColumn="0" w:lastRowLastColumn="0"/>
            <w:tcW w:w="2381" w:type="dxa"/>
          </w:tcPr>
          <w:p w14:paraId="53196308" w14:textId="45F42A8C" w:rsidR="00AF7700" w:rsidRPr="00AF7700" w:rsidRDefault="00AF7700" w:rsidP="00AF7700">
            <w:r w:rsidRPr="00AF7700">
              <w:t>Co-design of consumer information</w:t>
            </w:r>
          </w:p>
        </w:tc>
        <w:tc>
          <w:tcPr>
            <w:tcW w:w="6639" w:type="dxa"/>
          </w:tcPr>
          <w:p w14:paraId="0FF912BC" w14:textId="572AB941"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develop and launch </w:t>
            </w:r>
            <w:r w:rsidRPr="00AF7700">
              <w:rPr>
                <w:b/>
                <w:bCs/>
              </w:rPr>
              <w:t>co-designed consumer information</w:t>
            </w:r>
            <w:r w:rsidRPr="00AF7700">
              <w:t xml:space="preserve"> to promote the accessibility of the information we receive and share. </w:t>
            </w:r>
          </w:p>
        </w:tc>
      </w:tr>
      <w:tr w:rsidR="00AF7700" w:rsidRPr="00AF7700" w14:paraId="205AF61F" w14:textId="77777777" w:rsidTr="004024A5">
        <w:tc>
          <w:tcPr>
            <w:cnfStyle w:val="001000000000" w:firstRow="0" w:lastRow="0" w:firstColumn="1" w:lastColumn="0" w:oddVBand="0" w:evenVBand="0" w:oddHBand="0" w:evenHBand="0" w:firstRowFirstColumn="0" w:firstRowLastColumn="0" w:lastRowFirstColumn="0" w:lastRowLastColumn="0"/>
            <w:tcW w:w="2381" w:type="dxa"/>
          </w:tcPr>
          <w:p w14:paraId="4F032EE2" w14:textId="32E1640F" w:rsidR="00AF7700" w:rsidRPr="00AF7700" w:rsidRDefault="00AF7700" w:rsidP="00AF7700">
            <w:r w:rsidRPr="00AF7700">
              <w:t>Supported decision-making</w:t>
            </w:r>
          </w:p>
        </w:tc>
        <w:tc>
          <w:tcPr>
            <w:tcW w:w="6639" w:type="dxa"/>
          </w:tcPr>
          <w:p w14:paraId="482A786E" w14:textId="79DA405F"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implement the </w:t>
            </w:r>
            <w:r w:rsidRPr="00AF7700">
              <w:rPr>
                <w:b/>
                <w:bCs/>
              </w:rPr>
              <w:t>‘Deciding With Support’</w:t>
            </w:r>
            <w:r w:rsidRPr="00AF7700">
              <w:t xml:space="preserve"> resource toolkit in the sector. This toolkit is a co-designed evidence-based resource on supported decision-making for everyone involved in behaviour support. It aims to make everyone more confident to use supported decision-making so people with disability are empowered in behaviour support decisions.</w:t>
            </w:r>
          </w:p>
        </w:tc>
      </w:tr>
    </w:tbl>
    <w:p w14:paraId="7D08BEBF" w14:textId="328B8596" w:rsidR="00894640" w:rsidRPr="00894640" w:rsidRDefault="00AF7700" w:rsidP="00AF7700">
      <w:pPr>
        <w:pStyle w:val="Heading2"/>
      </w:pPr>
      <w:bookmarkStart w:id="45" w:name="_Toc144302598"/>
      <w:r w:rsidRPr="00171347">
        <w:t xml:space="preserve">Accelerating </w:t>
      </w:r>
      <w:r>
        <w:t>regulatory impact</w:t>
      </w:r>
      <w:bookmarkEnd w:id="45"/>
    </w:p>
    <w:tbl>
      <w:tblPr>
        <w:tblStyle w:val="ListTable4-Accent11"/>
        <w:tblW w:w="5001"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2382"/>
        <w:gridCol w:w="6646"/>
      </w:tblGrid>
      <w:tr w:rsidR="00AF7700" w:rsidRPr="00AF7700" w14:paraId="67127186" w14:textId="77777777" w:rsidTr="0040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tcBorders>
              <w:top w:val="none" w:sz="0" w:space="0" w:color="auto"/>
              <w:left w:val="none" w:sz="0" w:space="0" w:color="auto"/>
              <w:bottom w:val="none" w:sz="0" w:space="0" w:color="auto"/>
            </w:tcBorders>
          </w:tcPr>
          <w:p w14:paraId="1F0FCC7E" w14:textId="77777777" w:rsidR="00AF7700" w:rsidRPr="00AF7700" w:rsidRDefault="00AF7700" w:rsidP="00AF7700">
            <w:r w:rsidRPr="00AF7700">
              <w:t xml:space="preserve">Key activity </w:t>
            </w:r>
          </w:p>
        </w:tc>
        <w:tc>
          <w:tcPr>
            <w:tcW w:w="3681" w:type="pct"/>
            <w:tcBorders>
              <w:top w:val="none" w:sz="0" w:space="0" w:color="auto"/>
              <w:bottom w:val="none" w:sz="0" w:space="0" w:color="auto"/>
              <w:right w:val="none" w:sz="0" w:space="0" w:color="auto"/>
            </w:tcBorders>
          </w:tcPr>
          <w:p w14:paraId="3C24B3CC" w14:textId="77777777" w:rsidR="00AF7700" w:rsidRPr="00AF7700" w:rsidRDefault="00AF7700" w:rsidP="00AF7700">
            <w:pPr>
              <w:cnfStyle w:val="100000000000" w:firstRow="1" w:lastRow="0" w:firstColumn="0" w:lastColumn="0" w:oddVBand="0" w:evenVBand="0" w:oddHBand="0" w:evenHBand="0" w:firstRowFirstColumn="0" w:firstRowLastColumn="0" w:lastRowFirstColumn="0" w:lastRowLastColumn="0"/>
            </w:pPr>
            <w:r w:rsidRPr="00AF7700">
              <w:t>Initiatives</w:t>
            </w:r>
          </w:p>
        </w:tc>
      </w:tr>
      <w:tr w:rsidR="00AF7700" w:rsidRPr="00AF7700" w14:paraId="4A6DDCBF" w14:textId="77777777" w:rsidTr="004024A5">
        <w:trPr>
          <w:trHeight w:val="1315"/>
        </w:trPr>
        <w:tc>
          <w:tcPr>
            <w:cnfStyle w:val="001000000000" w:firstRow="0" w:lastRow="0" w:firstColumn="1" w:lastColumn="0" w:oddVBand="0" w:evenVBand="0" w:oddHBand="0" w:evenHBand="0" w:firstRowFirstColumn="0" w:firstRowLastColumn="0" w:lastRowFirstColumn="0" w:lastRowLastColumn="0"/>
            <w:tcW w:w="1319" w:type="pct"/>
          </w:tcPr>
          <w:p w14:paraId="26F65E7F" w14:textId="2D909646" w:rsidR="00AF7700" w:rsidRPr="00AF7700" w:rsidRDefault="00AF7700" w:rsidP="00AF7700">
            <w:r w:rsidRPr="00AF7700">
              <w:t xml:space="preserve">Regulatory Capability Framework </w:t>
            </w:r>
          </w:p>
        </w:tc>
        <w:tc>
          <w:tcPr>
            <w:tcW w:w="3681" w:type="pct"/>
          </w:tcPr>
          <w:p w14:paraId="5493F013" w14:textId="6BA92213"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Through the framework, we will implement a </w:t>
            </w:r>
            <w:r w:rsidRPr="00AF7700">
              <w:rPr>
                <w:b/>
                <w:bCs/>
              </w:rPr>
              <w:t>Regulatory Officer Learning and Development Program</w:t>
            </w:r>
            <w:r w:rsidRPr="00AF7700">
              <w:t xml:space="preserve"> to increase our workforce capability and measure this increased capability via a </w:t>
            </w:r>
            <w:r w:rsidRPr="00AF7700">
              <w:rPr>
                <w:b/>
                <w:bCs/>
              </w:rPr>
              <w:t>Regulatory Maturity survey</w:t>
            </w:r>
            <w:r w:rsidRPr="00AF7700">
              <w:t xml:space="preserve"> to bench mark ourselves and provide a comparison against other regulators.</w:t>
            </w:r>
          </w:p>
        </w:tc>
      </w:tr>
      <w:tr w:rsidR="00AF7700" w:rsidRPr="00AF7700" w14:paraId="210FE848"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6638092A" w14:textId="1EE1B98C" w:rsidR="00AF7700" w:rsidRPr="00AF7700" w:rsidRDefault="00AF7700" w:rsidP="00AF7700">
            <w:r w:rsidRPr="00AF7700">
              <w:t>Compliance priorities and campaigns</w:t>
            </w:r>
          </w:p>
        </w:tc>
        <w:tc>
          <w:tcPr>
            <w:tcW w:w="3681" w:type="pct"/>
          </w:tcPr>
          <w:p w14:paraId="0EC4702B" w14:textId="77261F0F"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establish, communicate and implement </w:t>
            </w:r>
            <w:r w:rsidRPr="00AF7700">
              <w:rPr>
                <w:b/>
                <w:bCs/>
              </w:rPr>
              <w:t>compliance priorities</w:t>
            </w:r>
            <w:r w:rsidRPr="00AF7700">
              <w:t xml:space="preserve"> 2023-24, aligned with the NDIS Commission’s </w:t>
            </w:r>
            <w:r w:rsidRPr="00AF7700">
              <w:rPr>
                <w:b/>
                <w:bCs/>
              </w:rPr>
              <w:t>Strategic Plan 2022-27</w:t>
            </w:r>
            <w:r w:rsidRPr="00AF7700">
              <w:t xml:space="preserve"> and our </w:t>
            </w:r>
            <w:r w:rsidRPr="00AF7700">
              <w:rPr>
                <w:b/>
                <w:bCs/>
              </w:rPr>
              <w:t>Regulatory Approach</w:t>
            </w:r>
            <w:r w:rsidRPr="00AF7700">
              <w:t>, communicating to providers and participants and the sector areas where we intend to focus proactive regulatory effort to address identified risks.</w:t>
            </w:r>
          </w:p>
        </w:tc>
      </w:tr>
      <w:tr w:rsidR="00AF7700" w:rsidRPr="00AF7700" w14:paraId="25789572" w14:textId="77777777" w:rsidTr="004024A5">
        <w:trPr>
          <w:trHeight w:val="722"/>
        </w:trPr>
        <w:tc>
          <w:tcPr>
            <w:cnfStyle w:val="001000000000" w:firstRow="0" w:lastRow="0" w:firstColumn="1" w:lastColumn="0" w:oddVBand="0" w:evenVBand="0" w:oddHBand="0" w:evenHBand="0" w:firstRowFirstColumn="0" w:firstRowLastColumn="0" w:lastRowFirstColumn="0" w:lastRowLastColumn="0"/>
            <w:tcW w:w="1319" w:type="pct"/>
          </w:tcPr>
          <w:p w14:paraId="3CA73683" w14:textId="10529120" w:rsidR="00AF7700" w:rsidRPr="00AF7700" w:rsidRDefault="00AF7700" w:rsidP="00AF7700">
            <w:r w:rsidRPr="00AF7700">
              <w:t>Enforcement activity</w:t>
            </w:r>
          </w:p>
        </w:tc>
        <w:tc>
          <w:tcPr>
            <w:tcW w:w="3681" w:type="pct"/>
          </w:tcPr>
          <w:p w14:paraId="75E32112" w14:textId="0C828042"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increase the use of more coercive and interventionist </w:t>
            </w:r>
            <w:r w:rsidRPr="00AF7700">
              <w:rPr>
                <w:b/>
                <w:bCs/>
              </w:rPr>
              <w:t>regulatory levers</w:t>
            </w:r>
            <w:r w:rsidRPr="00AF7700">
              <w:t>, including litigation, to serve as general and specific deterrence for providers who put participants at risk.</w:t>
            </w:r>
          </w:p>
        </w:tc>
      </w:tr>
    </w:tbl>
    <w:p w14:paraId="1E7F2067" w14:textId="10BF9C7A" w:rsidR="001F37ED" w:rsidRPr="00AF7700" w:rsidRDefault="00AF7700" w:rsidP="00AF7700">
      <w:pPr>
        <w:pStyle w:val="Heading2"/>
        <w:rPr>
          <w:bCs/>
        </w:rPr>
      </w:pPr>
      <w:bookmarkStart w:id="46" w:name="_Toc144302599"/>
      <w:r>
        <w:lastRenderedPageBreak/>
        <w:t>Improving quality</w:t>
      </w:r>
      <w:bookmarkEnd w:id="46"/>
    </w:p>
    <w:tbl>
      <w:tblPr>
        <w:tblStyle w:val="ListTable4-Accent11"/>
        <w:tblW w:w="5002"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2382"/>
        <w:gridCol w:w="6648"/>
      </w:tblGrid>
      <w:tr w:rsidR="00AF7700" w:rsidRPr="00AF7700" w14:paraId="76448572" w14:textId="77777777" w:rsidTr="0040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tcBorders>
              <w:top w:val="none" w:sz="0" w:space="0" w:color="auto"/>
              <w:left w:val="none" w:sz="0" w:space="0" w:color="auto"/>
              <w:bottom w:val="none" w:sz="0" w:space="0" w:color="auto"/>
            </w:tcBorders>
          </w:tcPr>
          <w:p w14:paraId="7510E7EF" w14:textId="77777777" w:rsidR="00AF7700" w:rsidRPr="00AF7700" w:rsidRDefault="00AF7700" w:rsidP="00AF7700">
            <w:r w:rsidRPr="00AF7700">
              <w:t xml:space="preserve">Key activity </w:t>
            </w:r>
          </w:p>
        </w:tc>
        <w:tc>
          <w:tcPr>
            <w:tcW w:w="3681" w:type="pct"/>
            <w:tcBorders>
              <w:top w:val="none" w:sz="0" w:space="0" w:color="auto"/>
              <w:bottom w:val="none" w:sz="0" w:space="0" w:color="auto"/>
              <w:right w:val="none" w:sz="0" w:space="0" w:color="auto"/>
            </w:tcBorders>
          </w:tcPr>
          <w:p w14:paraId="249EAC4B" w14:textId="77777777" w:rsidR="00AF7700" w:rsidRPr="00AF7700" w:rsidRDefault="00AF7700" w:rsidP="00AF7700">
            <w:pPr>
              <w:cnfStyle w:val="100000000000" w:firstRow="1" w:lastRow="0" w:firstColumn="0" w:lastColumn="0" w:oddVBand="0" w:evenVBand="0" w:oddHBand="0" w:evenHBand="0" w:firstRowFirstColumn="0" w:firstRowLastColumn="0" w:lastRowFirstColumn="0" w:lastRowLastColumn="0"/>
            </w:pPr>
            <w:r w:rsidRPr="00AF7700">
              <w:t>Initiatives</w:t>
            </w:r>
          </w:p>
        </w:tc>
      </w:tr>
      <w:tr w:rsidR="00AF7700" w:rsidRPr="00AF7700" w14:paraId="61B4A948"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0CE52081" w14:textId="65BFEF7A" w:rsidR="00AF7700" w:rsidRPr="00AF7700" w:rsidRDefault="00AF7700" w:rsidP="00AF7700">
            <w:r w:rsidRPr="00AF7700">
              <w:t>Lifting quality practice</w:t>
            </w:r>
          </w:p>
        </w:tc>
        <w:tc>
          <w:tcPr>
            <w:tcW w:w="3681" w:type="pct"/>
          </w:tcPr>
          <w:p w14:paraId="4D1CB766" w14:textId="7791105C"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implement a range of initiatives that </w:t>
            </w:r>
            <w:r w:rsidRPr="00AF7700">
              <w:rPr>
                <w:b/>
                <w:bCs/>
              </w:rPr>
              <w:t>will lift the capability and practice quality of behaviour support providers</w:t>
            </w:r>
            <w:r w:rsidRPr="00AF7700">
              <w:t xml:space="preserve"> and practitioners to eliminate restrictive practices, and empower people with disability about their rights when restrictive practices are being considered.</w:t>
            </w:r>
          </w:p>
        </w:tc>
      </w:tr>
      <w:tr w:rsidR="00AF7700" w:rsidRPr="00AF7700" w14:paraId="572A71AD"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6B6CD06D" w14:textId="6F41B9FD" w:rsidR="00AF7700" w:rsidRPr="00AF7700" w:rsidRDefault="00AF7700" w:rsidP="00AF7700">
            <w:r w:rsidRPr="00AF7700">
              <w:t>Quality investment</w:t>
            </w:r>
          </w:p>
          <w:p w14:paraId="2F1DD7F8" w14:textId="77777777" w:rsidR="00AF7700" w:rsidRPr="00AF7700" w:rsidRDefault="00AF7700" w:rsidP="00AF7700"/>
        </w:tc>
        <w:tc>
          <w:tcPr>
            <w:tcW w:w="3681" w:type="pct"/>
          </w:tcPr>
          <w:p w14:paraId="14AED481" w14:textId="7C7CB968"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are committed to creating impact for participants through the pursuit of quality investment across a range of areas. </w:t>
            </w:r>
          </w:p>
          <w:p w14:paraId="6966DEBB" w14:textId="2E6D4260"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Our </w:t>
            </w:r>
            <w:r w:rsidRPr="00AF7700">
              <w:rPr>
                <w:b/>
                <w:bCs/>
              </w:rPr>
              <w:t>Workforce Capability Framework</w:t>
            </w:r>
            <w:r w:rsidRPr="00AF7700">
              <w:t xml:space="preserve"> will raise awareness of provider and work obligations and the development of </w:t>
            </w:r>
            <w:r w:rsidRPr="00AF7700">
              <w:rPr>
                <w:b/>
                <w:bCs/>
              </w:rPr>
              <w:t>NDIS Practice Standards</w:t>
            </w:r>
            <w:r w:rsidRPr="00AF7700">
              <w:t xml:space="preserve"> for supported accommodation will ensure participants have choice and control and be safe within their homes. </w:t>
            </w:r>
          </w:p>
          <w:p w14:paraId="3BC8C742" w14:textId="3253C4B8"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To ensure that our approaches are evidence based we will invest in a </w:t>
            </w:r>
            <w:r w:rsidRPr="00AF7700">
              <w:rPr>
                <w:b/>
                <w:bCs/>
              </w:rPr>
              <w:t>Research Program</w:t>
            </w:r>
            <w:r w:rsidRPr="00AF7700">
              <w:t xml:space="preserve"> and partner with experts. </w:t>
            </w:r>
          </w:p>
          <w:p w14:paraId="26F3199D" w14:textId="11135A48"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We will also invest in </w:t>
            </w:r>
            <w:r w:rsidRPr="00AF7700">
              <w:rPr>
                <w:b/>
                <w:bCs/>
              </w:rPr>
              <w:t>redeveloping our website</w:t>
            </w:r>
            <w:r w:rsidRPr="00AF7700">
              <w:t xml:space="preserve"> so that people can access information in ways that meet their needs.</w:t>
            </w:r>
          </w:p>
        </w:tc>
      </w:tr>
      <w:tr w:rsidR="00AF7700" w:rsidRPr="00AF7700" w14:paraId="183C8DE9"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51EA4FDF" w14:textId="132DA444" w:rsidR="00AF7700" w:rsidRPr="00AF7700" w:rsidRDefault="00AF7700" w:rsidP="00AF7700">
            <w:r w:rsidRPr="00AF7700">
              <w:t>Responding to the findings of reviews</w:t>
            </w:r>
          </w:p>
        </w:tc>
        <w:tc>
          <w:tcPr>
            <w:tcW w:w="3681" w:type="pct"/>
          </w:tcPr>
          <w:p w14:paraId="2506FD9F" w14:textId="59038E82" w:rsidR="00AF7700" w:rsidRPr="00AF7700" w:rsidRDefault="00AF7700" w:rsidP="00AF7700">
            <w:pPr>
              <w:cnfStyle w:val="000000000000" w:firstRow="0" w:lastRow="0" w:firstColumn="0" w:lastColumn="0" w:oddVBand="0" w:evenVBand="0" w:oddHBand="0" w:evenHBand="0" w:firstRowFirstColumn="0" w:firstRowLastColumn="0" w:lastRowFirstColumn="0" w:lastRowLastColumn="0"/>
            </w:pPr>
            <w:r w:rsidRPr="00AF7700">
              <w:t xml:space="preserve">Our regulatory approach will be further shaped by the adoption of findings and recommendations from the </w:t>
            </w:r>
            <w:r w:rsidRPr="00AF7700">
              <w:rPr>
                <w:b/>
                <w:bCs/>
              </w:rPr>
              <w:t>NDIS Independent Review, the Disability Royal Commission</w:t>
            </w:r>
            <w:r w:rsidRPr="00AF7700">
              <w:t xml:space="preserve"> and our </w:t>
            </w:r>
            <w:r w:rsidRPr="00AF7700">
              <w:rPr>
                <w:b/>
                <w:bCs/>
              </w:rPr>
              <w:t>Own Motion Inquiries</w:t>
            </w:r>
            <w:r w:rsidRPr="00AF7700">
              <w:t>.</w:t>
            </w:r>
          </w:p>
        </w:tc>
      </w:tr>
    </w:tbl>
    <w:p w14:paraId="2C480A86" w14:textId="7C384D59" w:rsidR="00AF7700" w:rsidRPr="00171347" w:rsidRDefault="00AF7700" w:rsidP="00AF7700">
      <w:pPr>
        <w:pStyle w:val="Heading2"/>
      </w:pPr>
      <w:bookmarkStart w:id="47" w:name="_Toc144302600"/>
      <w:r w:rsidRPr="00171347">
        <w:t xml:space="preserve">Our </w:t>
      </w:r>
      <w:r>
        <w:t>p</w:t>
      </w:r>
      <w:r w:rsidRPr="00171347">
        <w:t>eople</w:t>
      </w:r>
      <w:bookmarkEnd w:id="47"/>
      <w:r w:rsidRPr="00171347">
        <w:t xml:space="preserve"> </w:t>
      </w:r>
    </w:p>
    <w:tbl>
      <w:tblPr>
        <w:tblStyle w:val="ListTable4-Accent11"/>
        <w:tblW w:w="5002"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2382"/>
        <w:gridCol w:w="6648"/>
      </w:tblGrid>
      <w:tr w:rsidR="00AF7700" w:rsidRPr="00484A64" w14:paraId="1283E4B7" w14:textId="77777777" w:rsidTr="0040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tcBorders>
              <w:top w:val="none" w:sz="0" w:space="0" w:color="auto"/>
              <w:left w:val="none" w:sz="0" w:space="0" w:color="auto"/>
              <w:bottom w:val="none" w:sz="0" w:space="0" w:color="auto"/>
            </w:tcBorders>
          </w:tcPr>
          <w:p w14:paraId="53949F0B" w14:textId="77777777" w:rsidR="00AF7700" w:rsidRPr="00484A64" w:rsidRDefault="00AF7700" w:rsidP="00484A64">
            <w:r w:rsidRPr="00484A64">
              <w:t xml:space="preserve">Key activity </w:t>
            </w:r>
          </w:p>
        </w:tc>
        <w:tc>
          <w:tcPr>
            <w:tcW w:w="3681" w:type="pct"/>
            <w:tcBorders>
              <w:top w:val="none" w:sz="0" w:space="0" w:color="auto"/>
              <w:bottom w:val="none" w:sz="0" w:space="0" w:color="auto"/>
              <w:right w:val="none" w:sz="0" w:space="0" w:color="auto"/>
            </w:tcBorders>
          </w:tcPr>
          <w:p w14:paraId="07A65126" w14:textId="77777777" w:rsidR="00AF7700" w:rsidRPr="00484A64" w:rsidRDefault="00AF7700" w:rsidP="00484A64">
            <w:pPr>
              <w:cnfStyle w:val="100000000000" w:firstRow="1" w:lastRow="0" w:firstColumn="0" w:lastColumn="0" w:oddVBand="0" w:evenVBand="0" w:oddHBand="0" w:evenHBand="0" w:firstRowFirstColumn="0" w:firstRowLastColumn="0" w:lastRowFirstColumn="0" w:lastRowLastColumn="0"/>
            </w:pPr>
            <w:r w:rsidRPr="00484A64">
              <w:t>Initiatives</w:t>
            </w:r>
          </w:p>
        </w:tc>
      </w:tr>
      <w:tr w:rsidR="00AF7700" w:rsidRPr="00484A64" w14:paraId="170C8C64"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0BB5A8E4" w14:textId="13F060BE" w:rsidR="00AF7700" w:rsidRPr="004024A5" w:rsidRDefault="00AF7700" w:rsidP="004024A5">
            <w:r w:rsidRPr="004024A5">
              <w:t>Workforce uplift</w:t>
            </w:r>
          </w:p>
        </w:tc>
        <w:tc>
          <w:tcPr>
            <w:tcW w:w="3681" w:type="pct"/>
          </w:tcPr>
          <w:p w14:paraId="531CE867" w14:textId="6FE20D15" w:rsidR="00AF7700" w:rsidRPr="00484A64" w:rsidRDefault="00AF7700" w:rsidP="00484A64">
            <w:pPr>
              <w:cnfStyle w:val="000000000000" w:firstRow="0" w:lastRow="0" w:firstColumn="0" w:lastColumn="0" w:oddVBand="0" w:evenVBand="0" w:oddHBand="0" w:evenHBand="0" w:firstRowFirstColumn="0" w:firstRowLastColumn="0" w:lastRowFirstColumn="0" w:lastRowLastColumn="0"/>
            </w:pPr>
            <w:r>
              <w:t xml:space="preserve">We will maximise the impact of the budget funding received and </w:t>
            </w:r>
            <w:r w:rsidRPr="00484A64">
              <w:rPr>
                <w:b/>
              </w:rPr>
              <w:t xml:space="preserve">increase the size of our workforce </w:t>
            </w:r>
            <w:r>
              <w:t xml:space="preserve">to support the delivery of our regulatory obligations. Through this uplift, we will </w:t>
            </w:r>
            <w:r w:rsidRPr="00FE324E">
              <w:rPr>
                <w:b/>
              </w:rPr>
              <w:t>attract and retain</w:t>
            </w:r>
            <w:r>
              <w:t xml:space="preserve"> a workforce that has a diverse mix of staff with the right skills and attributes. </w:t>
            </w:r>
          </w:p>
        </w:tc>
      </w:tr>
      <w:tr w:rsidR="00AF7700" w:rsidRPr="00484A64" w14:paraId="55DD7626"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15ED44B6" w14:textId="579F54FC" w:rsidR="00AF7700" w:rsidRPr="004024A5" w:rsidRDefault="00AF7700" w:rsidP="004024A5">
            <w:r w:rsidRPr="004024A5">
              <w:t>Workforce Plan implementation</w:t>
            </w:r>
          </w:p>
        </w:tc>
        <w:tc>
          <w:tcPr>
            <w:tcW w:w="3681" w:type="pct"/>
          </w:tcPr>
          <w:p w14:paraId="0549B16C" w14:textId="6F9B15C2" w:rsidR="00AF7700" w:rsidRDefault="00AF7700" w:rsidP="003E6FAA">
            <w:pPr>
              <w:cnfStyle w:val="000000000000" w:firstRow="0" w:lastRow="0" w:firstColumn="0" w:lastColumn="0" w:oddVBand="0" w:evenVBand="0" w:oddHBand="0" w:evenHBand="0" w:firstRowFirstColumn="0" w:firstRowLastColumn="0" w:lastRowFirstColumn="0" w:lastRowLastColumn="0"/>
            </w:pPr>
            <w:r>
              <w:t xml:space="preserve">We remain committed to our </w:t>
            </w:r>
            <w:r w:rsidRPr="00FE324E">
              <w:t>One Commission approach and commitment to our cultural principles</w:t>
            </w:r>
            <w:r>
              <w:rPr>
                <w:b/>
              </w:rPr>
              <w:t xml:space="preserve"> </w:t>
            </w:r>
            <w:r w:rsidRPr="00FE324E">
              <w:t>and will continue</w:t>
            </w:r>
            <w:r>
              <w:t xml:space="preserve"> the implementation </w:t>
            </w:r>
            <w:r w:rsidRPr="00FE324E">
              <w:t xml:space="preserve">of our </w:t>
            </w:r>
            <w:r>
              <w:rPr>
                <w:b/>
              </w:rPr>
              <w:t>C</w:t>
            </w:r>
            <w:r w:rsidRPr="00FE324E">
              <w:rPr>
                <w:b/>
              </w:rPr>
              <w:t xml:space="preserve">ultural </w:t>
            </w:r>
            <w:r>
              <w:rPr>
                <w:b/>
              </w:rPr>
              <w:t>R</w:t>
            </w:r>
            <w:r w:rsidRPr="00FE324E">
              <w:rPr>
                <w:b/>
              </w:rPr>
              <w:t xml:space="preserve">oad </w:t>
            </w:r>
            <w:r>
              <w:rPr>
                <w:b/>
              </w:rPr>
              <w:t>M</w:t>
            </w:r>
            <w:r w:rsidRPr="00FE324E">
              <w:rPr>
                <w:b/>
              </w:rPr>
              <w:t>ap.</w:t>
            </w:r>
            <w:r>
              <w:t xml:space="preserve"> </w:t>
            </w:r>
          </w:p>
          <w:p w14:paraId="77284091" w14:textId="4E1CD11E" w:rsidR="00AF7700" w:rsidRDefault="00AF7700" w:rsidP="003E6FAA">
            <w:pPr>
              <w:cnfStyle w:val="000000000000" w:firstRow="0" w:lastRow="0" w:firstColumn="0" w:lastColumn="0" w:oddVBand="0" w:evenVBand="0" w:oddHBand="0" w:evenHBand="0" w:firstRowFirstColumn="0" w:firstRowLastColumn="0" w:lastRowFirstColumn="0" w:lastRowLastColumn="0"/>
            </w:pPr>
            <w:r>
              <w:t xml:space="preserve">An </w:t>
            </w:r>
            <w:r w:rsidRPr="008D2122">
              <w:rPr>
                <w:b/>
              </w:rPr>
              <w:t>Onboarding</w:t>
            </w:r>
            <w:r>
              <w:t xml:space="preserve"> and targeted </w:t>
            </w:r>
            <w:r w:rsidRPr="008D2122">
              <w:rPr>
                <w:b/>
              </w:rPr>
              <w:t>Learning and Development Program</w:t>
            </w:r>
            <w:r>
              <w:rPr>
                <w:b/>
              </w:rPr>
              <w:t xml:space="preserve"> and Performance Development Platform</w:t>
            </w:r>
            <w:r w:rsidRPr="008D2122">
              <w:rPr>
                <w:b/>
              </w:rPr>
              <w:t xml:space="preserve"> </w:t>
            </w:r>
            <w:r>
              <w:t>will be deployed out to support staff in fulfilling their roles.</w:t>
            </w:r>
          </w:p>
          <w:p w14:paraId="42D08DD1" w14:textId="10981120" w:rsidR="00AF7700" w:rsidRPr="008D2122" w:rsidRDefault="00AF7700" w:rsidP="003E6FAA">
            <w:pPr>
              <w:cnfStyle w:val="000000000000" w:firstRow="0" w:lastRow="0" w:firstColumn="0" w:lastColumn="0" w:oddVBand="0" w:evenVBand="0" w:oddHBand="0" w:evenHBand="0" w:firstRowFirstColumn="0" w:firstRowLastColumn="0" w:lastRowFirstColumn="0" w:lastRowLastColumn="0"/>
              <w:rPr>
                <w:b/>
              </w:rPr>
            </w:pPr>
            <w:r>
              <w:lastRenderedPageBreak/>
              <w:t xml:space="preserve">To support a workforce pipeline that is diverse we will develop an </w:t>
            </w:r>
            <w:r>
              <w:rPr>
                <w:b/>
              </w:rPr>
              <w:t>I</w:t>
            </w:r>
            <w:r w:rsidRPr="00EE7775">
              <w:rPr>
                <w:b/>
              </w:rPr>
              <w:t xml:space="preserve">ntern, </w:t>
            </w:r>
            <w:r>
              <w:rPr>
                <w:b/>
              </w:rPr>
              <w:t>G</w:t>
            </w:r>
            <w:r w:rsidRPr="00EE7775">
              <w:rPr>
                <w:b/>
              </w:rPr>
              <w:t xml:space="preserve">raduate and Indigenous </w:t>
            </w:r>
            <w:r>
              <w:rPr>
                <w:b/>
              </w:rPr>
              <w:t>P</w:t>
            </w:r>
            <w:r w:rsidRPr="00EE7775">
              <w:rPr>
                <w:b/>
              </w:rPr>
              <w:t xml:space="preserve">athways </w:t>
            </w:r>
            <w:r>
              <w:rPr>
                <w:b/>
              </w:rPr>
              <w:t>P</w:t>
            </w:r>
            <w:r w:rsidRPr="00EE7775">
              <w:rPr>
                <w:b/>
              </w:rPr>
              <w:t>rogram.</w:t>
            </w:r>
            <w:r>
              <w:rPr>
                <w:b/>
              </w:rPr>
              <w:t xml:space="preserve"> </w:t>
            </w:r>
          </w:p>
        </w:tc>
      </w:tr>
      <w:tr w:rsidR="00AF7700" w:rsidRPr="00484A64" w14:paraId="29E19C52" w14:textId="77777777" w:rsidTr="004024A5">
        <w:tc>
          <w:tcPr>
            <w:cnfStyle w:val="001000000000" w:firstRow="0" w:lastRow="0" w:firstColumn="1" w:lastColumn="0" w:oddVBand="0" w:evenVBand="0" w:oddHBand="0" w:evenHBand="0" w:firstRowFirstColumn="0" w:firstRowLastColumn="0" w:lastRowFirstColumn="0" w:lastRowLastColumn="0"/>
            <w:tcW w:w="1319" w:type="pct"/>
          </w:tcPr>
          <w:p w14:paraId="26195566" w14:textId="168C323F" w:rsidR="00AF7700" w:rsidRPr="004024A5" w:rsidRDefault="00AF7700" w:rsidP="004024A5">
            <w:r w:rsidRPr="004024A5">
              <w:lastRenderedPageBreak/>
              <w:t>Staff safety and wellbeing</w:t>
            </w:r>
          </w:p>
        </w:tc>
        <w:tc>
          <w:tcPr>
            <w:tcW w:w="3681" w:type="pct"/>
          </w:tcPr>
          <w:p w14:paraId="797AE6A5" w14:textId="4E448B06" w:rsidR="00AF7700" w:rsidRPr="007314A0" w:rsidRDefault="00AF7700" w:rsidP="003E6FAA">
            <w:pPr>
              <w:cnfStyle w:val="000000000000" w:firstRow="0" w:lastRow="0" w:firstColumn="0" w:lastColumn="0" w:oddVBand="0" w:evenVBand="0" w:oddHBand="0" w:evenHBand="0" w:firstRowFirstColumn="0" w:firstRowLastColumn="0" w:lastRowFirstColumn="0" w:lastRowLastColumn="0"/>
            </w:pPr>
            <w:r>
              <w:t xml:space="preserve">Our </w:t>
            </w:r>
            <w:r w:rsidRPr="007314A0">
              <w:rPr>
                <w:b/>
              </w:rPr>
              <w:t xml:space="preserve">Work Health and </w:t>
            </w:r>
            <w:r>
              <w:rPr>
                <w:b/>
              </w:rPr>
              <w:t>S</w:t>
            </w:r>
            <w:r w:rsidRPr="007314A0">
              <w:rPr>
                <w:b/>
              </w:rPr>
              <w:t>afety Plan</w:t>
            </w:r>
            <w:r>
              <w:t xml:space="preserve"> will be implemented to identify</w:t>
            </w:r>
            <w:r w:rsidRPr="007314A0">
              <w:t xml:space="preserve"> and control hazards through prev</w:t>
            </w:r>
            <w:r>
              <w:t>ention, and mitigate any risk, with the deliberate intention of creating</w:t>
            </w:r>
            <w:r w:rsidRPr="007314A0">
              <w:t xml:space="preserve"> a reporting culture. </w:t>
            </w:r>
          </w:p>
          <w:p w14:paraId="34EE0279" w14:textId="7AEF4B23" w:rsidR="00AF7700" w:rsidRPr="00484A64" w:rsidRDefault="00AF7700" w:rsidP="003E6FAA">
            <w:pPr>
              <w:cnfStyle w:val="000000000000" w:firstRow="0" w:lastRow="0" w:firstColumn="0" w:lastColumn="0" w:oddVBand="0" w:evenVBand="0" w:oddHBand="0" w:evenHBand="0" w:firstRowFirstColumn="0" w:firstRowLastColumn="0" w:lastRowFirstColumn="0" w:lastRowLastColumn="0"/>
            </w:pPr>
            <w:r>
              <w:t xml:space="preserve">We will stand up staff led </w:t>
            </w:r>
            <w:r w:rsidRPr="008D2122">
              <w:rPr>
                <w:b/>
              </w:rPr>
              <w:t>Employee Network Groups,</w:t>
            </w:r>
            <w:r>
              <w:t xml:space="preserve"> as we understand</w:t>
            </w:r>
            <w:r w:rsidRPr="004F16D3">
              <w:t xml:space="preserve"> that a strong workforce is a</w:t>
            </w:r>
            <w:r>
              <w:t>lso a</w:t>
            </w:r>
            <w:r w:rsidRPr="004F16D3">
              <w:t xml:space="preserve"> diverse one</w:t>
            </w:r>
            <w:r>
              <w:t>,</w:t>
            </w:r>
            <w:r w:rsidRPr="004F16D3">
              <w:t xml:space="preserve"> where people</w:t>
            </w:r>
            <w:r>
              <w:t xml:space="preserve"> feel safe, respected and valued.</w:t>
            </w:r>
          </w:p>
        </w:tc>
      </w:tr>
    </w:tbl>
    <w:p w14:paraId="7C08461C" w14:textId="77777777" w:rsidR="00AF7700" w:rsidRPr="00171347" w:rsidRDefault="00AF7700" w:rsidP="00AF7700">
      <w:pPr>
        <w:pStyle w:val="Heading2"/>
      </w:pPr>
      <w:bookmarkStart w:id="48" w:name="_Toc144302601"/>
      <w:r>
        <w:t>Integrated Capability</w:t>
      </w:r>
      <w:bookmarkEnd w:id="48"/>
    </w:p>
    <w:tbl>
      <w:tblPr>
        <w:tblStyle w:val="ListTable4-Accent11"/>
        <w:tblW w:w="5002"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2384"/>
        <w:gridCol w:w="6646"/>
      </w:tblGrid>
      <w:tr w:rsidR="00AF7700" w:rsidRPr="00484A64" w14:paraId="74A9CBC2" w14:textId="77777777" w:rsidTr="00402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pct"/>
            <w:tcBorders>
              <w:top w:val="none" w:sz="0" w:space="0" w:color="auto"/>
              <w:left w:val="none" w:sz="0" w:space="0" w:color="auto"/>
              <w:bottom w:val="none" w:sz="0" w:space="0" w:color="auto"/>
            </w:tcBorders>
          </w:tcPr>
          <w:p w14:paraId="49FCA5AD" w14:textId="77777777" w:rsidR="00AF7700" w:rsidRPr="00484A64" w:rsidRDefault="00AF7700" w:rsidP="004F16D3">
            <w:r w:rsidRPr="00484A64">
              <w:t xml:space="preserve">Key activity </w:t>
            </w:r>
          </w:p>
        </w:tc>
        <w:tc>
          <w:tcPr>
            <w:tcW w:w="3680" w:type="pct"/>
            <w:tcBorders>
              <w:top w:val="none" w:sz="0" w:space="0" w:color="auto"/>
              <w:bottom w:val="none" w:sz="0" w:space="0" w:color="auto"/>
              <w:right w:val="none" w:sz="0" w:space="0" w:color="auto"/>
            </w:tcBorders>
          </w:tcPr>
          <w:p w14:paraId="7C6CCAB7" w14:textId="77777777" w:rsidR="00AF7700" w:rsidRPr="00484A64" w:rsidRDefault="00AF7700" w:rsidP="004F16D3">
            <w:pPr>
              <w:cnfStyle w:val="100000000000" w:firstRow="1" w:lastRow="0" w:firstColumn="0" w:lastColumn="0" w:oddVBand="0" w:evenVBand="0" w:oddHBand="0" w:evenHBand="0" w:firstRowFirstColumn="0" w:firstRowLastColumn="0" w:lastRowFirstColumn="0" w:lastRowLastColumn="0"/>
            </w:pPr>
            <w:r w:rsidRPr="00484A64">
              <w:t>Initiatives</w:t>
            </w:r>
          </w:p>
        </w:tc>
      </w:tr>
      <w:tr w:rsidR="00AF7700" w:rsidRPr="00484A64" w14:paraId="7802EFDD" w14:textId="77777777" w:rsidTr="004024A5">
        <w:tc>
          <w:tcPr>
            <w:cnfStyle w:val="001000000000" w:firstRow="0" w:lastRow="0" w:firstColumn="1" w:lastColumn="0" w:oddVBand="0" w:evenVBand="0" w:oddHBand="0" w:evenHBand="0" w:firstRowFirstColumn="0" w:firstRowLastColumn="0" w:lastRowFirstColumn="0" w:lastRowLastColumn="0"/>
            <w:tcW w:w="1320" w:type="pct"/>
          </w:tcPr>
          <w:p w14:paraId="5496A4FB" w14:textId="56DA68B9" w:rsidR="00AF7700" w:rsidRPr="004024A5" w:rsidRDefault="00AF7700" w:rsidP="004024A5">
            <w:r w:rsidRPr="004024A5">
              <w:t>The Data and Regulatory Transformation (DART) project</w:t>
            </w:r>
          </w:p>
        </w:tc>
        <w:tc>
          <w:tcPr>
            <w:tcW w:w="3680" w:type="pct"/>
          </w:tcPr>
          <w:p w14:paraId="32440F12" w14:textId="5FC2039C" w:rsidR="00AF7700" w:rsidRPr="00484A64" w:rsidRDefault="00AF7700" w:rsidP="00970269">
            <w:pPr>
              <w:cnfStyle w:val="000000000000" w:firstRow="0" w:lastRow="0" w:firstColumn="0" w:lastColumn="0" w:oddVBand="0" w:evenVBand="0" w:oddHBand="0" w:evenHBand="0" w:firstRowFirstColumn="0" w:firstRowLastColumn="0" w:lastRowFirstColumn="0" w:lastRowLastColumn="0"/>
            </w:pPr>
            <w:r>
              <w:t xml:space="preserve">Our </w:t>
            </w:r>
            <w:r w:rsidRPr="00B81AE3">
              <w:rPr>
                <w:b/>
                <w:bCs/>
              </w:rPr>
              <w:t>DART</w:t>
            </w:r>
            <w:r>
              <w:t xml:space="preserve"> project will deliver quick wins that have impact, such as a </w:t>
            </w:r>
            <w:r w:rsidRPr="00D21D99">
              <w:rPr>
                <w:b/>
              </w:rPr>
              <w:t>Telephony System</w:t>
            </w:r>
            <w:r>
              <w:t xml:space="preserve"> for the Contact Centre, one commission </w:t>
            </w:r>
            <w:r w:rsidRPr="00D21D99">
              <w:rPr>
                <w:b/>
              </w:rPr>
              <w:t>data governance</w:t>
            </w:r>
            <w:r>
              <w:t xml:space="preserve">, mapping of our </w:t>
            </w:r>
            <w:r w:rsidRPr="00D21D99">
              <w:rPr>
                <w:b/>
              </w:rPr>
              <w:t>data architecture</w:t>
            </w:r>
            <w:r>
              <w:rPr>
                <w:b/>
              </w:rPr>
              <w:t xml:space="preserve"> and data lake and integration.</w:t>
            </w:r>
          </w:p>
        </w:tc>
      </w:tr>
      <w:tr w:rsidR="00AF7700" w:rsidRPr="00484A64" w14:paraId="165F1867" w14:textId="77777777" w:rsidTr="004024A5">
        <w:tc>
          <w:tcPr>
            <w:cnfStyle w:val="001000000000" w:firstRow="0" w:lastRow="0" w:firstColumn="1" w:lastColumn="0" w:oddVBand="0" w:evenVBand="0" w:oddHBand="0" w:evenHBand="0" w:firstRowFirstColumn="0" w:firstRowLastColumn="0" w:lastRowFirstColumn="0" w:lastRowLastColumn="0"/>
            <w:tcW w:w="1320" w:type="pct"/>
          </w:tcPr>
          <w:p w14:paraId="0A290DBF" w14:textId="4AC3DED5" w:rsidR="00AF7700" w:rsidRPr="004024A5" w:rsidRDefault="00EC2FC2" w:rsidP="004024A5">
            <w:r>
              <w:t>Improve Commission internal ICT capability</w:t>
            </w:r>
          </w:p>
        </w:tc>
        <w:tc>
          <w:tcPr>
            <w:tcW w:w="3680" w:type="pct"/>
          </w:tcPr>
          <w:p w14:paraId="5005A11F" w14:textId="207687DA" w:rsidR="00AF7700" w:rsidRDefault="00AF7700" w:rsidP="00DC027D">
            <w:pPr>
              <w:cnfStyle w:val="000000000000" w:firstRow="0" w:lastRow="0" w:firstColumn="0" w:lastColumn="0" w:oddVBand="0" w:evenVBand="0" w:oddHBand="0" w:evenHBand="0" w:firstRowFirstColumn="0" w:firstRowLastColumn="0" w:lastRowFirstColumn="0" w:lastRowLastColumn="0"/>
            </w:pPr>
          </w:p>
          <w:p w14:paraId="64010664" w14:textId="181B97B7" w:rsidR="00EC2FC2" w:rsidRPr="00484A64" w:rsidRDefault="00EC2FC2" w:rsidP="00DC027D">
            <w:pPr>
              <w:cnfStyle w:val="000000000000" w:firstRow="0" w:lastRow="0" w:firstColumn="0" w:lastColumn="0" w:oddVBand="0" w:evenVBand="0" w:oddHBand="0" w:evenHBand="0" w:firstRowFirstColumn="0" w:firstRowLastColumn="0" w:lastRowFirstColumn="0" w:lastRowLastColumn="0"/>
            </w:pPr>
            <w:r>
              <w:rPr>
                <w:rStyle w:val="ui-provider"/>
              </w:rPr>
              <w:t>We will work to modernise and integrate our current IT systems and supporting processes. This will ensure we have the rights systems for our work and interfaces wi</w:t>
            </w:r>
            <w:r w:rsidR="002C4E2B">
              <w:rPr>
                <w:rStyle w:val="ui-provider"/>
              </w:rPr>
              <w:t>th participants, providers and </w:t>
            </w:r>
            <w:r>
              <w:rPr>
                <w:rStyle w:val="ui-provider"/>
              </w:rPr>
              <w:t>stakeholders.</w:t>
            </w:r>
          </w:p>
        </w:tc>
      </w:tr>
      <w:tr w:rsidR="00AF7700" w:rsidRPr="00484A64" w14:paraId="3F17286F" w14:textId="77777777" w:rsidTr="004024A5">
        <w:tc>
          <w:tcPr>
            <w:cnfStyle w:val="001000000000" w:firstRow="0" w:lastRow="0" w:firstColumn="1" w:lastColumn="0" w:oddVBand="0" w:evenVBand="0" w:oddHBand="0" w:evenHBand="0" w:firstRowFirstColumn="0" w:firstRowLastColumn="0" w:lastRowFirstColumn="0" w:lastRowLastColumn="0"/>
            <w:tcW w:w="1320" w:type="pct"/>
          </w:tcPr>
          <w:p w14:paraId="4DDB401D" w14:textId="674F9B41" w:rsidR="00AF7700" w:rsidRPr="004024A5" w:rsidRDefault="00AF7700" w:rsidP="004024A5">
            <w:r w:rsidRPr="004024A5">
              <w:t>Continuous business improvements</w:t>
            </w:r>
          </w:p>
        </w:tc>
        <w:tc>
          <w:tcPr>
            <w:tcW w:w="3680" w:type="pct"/>
          </w:tcPr>
          <w:p w14:paraId="6F377F2F" w14:textId="4E77A7B4" w:rsidR="00AF7700" w:rsidRPr="00484A64" w:rsidRDefault="00AF7700" w:rsidP="007850C2">
            <w:pPr>
              <w:cnfStyle w:val="000000000000" w:firstRow="0" w:lastRow="0" w:firstColumn="0" w:lastColumn="0" w:oddVBand="0" w:evenVBand="0" w:oddHBand="0" w:evenHBand="0" w:firstRowFirstColumn="0" w:firstRowLastColumn="0" w:lastRowFirstColumn="0" w:lastRowLastColumn="0"/>
            </w:pPr>
            <w:r>
              <w:t xml:space="preserve">We will continue with our </w:t>
            </w:r>
            <w:r w:rsidRPr="008C254A">
              <w:rPr>
                <w:b/>
              </w:rPr>
              <w:t>internal improvement reviews</w:t>
            </w:r>
            <w:r>
              <w:t xml:space="preserve"> to ensure that delivery of our core functions are as efficient and seamless as possible and provide a positive user experience.  </w:t>
            </w:r>
          </w:p>
        </w:tc>
      </w:tr>
    </w:tbl>
    <w:p w14:paraId="650BD1CC" w14:textId="77777777" w:rsidR="005C15E8" w:rsidRPr="00E92CC2" w:rsidRDefault="005C15E8" w:rsidP="00E92CC2">
      <w:bookmarkStart w:id="49" w:name="_Our_Operating_Context"/>
      <w:bookmarkStart w:id="50" w:name="_Toc144222449"/>
      <w:bookmarkStart w:id="51" w:name="_Toc144287945"/>
      <w:bookmarkEnd w:id="49"/>
      <w:r w:rsidRPr="00E92CC2">
        <w:br w:type="page"/>
      </w:r>
    </w:p>
    <w:p w14:paraId="023A31B2" w14:textId="49F20738" w:rsidR="00484A64" w:rsidRDefault="005F6787" w:rsidP="00E836CA">
      <w:pPr>
        <w:pStyle w:val="Heading1"/>
        <w:rPr>
          <w:highlight w:val="yellow"/>
        </w:rPr>
      </w:pPr>
      <w:bookmarkStart w:id="52" w:name="_Our_operating_context_1"/>
      <w:bookmarkStart w:id="53" w:name="_Toc144302602"/>
      <w:bookmarkEnd w:id="52"/>
      <w:r>
        <w:lastRenderedPageBreak/>
        <w:t xml:space="preserve">Our </w:t>
      </w:r>
      <w:r w:rsidR="005B3591" w:rsidRPr="00E836CA">
        <w:t>operating</w:t>
      </w:r>
      <w:r w:rsidR="005B3591" w:rsidRPr="0093618F">
        <w:t xml:space="preserve"> </w:t>
      </w:r>
      <w:r w:rsidR="005B3591">
        <w:t>contex</w:t>
      </w:r>
      <w:r w:rsidR="005B3591" w:rsidRPr="0093618F">
        <w:t>t</w:t>
      </w:r>
      <w:bookmarkEnd w:id="50"/>
      <w:bookmarkEnd w:id="51"/>
      <w:bookmarkEnd w:id="53"/>
      <w:r w:rsidR="005B3591">
        <w:rPr>
          <w:highlight w:val="yellow"/>
        </w:rPr>
        <w:t xml:space="preserve"> </w:t>
      </w:r>
    </w:p>
    <w:p w14:paraId="0C641D2F" w14:textId="4AACDBAE" w:rsidR="003C6653" w:rsidRPr="00FA597B" w:rsidRDefault="00E1403A" w:rsidP="00E836CA">
      <w:pPr>
        <w:rPr>
          <w:rFonts w:cstheme="majorHAnsi"/>
          <w:b/>
          <w:szCs w:val="22"/>
        </w:rPr>
      </w:pPr>
      <w:r w:rsidRPr="00E836CA">
        <w:t xml:space="preserve">As the national regulator of the </w:t>
      </w:r>
      <w:r w:rsidR="0003131A" w:rsidRPr="00E836CA">
        <w:t>Scheme,</w:t>
      </w:r>
      <w:r w:rsidRPr="00E836CA">
        <w:t xml:space="preserve"> the NDIS Commission is </w:t>
      </w:r>
      <w:r w:rsidR="0035624C" w:rsidRPr="00E836CA">
        <w:t xml:space="preserve">influenced by environmental and social </w:t>
      </w:r>
      <w:r w:rsidR="00365C83" w:rsidRPr="00E836CA">
        <w:t>factors that</w:t>
      </w:r>
      <w:r w:rsidR="0035624C" w:rsidRPr="00E836CA">
        <w:t xml:space="preserve"> inform our internal and external positioning. We are</w:t>
      </w:r>
      <w:r w:rsidRPr="00E836CA">
        <w:t xml:space="preserve"> aware of the need to monitor, consider and respond to </w:t>
      </w:r>
      <w:r w:rsidR="0003131A" w:rsidRPr="00E836CA">
        <w:t>these influences</w:t>
      </w:r>
      <w:r w:rsidR="0035624C" w:rsidRPr="00E836CA">
        <w:t xml:space="preserve"> </w:t>
      </w:r>
      <w:r w:rsidRPr="00E836CA">
        <w:t>by maintain</w:t>
      </w:r>
      <w:r w:rsidR="00B84AC1" w:rsidRPr="00E836CA">
        <w:t>ing</w:t>
      </w:r>
      <w:r w:rsidRPr="00E836CA">
        <w:t xml:space="preserve"> a proactive and agile</w:t>
      </w:r>
      <w:r w:rsidR="0035624C" w:rsidRPr="00E836CA">
        <w:t xml:space="preserve"> mindset</w:t>
      </w:r>
      <w:r w:rsidRPr="00E836CA">
        <w:t xml:space="preserve"> that allows </w:t>
      </w:r>
      <w:r w:rsidR="0003131A" w:rsidRPr="00E836CA">
        <w:t>for and</w:t>
      </w:r>
      <w:r w:rsidR="0035624C" w:rsidRPr="00E836CA">
        <w:t xml:space="preserve"> promotes </w:t>
      </w:r>
      <w:r w:rsidRPr="00E836CA">
        <w:t>flex</w:t>
      </w:r>
      <w:r w:rsidR="00B84AC1" w:rsidRPr="00E836CA">
        <w:t>ibility</w:t>
      </w:r>
      <w:r w:rsidRPr="00E836CA">
        <w:t xml:space="preserve"> in our approaches</w:t>
      </w:r>
      <w:r w:rsidRPr="00FA597B">
        <w:rPr>
          <w:rFonts w:asciiTheme="majorHAnsi" w:hAnsiTheme="majorHAnsi" w:cstheme="majorHAnsi"/>
          <w:szCs w:val="22"/>
        </w:rPr>
        <w:t>.</w:t>
      </w:r>
      <w:r w:rsidR="00220B35">
        <w:rPr>
          <w:rFonts w:asciiTheme="majorHAnsi" w:hAnsiTheme="majorHAnsi" w:cstheme="majorHAnsi"/>
          <w:szCs w:val="22"/>
        </w:rPr>
        <w:t xml:space="preserve"> </w:t>
      </w:r>
    </w:p>
    <w:p w14:paraId="7D606EF9" w14:textId="2E14C832" w:rsidR="005F6787" w:rsidRPr="005F6787" w:rsidRDefault="005F6787" w:rsidP="00E836CA">
      <w:pPr>
        <w:pStyle w:val="Heading2"/>
      </w:pPr>
      <w:bookmarkStart w:id="54" w:name="_Toc144302603"/>
      <w:r w:rsidRPr="005F6787">
        <w:t>Environment</w:t>
      </w:r>
      <w:bookmarkEnd w:id="54"/>
    </w:p>
    <w:p w14:paraId="61584AE9" w14:textId="537F49C2" w:rsidR="003C6653" w:rsidRDefault="003C6653" w:rsidP="00E836CA">
      <w:pPr>
        <w:pStyle w:val="Heading3"/>
      </w:pPr>
      <w:bookmarkStart w:id="55" w:name="_Toc144287946"/>
      <w:r w:rsidRPr="00424454">
        <w:t>Gov</w:t>
      </w:r>
      <w:r w:rsidR="00282322">
        <w:t xml:space="preserve">ernment </w:t>
      </w:r>
      <w:r w:rsidR="005B3591">
        <w:t xml:space="preserve">priorities </w:t>
      </w:r>
      <w:r w:rsidR="00282322">
        <w:t>for the NDIS</w:t>
      </w:r>
      <w:bookmarkEnd w:id="55"/>
    </w:p>
    <w:p w14:paraId="4D7F9B89" w14:textId="3AEFB4E9" w:rsidR="00C51C67" w:rsidRPr="00E836CA" w:rsidRDefault="000A34C0" w:rsidP="00E836CA">
      <w:r w:rsidRPr="000A34C0">
        <w:rPr>
          <w:rFonts w:asciiTheme="majorHAnsi" w:hAnsiTheme="majorHAnsi" w:cstheme="majorHAnsi"/>
          <w:szCs w:val="22"/>
        </w:rPr>
        <w:t xml:space="preserve">The NDIS </w:t>
      </w:r>
      <w:r w:rsidRPr="00E836CA">
        <w:t xml:space="preserve">Commission </w:t>
      </w:r>
      <w:r w:rsidR="00C51C67" w:rsidRPr="00E836CA">
        <w:t xml:space="preserve">in </w:t>
      </w:r>
      <w:r w:rsidRPr="00E836CA">
        <w:t>carrying</w:t>
      </w:r>
      <w:r w:rsidR="00C51C67" w:rsidRPr="00E836CA">
        <w:t xml:space="preserve"> </w:t>
      </w:r>
      <w:r w:rsidRPr="00E836CA">
        <w:t>out</w:t>
      </w:r>
      <w:r w:rsidR="00C51C67" w:rsidRPr="00E836CA">
        <w:t xml:space="preserve"> its </w:t>
      </w:r>
      <w:r w:rsidRPr="00E836CA">
        <w:t>role</w:t>
      </w:r>
      <w:r w:rsidR="00C51C67" w:rsidRPr="00E836CA">
        <w:t xml:space="preserve"> as regulator of the NDIS</w:t>
      </w:r>
      <w:r w:rsidRPr="00E836CA">
        <w:t>,</w:t>
      </w:r>
      <w:r w:rsidR="00C51C67" w:rsidRPr="00E836CA">
        <w:t xml:space="preserve"> </w:t>
      </w:r>
      <w:r w:rsidR="00946660" w:rsidRPr="00E836CA">
        <w:t>does</w:t>
      </w:r>
      <w:r w:rsidR="00C51C67" w:rsidRPr="00E836CA">
        <w:t xml:space="preserve"> so in </w:t>
      </w:r>
      <w:r w:rsidRPr="00E836CA">
        <w:t xml:space="preserve">accordance with the Minister for the </w:t>
      </w:r>
      <w:r w:rsidR="005B3591" w:rsidRPr="00E836CA">
        <w:t>NDIS</w:t>
      </w:r>
      <w:r w:rsidRPr="00E836CA">
        <w:t xml:space="preserve">, </w:t>
      </w:r>
      <w:r w:rsidR="00C51C67" w:rsidRPr="00E836CA">
        <w:t xml:space="preserve">Statement of Expectations and </w:t>
      </w:r>
      <w:r w:rsidRPr="00E836CA">
        <w:t xml:space="preserve">the </w:t>
      </w:r>
      <w:r w:rsidR="0076271C" w:rsidRPr="00E836CA">
        <w:t xml:space="preserve">NDIS </w:t>
      </w:r>
      <w:r w:rsidRPr="00E836CA">
        <w:t>Commission</w:t>
      </w:r>
      <w:r w:rsidR="00946660" w:rsidRPr="00E836CA">
        <w:t>’s</w:t>
      </w:r>
      <w:r w:rsidRPr="00E836CA">
        <w:t xml:space="preserve"> responding Statement of Intent (</w:t>
      </w:r>
      <w:r w:rsidR="00946660" w:rsidRPr="00E836CA">
        <w:t>Appendix B</w:t>
      </w:r>
      <w:r w:rsidRPr="00E836CA">
        <w:t>).</w:t>
      </w:r>
      <w:r w:rsidR="00220B35" w:rsidRPr="00E836CA">
        <w:t xml:space="preserve"> </w:t>
      </w:r>
      <w:r w:rsidRPr="00E836CA">
        <w:t>This plan’s priorities, key activities and performance measures and targets are aligned with</w:t>
      </w:r>
      <w:r w:rsidR="00983BED" w:rsidRPr="00E836CA">
        <w:t>,</w:t>
      </w:r>
      <w:r w:rsidRPr="00E836CA">
        <w:t xml:space="preserve"> and reflect the expectations and commitments set out </w:t>
      </w:r>
      <w:r w:rsidR="00946660" w:rsidRPr="00E836CA">
        <w:t>in</w:t>
      </w:r>
      <w:r w:rsidRPr="00E836CA">
        <w:t xml:space="preserve"> the Minis</w:t>
      </w:r>
      <w:r w:rsidR="00946660" w:rsidRPr="00E836CA">
        <w:t>ter’s Statement of Expectations and in the Statement of Intent.</w:t>
      </w:r>
    </w:p>
    <w:p w14:paraId="51EA838D" w14:textId="18FC27BD" w:rsidR="00E0308E" w:rsidRDefault="00E0308E" w:rsidP="00E836CA">
      <w:pPr>
        <w:rPr>
          <w:rFonts w:asciiTheme="majorHAnsi" w:hAnsiTheme="majorHAnsi" w:cstheme="majorHAnsi"/>
          <w:szCs w:val="22"/>
        </w:rPr>
      </w:pPr>
      <w:r w:rsidRPr="00E836CA">
        <w:t xml:space="preserve">The final reports for the Royal Commission into Violence, Abuse, Neglect and Exploitation of People with Disability and the NDIS Review, are due to be delivered to the Australian Government in September and October 2023, respectively. It is anticipated that these reports will make significant findings and recommendations for consideration, aimed at improving the design, operations and sustainability of the </w:t>
      </w:r>
      <w:r w:rsidR="005B3591" w:rsidRPr="00E836CA">
        <w:t>S</w:t>
      </w:r>
      <w:r w:rsidRPr="00E836CA">
        <w:t>che</w:t>
      </w:r>
      <w:r w:rsidRPr="00B854B4">
        <w:rPr>
          <w:rFonts w:asciiTheme="majorHAnsi" w:hAnsiTheme="majorHAnsi" w:cstheme="majorHAnsi"/>
          <w:szCs w:val="22"/>
        </w:rPr>
        <w:t xml:space="preserve">me. </w:t>
      </w:r>
      <w:r w:rsidRPr="00E836CA">
        <w:t>The scope</w:t>
      </w:r>
      <w:r w:rsidRPr="001A3249">
        <w:rPr>
          <w:rFonts w:asciiTheme="majorHAnsi" w:hAnsiTheme="majorHAnsi" w:cstheme="majorHAnsi"/>
          <w:szCs w:val="22"/>
        </w:rPr>
        <w:t xml:space="preserve"> of both review</w:t>
      </w:r>
      <w:r>
        <w:rPr>
          <w:rFonts w:asciiTheme="majorHAnsi" w:hAnsiTheme="majorHAnsi" w:cstheme="majorHAnsi"/>
          <w:szCs w:val="22"/>
        </w:rPr>
        <w:t>s</w:t>
      </w:r>
      <w:r w:rsidRPr="001A3249">
        <w:rPr>
          <w:rFonts w:asciiTheme="majorHAnsi" w:hAnsiTheme="majorHAnsi" w:cstheme="majorHAnsi"/>
          <w:szCs w:val="22"/>
        </w:rPr>
        <w:t xml:space="preserve"> include elements directly relevant to the role and function of the NDIS Commission.</w:t>
      </w:r>
    </w:p>
    <w:p w14:paraId="1AF1C6A6" w14:textId="6F77BF53" w:rsidR="005E6783" w:rsidRDefault="00FB0F76" w:rsidP="005E6783">
      <w:r>
        <w:t xml:space="preserve">The </w:t>
      </w:r>
      <w:r w:rsidR="005B3591">
        <w:t xml:space="preserve">NDIS </w:t>
      </w:r>
      <w:r>
        <w:t xml:space="preserve">Commission is committed to working closely with </w:t>
      </w:r>
      <w:r w:rsidR="00946660">
        <w:t xml:space="preserve">the Government and </w:t>
      </w:r>
      <w:r>
        <w:t>all stakeholders to ensure that future policy further enables the provision of accessible and diverse high quality, safe supports and services for people with disability.</w:t>
      </w:r>
      <w:r w:rsidR="00220B35">
        <w:t xml:space="preserve">  </w:t>
      </w:r>
    </w:p>
    <w:p w14:paraId="3382D801" w14:textId="5FF3C3FE" w:rsidR="003C6653" w:rsidRPr="008C254A" w:rsidRDefault="003C6653" w:rsidP="00E836CA">
      <w:pPr>
        <w:pStyle w:val="Heading3"/>
      </w:pPr>
      <w:bookmarkStart w:id="56" w:name="_Toc144287947"/>
      <w:r w:rsidRPr="008C254A">
        <w:t xml:space="preserve">Scheme </w:t>
      </w:r>
      <w:r w:rsidR="005B3591">
        <w:t>s</w:t>
      </w:r>
      <w:r w:rsidR="005B3591" w:rsidRPr="008C254A">
        <w:t>ustainability</w:t>
      </w:r>
      <w:bookmarkEnd w:id="56"/>
    </w:p>
    <w:p w14:paraId="08975946" w14:textId="6C39AD2A" w:rsidR="00EB67E3" w:rsidRDefault="00E77C91" w:rsidP="003C6653">
      <w:r>
        <w:t>With the i</w:t>
      </w:r>
      <w:r w:rsidR="00EB67E3">
        <w:t xml:space="preserve">ncreasing demand on NDIS </w:t>
      </w:r>
      <w:r w:rsidR="0003131A">
        <w:t>resources,</w:t>
      </w:r>
      <w:r w:rsidR="00EB67E3">
        <w:t xml:space="preserve"> </w:t>
      </w:r>
      <w:r w:rsidR="002C4E2B">
        <w:rPr>
          <w:lang w:val="en-US"/>
        </w:rPr>
        <w:t xml:space="preserve">and the </w:t>
      </w:r>
      <w:r w:rsidR="003928A3" w:rsidRPr="003928A3">
        <w:rPr>
          <w:lang w:val="en-US"/>
        </w:rPr>
        <w:t xml:space="preserve"> estimated </w:t>
      </w:r>
      <w:r w:rsidR="002C4E2B">
        <w:rPr>
          <w:lang w:val="en-US"/>
        </w:rPr>
        <w:t xml:space="preserve">growth in the Scheme </w:t>
      </w:r>
      <w:r w:rsidR="00EB67E3">
        <w:t xml:space="preserve">An </w:t>
      </w:r>
      <w:r w:rsidR="002C4E2B">
        <w:t xml:space="preserve">an </w:t>
      </w:r>
      <w:r w:rsidR="00EB67E3">
        <w:t xml:space="preserve">integrated and consistent operating model will secure resourcing needs to manage fluctuations in </w:t>
      </w:r>
      <w:r w:rsidR="0076271C">
        <w:t xml:space="preserve">NDIS </w:t>
      </w:r>
      <w:r w:rsidR="00EB67E3">
        <w:t>Commission intervention. </w:t>
      </w:r>
    </w:p>
    <w:p w14:paraId="43CB11E6" w14:textId="373D1714" w:rsidR="003C6653" w:rsidRDefault="003C6653" w:rsidP="00E836CA">
      <w:r>
        <w:t xml:space="preserve">Increased focus and action on </w:t>
      </w:r>
      <w:r w:rsidR="00970269">
        <w:t xml:space="preserve">identifying, preventing and responding </w:t>
      </w:r>
      <w:r w:rsidR="00970269" w:rsidRPr="00E836CA">
        <w:t>to</w:t>
      </w:r>
      <w:r w:rsidR="00970269">
        <w:t xml:space="preserve"> </w:t>
      </w:r>
      <w:r>
        <w:t xml:space="preserve">NDIS fraud </w:t>
      </w:r>
      <w:r w:rsidR="00970269">
        <w:t xml:space="preserve">and sharp practice </w:t>
      </w:r>
      <w:r>
        <w:t>may apply pressure to the Commission’s complaint process and regulatory priorities</w:t>
      </w:r>
      <w:r w:rsidR="00970269">
        <w:t xml:space="preserve"> and operations</w:t>
      </w:r>
      <w:r>
        <w:t xml:space="preserve">. </w:t>
      </w:r>
    </w:p>
    <w:p w14:paraId="27081F3B" w14:textId="6133E69F" w:rsidR="0079387A" w:rsidRPr="008C254A" w:rsidRDefault="005F11D0" w:rsidP="00E836CA">
      <w:pPr>
        <w:pStyle w:val="Heading3"/>
      </w:pPr>
      <w:bookmarkStart w:id="57" w:name="_Toc144287948"/>
      <w:r w:rsidRPr="008C254A">
        <w:t>C</w:t>
      </w:r>
      <w:r w:rsidR="0079387A" w:rsidRPr="008C254A">
        <w:t xml:space="preserve">ost of living </w:t>
      </w:r>
      <w:r w:rsidRPr="008C254A">
        <w:t>pressures</w:t>
      </w:r>
      <w:bookmarkEnd w:id="57"/>
    </w:p>
    <w:p w14:paraId="7DA2D0D4" w14:textId="7BB51B77" w:rsidR="0079387A" w:rsidRPr="0093618F" w:rsidRDefault="0079387A" w:rsidP="0079387A">
      <w:r w:rsidRPr="0093618F">
        <w:t xml:space="preserve">As global economies work to manage high rates of inflation, the ripple effect for household expenses is similarly challenging. The rising cost of consumer goods and services has meant Australians must be more discerning about </w:t>
      </w:r>
      <w:r w:rsidR="002C4E2B">
        <w:t>broader economic pressures.</w:t>
      </w:r>
    </w:p>
    <w:p w14:paraId="273E5FA1" w14:textId="41ED2F9A" w:rsidR="0079387A" w:rsidRPr="0093618F" w:rsidRDefault="00EB67E3" w:rsidP="0079387A">
      <w:r>
        <w:t xml:space="preserve">Implementation of the </w:t>
      </w:r>
      <w:r w:rsidR="0079387A" w:rsidRPr="0093618F">
        <w:rPr>
          <w:b/>
        </w:rPr>
        <w:t>Quality Roadmap</w:t>
      </w:r>
      <w:r w:rsidR="0079387A" w:rsidRPr="0093618F">
        <w:t xml:space="preserve"> and </w:t>
      </w:r>
      <w:r w:rsidR="0079387A" w:rsidRPr="0093618F">
        <w:rPr>
          <w:b/>
        </w:rPr>
        <w:t>Regulatory Approach</w:t>
      </w:r>
      <w:r>
        <w:t xml:space="preserve"> will support and encourage the </w:t>
      </w:r>
      <w:r w:rsidR="005B3591">
        <w:t xml:space="preserve">NDIS </w:t>
      </w:r>
      <w:r>
        <w:t xml:space="preserve">Commission and providers and </w:t>
      </w:r>
      <w:r w:rsidR="0003131A">
        <w:t xml:space="preserve">workers </w:t>
      </w:r>
      <w:r w:rsidR="0003131A" w:rsidRPr="0093618F">
        <w:t>to</w:t>
      </w:r>
      <w:r>
        <w:t xml:space="preserve"> implement projects and </w:t>
      </w:r>
      <w:r w:rsidR="0003131A">
        <w:t>approaches that</w:t>
      </w:r>
      <w:r>
        <w:t xml:space="preserve"> </w:t>
      </w:r>
      <w:r w:rsidR="0003131A">
        <w:t xml:space="preserve">stimulate </w:t>
      </w:r>
      <w:r w:rsidR="0003131A" w:rsidRPr="0093618F">
        <w:t>quality</w:t>
      </w:r>
      <w:r w:rsidR="0079387A" w:rsidRPr="0093618F">
        <w:t xml:space="preserve">, safety and innovation in the NDIS provider market. This year, </w:t>
      </w:r>
      <w:r w:rsidR="0003131A" w:rsidRPr="0093618F">
        <w:t>we will</w:t>
      </w:r>
      <w:r w:rsidR="0079387A" w:rsidRPr="0093618F">
        <w:t xml:space="preserve"> continue implementing the critical activities to help engage the provider market and secure quality and safety for participants.</w:t>
      </w:r>
    </w:p>
    <w:p w14:paraId="61E8F56B" w14:textId="6B017F93" w:rsidR="008C254A" w:rsidRDefault="008C254A" w:rsidP="00E836CA">
      <w:pPr>
        <w:pStyle w:val="Heading3"/>
      </w:pPr>
      <w:bookmarkStart w:id="58" w:name="_Toc144287949"/>
      <w:r>
        <w:lastRenderedPageBreak/>
        <w:t xml:space="preserve">Technology and </w:t>
      </w:r>
      <w:r w:rsidR="005B3591">
        <w:t>data</w:t>
      </w:r>
      <w:bookmarkEnd w:id="58"/>
      <w:r w:rsidR="005B3591">
        <w:t xml:space="preserve"> </w:t>
      </w:r>
    </w:p>
    <w:p w14:paraId="411BE343" w14:textId="314D92F0" w:rsidR="008C254A" w:rsidRPr="00E836CA" w:rsidRDefault="008C254A" w:rsidP="00E836CA">
      <w:r w:rsidRPr="00E836CA">
        <w:t xml:space="preserve">The Data and Digital Roadmap will enable informed decision making in relation to </w:t>
      </w:r>
      <w:r w:rsidR="008C251A" w:rsidRPr="00E836CA">
        <w:t xml:space="preserve">Information Communications Technology </w:t>
      </w:r>
      <w:r w:rsidRPr="00E836CA">
        <w:t xml:space="preserve">investment, and its delivery will support the </w:t>
      </w:r>
      <w:r w:rsidR="008C251A" w:rsidRPr="00E836CA">
        <w:t xml:space="preserve">NDIS </w:t>
      </w:r>
      <w:r w:rsidRPr="00E836CA">
        <w:t xml:space="preserve">Commission’s maturity as a regulator. The </w:t>
      </w:r>
      <w:r w:rsidR="005B3591" w:rsidRPr="00E836CA">
        <w:t xml:space="preserve">Data and Digital </w:t>
      </w:r>
      <w:r w:rsidRPr="00E836CA">
        <w:t>Roadmap’s five pillars are the core and drive outcomes for our stakeholders.</w:t>
      </w:r>
      <w:r w:rsidR="00220B35" w:rsidRPr="00E836CA">
        <w:t xml:space="preserve"> </w:t>
      </w:r>
      <w:r w:rsidRPr="00E836CA">
        <w:t xml:space="preserve">The DART </w:t>
      </w:r>
      <w:r w:rsidR="008C251A" w:rsidRPr="00E836CA">
        <w:t>project</w:t>
      </w:r>
      <w:r w:rsidR="00D60184" w:rsidRPr="00D60184">
        <w:t xml:space="preserve"> </w:t>
      </w:r>
      <w:r w:rsidR="00D60184" w:rsidRPr="00E836CA">
        <w:t>is in development</w:t>
      </w:r>
      <w:r w:rsidRPr="00E836CA">
        <w:t xml:space="preserve">, and </w:t>
      </w:r>
      <w:r w:rsidR="00D60184">
        <w:t xml:space="preserve">we are also working to improve the Commisson’s internal ICT capability. </w:t>
      </w:r>
      <w:r w:rsidRPr="00E836CA">
        <w:t xml:space="preserve"> </w:t>
      </w:r>
      <w:r w:rsidR="00D60184">
        <w:t xml:space="preserve">This </w:t>
      </w:r>
      <w:r w:rsidRPr="00E836CA">
        <w:t xml:space="preserve">is based on the </w:t>
      </w:r>
      <w:r w:rsidR="009D0DD2" w:rsidRPr="00E836CA">
        <w:t>NDIS Commission’s</w:t>
      </w:r>
      <w:r w:rsidRPr="00E836CA">
        <w:t xml:space="preserve"> Data and Digital Roadmap. </w:t>
      </w:r>
    </w:p>
    <w:p w14:paraId="6E1FDE44" w14:textId="77996CC8" w:rsidR="00983BED" w:rsidRDefault="008C254A" w:rsidP="00E6696C">
      <w:r>
        <w:t>Improved systems and processes will provide more of our information and access pathways in accessible digital formats that better me</w:t>
      </w:r>
      <w:r w:rsidR="00E6696C">
        <w:t>et the needs of participants.</w:t>
      </w:r>
      <w:r w:rsidR="00220B35">
        <w:t xml:space="preserve"> </w:t>
      </w:r>
    </w:p>
    <w:p w14:paraId="631F936D" w14:textId="1AA36F7B" w:rsidR="0079387A" w:rsidRDefault="0079387A" w:rsidP="00E836CA">
      <w:pPr>
        <w:pStyle w:val="Heading3"/>
      </w:pPr>
      <w:bookmarkStart w:id="59" w:name="_Toc144287950"/>
      <w:r>
        <w:t>Tight employment market</w:t>
      </w:r>
      <w:bookmarkEnd w:id="59"/>
      <w:r w:rsidR="00220B35">
        <w:t xml:space="preserve"> </w:t>
      </w:r>
    </w:p>
    <w:p w14:paraId="4D679E3B" w14:textId="0AF88F03" w:rsidR="0079387A" w:rsidRPr="00E836CA" w:rsidRDefault="0079387A" w:rsidP="00E836CA">
      <w:r>
        <w:t xml:space="preserve">In May 2023, the World Health </w:t>
      </w:r>
      <w:r w:rsidRPr="00E836CA">
        <w:t>Organi</w:t>
      </w:r>
      <w:r w:rsidR="003E6FAA" w:rsidRPr="00E836CA">
        <w:t>z</w:t>
      </w:r>
      <w:r w:rsidRPr="00E836CA">
        <w:t>ation downgraded the Covid-19 pandemic from a global emergency. Yet, its lagging impacts continue to challenge governments and businesses, particularly in relation to inflation and attracting skilled employees.</w:t>
      </w:r>
    </w:p>
    <w:p w14:paraId="1B2E0AE9" w14:textId="5CC2885F" w:rsidR="0079387A" w:rsidRDefault="0079387A" w:rsidP="00E836CA">
      <w:r w:rsidRPr="00E836CA">
        <w:t xml:space="preserve">Scarcity of skilled employees, combined with cost of living pressures may affect the </w:t>
      </w:r>
      <w:r w:rsidR="008C251A" w:rsidRPr="00E836CA">
        <w:t xml:space="preserve">NDIS </w:t>
      </w:r>
      <w:r w:rsidRPr="00E836CA">
        <w:t>Commission’s abil</w:t>
      </w:r>
      <w:r w:rsidR="00EB67E3" w:rsidRPr="00E836CA">
        <w:t>ity to attract spe</w:t>
      </w:r>
      <w:r w:rsidR="00EB67E3">
        <w:t xml:space="preserve">cialist staff. </w:t>
      </w:r>
      <w:r>
        <w:t xml:space="preserve">Similar worker scarcity is possible in the NDIS provider/worker market, particularly in attracting First Nations employees. </w:t>
      </w:r>
      <w:r w:rsidR="003E6FAA" w:rsidRPr="003E6FAA">
        <w:t xml:space="preserve">The </w:t>
      </w:r>
      <w:r w:rsidR="008C251A">
        <w:t xml:space="preserve">NDIS </w:t>
      </w:r>
      <w:r w:rsidR="003E6FAA" w:rsidRPr="003E6FAA">
        <w:t xml:space="preserve">Commission recognises that its approach to the employment market must emphasise the messaging from this Corporate Plan so as to position itself as an employer of </w:t>
      </w:r>
      <w:r w:rsidR="003E6FAA" w:rsidRPr="00E836CA">
        <w:t>choice</w:t>
      </w:r>
      <w:r w:rsidR="003E6FAA" w:rsidRPr="003E6FAA">
        <w:t xml:space="preserve">, and one that can offer a complete career pathway as a form of retention. </w:t>
      </w:r>
    </w:p>
    <w:p w14:paraId="0B9A7D7A" w14:textId="77777777" w:rsidR="005F11D0" w:rsidRDefault="0079387A" w:rsidP="00E836CA">
      <w:r>
        <w:t xml:space="preserve">The NDIS Commission’s </w:t>
      </w:r>
      <w:r w:rsidRPr="003C6653">
        <w:rPr>
          <w:b/>
        </w:rPr>
        <w:t>Workforce Plan</w:t>
      </w:r>
      <w:r>
        <w:t xml:space="preserve"> considers key workforce investments around priority areas of growth, performance, capability, </w:t>
      </w:r>
      <w:r w:rsidRPr="00E836CA">
        <w:t>wellbeing</w:t>
      </w:r>
      <w:r>
        <w:t>, inclusion and diversity.</w:t>
      </w:r>
      <w:r w:rsidR="005F11D0">
        <w:t xml:space="preserve"> </w:t>
      </w:r>
    </w:p>
    <w:p w14:paraId="0599E8D7" w14:textId="77777777" w:rsidR="005C15E8" w:rsidRDefault="005C15E8" w:rsidP="005F6787">
      <w:pPr>
        <w:pStyle w:val="Heading1"/>
      </w:pPr>
      <w:bookmarkStart w:id="60" w:name="_Toc144222450"/>
      <w:bookmarkStart w:id="61" w:name="_Toc144287951"/>
      <w:r>
        <w:br w:type="page"/>
      </w:r>
    </w:p>
    <w:p w14:paraId="156CCAD8" w14:textId="6E4FC733" w:rsidR="005F6787" w:rsidRDefault="005F6787" w:rsidP="005F6787">
      <w:pPr>
        <w:pStyle w:val="Heading1"/>
      </w:pPr>
      <w:bookmarkStart w:id="62" w:name="_Toc144302604"/>
      <w:r w:rsidRPr="00BC1654">
        <w:lastRenderedPageBreak/>
        <w:t>Capability</w:t>
      </w:r>
      <w:bookmarkEnd w:id="60"/>
      <w:bookmarkEnd w:id="61"/>
      <w:bookmarkEnd w:id="62"/>
      <w:r>
        <w:t xml:space="preserve"> </w:t>
      </w:r>
    </w:p>
    <w:p w14:paraId="09AE8AE0" w14:textId="36BBF3D2" w:rsidR="005F6787" w:rsidRPr="00E836CA" w:rsidRDefault="005F6787" w:rsidP="00E836CA">
      <w:r w:rsidRPr="00E836CA">
        <w:t>Over the duration of this Corporate Plan, the NDIS Commission will continue to strengthen and enhance our capability to achieve our purpose. Our additional funding will see us continue to pursue improvement through workforce uplift, quality, market engagement and oversight, regulatory excellence and culture. This will inclu</w:t>
      </w:r>
      <w:r w:rsidR="003B6230" w:rsidRPr="00E836CA">
        <w:t xml:space="preserve">de a focus on our people </w:t>
      </w:r>
      <w:r w:rsidR="001E2642" w:rsidRPr="00E836CA">
        <w:t>and enabling</w:t>
      </w:r>
      <w:r w:rsidRPr="00E836CA">
        <w:t xml:space="preserve"> structures </w:t>
      </w:r>
      <w:r w:rsidR="0003131A" w:rsidRPr="00E836CA">
        <w:t>and infrastructure</w:t>
      </w:r>
      <w:r w:rsidRPr="00E836CA">
        <w:t xml:space="preserve">. </w:t>
      </w:r>
    </w:p>
    <w:p w14:paraId="08127504" w14:textId="15A613C7" w:rsidR="005F6787" w:rsidRDefault="005F6787" w:rsidP="005F6787">
      <w:pPr>
        <w:pStyle w:val="Heading2"/>
      </w:pPr>
      <w:bookmarkStart w:id="63" w:name="_Toc144287952"/>
      <w:bookmarkStart w:id="64" w:name="_Toc144302605"/>
      <w:r>
        <w:t xml:space="preserve">Our </w:t>
      </w:r>
      <w:r w:rsidR="00313CFF">
        <w:t>p</w:t>
      </w:r>
      <w:r w:rsidR="00E6639B">
        <w:t>eople</w:t>
      </w:r>
      <w:bookmarkEnd w:id="63"/>
      <w:bookmarkEnd w:id="64"/>
      <w:r w:rsidR="00E6639B">
        <w:t xml:space="preserve"> </w:t>
      </w:r>
    </w:p>
    <w:p w14:paraId="471FD26D" w14:textId="77777777" w:rsidR="005F6787" w:rsidRDefault="005F6787" w:rsidP="005F6787">
      <w:pPr>
        <w:pStyle w:val="Heading3"/>
      </w:pPr>
      <w:r>
        <w:t>Embedding frameworks for consistency</w:t>
      </w:r>
    </w:p>
    <w:p w14:paraId="603234D5" w14:textId="5FA4DDFD" w:rsidR="003B6230" w:rsidRDefault="005F6787" w:rsidP="003B6230">
      <w:r>
        <w:t xml:space="preserve">The design and embedding of the </w:t>
      </w:r>
      <w:r w:rsidR="0076271C">
        <w:t xml:space="preserve">NDIS </w:t>
      </w:r>
      <w:r>
        <w:t>Commission</w:t>
      </w:r>
      <w:r w:rsidR="00B84AC1">
        <w:t>’</w:t>
      </w:r>
      <w:r>
        <w:t xml:space="preserve">s </w:t>
      </w:r>
      <w:r w:rsidR="009D61F9">
        <w:t>c</w:t>
      </w:r>
      <w:r>
        <w:t xml:space="preserve">ultural </w:t>
      </w:r>
      <w:r w:rsidR="009D61F9">
        <w:t>p</w:t>
      </w:r>
      <w:r>
        <w:t>rinciples,</w:t>
      </w:r>
      <w:r w:rsidR="00220B35">
        <w:t xml:space="preserve"> </w:t>
      </w:r>
      <w:r>
        <w:t>Workforce Plan and strengthening our leadership cohort, has enabled the organisation to systemically place emphasis on our staff, their value and expertise.</w:t>
      </w:r>
      <w:r w:rsidR="003B6230" w:rsidRPr="003B6230">
        <w:t xml:space="preserve"> </w:t>
      </w:r>
      <w:r w:rsidR="003B6230">
        <w:t>This will support the NDIS Commission to create an employee value proposition to retain, attract and support our workforce.</w:t>
      </w:r>
      <w:r w:rsidR="003B6230">
        <w:rPr>
          <w:rFonts w:ascii="Times New Roman" w:hAnsi="Times New Roman" w:cs="Times New Roman"/>
          <w:sz w:val="14"/>
          <w:szCs w:val="14"/>
        </w:rPr>
        <w:t xml:space="preserve"> </w:t>
      </w:r>
    </w:p>
    <w:p w14:paraId="4BE8C42E" w14:textId="0D21138C" w:rsidR="005F6787" w:rsidRDefault="005F6787" w:rsidP="005F6787">
      <w:r>
        <w:t>Continued investment in the Learning and Development Program and building on the new Regulatory Ca</w:t>
      </w:r>
      <w:r w:rsidR="003B6230">
        <w:t xml:space="preserve">pability Framework, </w:t>
      </w:r>
      <w:r>
        <w:t>Regulatory Officer Learning and Development P</w:t>
      </w:r>
      <w:r w:rsidR="003B6230">
        <w:t>rogram is under development to support the maturing of our regulatory approach.</w:t>
      </w:r>
    </w:p>
    <w:p w14:paraId="0F98AA25" w14:textId="77777777" w:rsidR="005F6787" w:rsidRDefault="005F6787" w:rsidP="005F6787">
      <w:pPr>
        <w:pStyle w:val="Heading2"/>
      </w:pPr>
      <w:bookmarkStart w:id="65" w:name="_Toc144287953"/>
      <w:bookmarkStart w:id="66" w:name="_Toc144302606"/>
      <w:r>
        <w:t>Operations</w:t>
      </w:r>
      <w:bookmarkEnd w:id="65"/>
      <w:bookmarkEnd w:id="66"/>
    </w:p>
    <w:p w14:paraId="6EC410B9" w14:textId="77777777" w:rsidR="005F6787" w:rsidRDefault="005F6787" w:rsidP="005F6787">
      <w:pPr>
        <w:pStyle w:val="Heading3"/>
      </w:pPr>
      <w:r>
        <w:t>Structural realignment for outcome efficiency and effectiveness</w:t>
      </w:r>
    </w:p>
    <w:p w14:paraId="72C28DC1" w14:textId="52E51BF5" w:rsidR="005F6787" w:rsidRDefault="005F6787" w:rsidP="005F6787">
      <w:r>
        <w:t xml:space="preserve">Work completed to date has better aligned functions with responsibilities, provided clarity about our role as a contemporary regulator and our approach and focus areas such as campaign strategies. We will continue with our work program of </w:t>
      </w:r>
      <w:r w:rsidR="0003131A">
        <w:t>internal</w:t>
      </w:r>
      <w:r>
        <w:t xml:space="preserve"> improvement </w:t>
      </w:r>
      <w:r w:rsidR="0003131A">
        <w:t>reviews to</w:t>
      </w:r>
      <w:r>
        <w:t xml:space="preserve"> ensure workflows are efficient, with linkages and collaboration occurring across teams to foster a one-Commission approach.</w:t>
      </w:r>
      <w:r w:rsidR="00220B35">
        <w:t xml:space="preserve"> </w:t>
      </w:r>
      <w:r>
        <w:t xml:space="preserve"> These reviews also place an increased emphasis on staff shifting from </w:t>
      </w:r>
      <w:r w:rsidR="001E5E81">
        <w:t>predominantly reactive</w:t>
      </w:r>
      <w:r>
        <w:t xml:space="preserve"> regulation to a proactive stance incorporating site visits and engagement with participants and workers.</w:t>
      </w:r>
    </w:p>
    <w:p w14:paraId="2CC50B64" w14:textId="77777777" w:rsidR="005F6787" w:rsidRDefault="005F6787" w:rsidP="005F6787">
      <w:pPr>
        <w:pStyle w:val="Heading3"/>
      </w:pPr>
      <w:r>
        <w:t>Staff engagement for continuous improvement</w:t>
      </w:r>
    </w:p>
    <w:p w14:paraId="1E52D2EC" w14:textId="41527DE5" w:rsidR="005F6787" w:rsidRDefault="005F6787" w:rsidP="005F6787">
      <w:r>
        <w:t xml:space="preserve">We will continue to ask staff to contribute to and influence the direction of the </w:t>
      </w:r>
      <w:r w:rsidR="0076271C">
        <w:t xml:space="preserve">NDIS </w:t>
      </w:r>
      <w:r>
        <w:t>Commission in a myriad of ways through staff co-design of strategic initiatives, priority projects and reviews, a</w:t>
      </w:r>
      <w:r w:rsidR="003B6230">
        <w:t>nd</w:t>
      </w:r>
      <w:r>
        <w:t xml:space="preserve"> self-nominated staff lead working groups. Increased </w:t>
      </w:r>
      <w:r w:rsidR="001E2642">
        <w:t>inclusivity, appreciation,</w:t>
      </w:r>
      <w:r>
        <w:t xml:space="preserve"> and respect </w:t>
      </w:r>
      <w:r w:rsidR="0003131A">
        <w:t>for diversity</w:t>
      </w:r>
      <w:r>
        <w:t xml:space="preserve"> will be a priority and enacted through the stand-up of Employee Network Groups and a new Disability Access and Inclusion</w:t>
      </w:r>
      <w:r w:rsidR="009047A9">
        <w:t xml:space="preserve"> Affirmative measure</w:t>
      </w:r>
      <w:r>
        <w:t xml:space="preserve"> role. </w:t>
      </w:r>
    </w:p>
    <w:p w14:paraId="6A72682C" w14:textId="77777777" w:rsidR="005F6787" w:rsidRDefault="005F6787" w:rsidP="005F6787">
      <w:pPr>
        <w:pStyle w:val="Heading2"/>
      </w:pPr>
      <w:bookmarkStart w:id="67" w:name="_Toc144287954"/>
      <w:bookmarkStart w:id="68" w:name="_Toc144302607"/>
      <w:r>
        <w:t>Governance</w:t>
      </w:r>
      <w:bookmarkEnd w:id="67"/>
      <w:bookmarkEnd w:id="68"/>
    </w:p>
    <w:p w14:paraId="421341EA" w14:textId="23055122" w:rsidR="005F6787" w:rsidRDefault="006E1385" w:rsidP="005F6787">
      <w:pPr>
        <w:pStyle w:val="Heading3"/>
      </w:pPr>
      <w:r>
        <w:t xml:space="preserve">Increasing </w:t>
      </w:r>
      <w:r w:rsidR="005F6787">
        <w:t>transparency</w:t>
      </w:r>
    </w:p>
    <w:p w14:paraId="50BCDDD1" w14:textId="5A70EB1C" w:rsidR="009047A9" w:rsidRDefault="006E1385" w:rsidP="00E836CA">
      <w:pPr>
        <w:rPr>
          <w:rStyle w:val="BackgroundParaChar"/>
        </w:rPr>
      </w:pPr>
      <w:r>
        <w:rPr>
          <w:rStyle w:val="BackgroundParaChar"/>
        </w:rPr>
        <w:t xml:space="preserve">As the </w:t>
      </w:r>
      <w:r w:rsidR="0076271C">
        <w:rPr>
          <w:rStyle w:val="BackgroundParaChar"/>
        </w:rPr>
        <w:t xml:space="preserve">NDIS </w:t>
      </w:r>
      <w:r>
        <w:rPr>
          <w:rStyle w:val="BackgroundParaChar"/>
        </w:rPr>
        <w:t xml:space="preserve">Commission matures as a regulator </w:t>
      </w:r>
      <w:r w:rsidRPr="00E836CA">
        <w:t>and our data holdings have increased, c</w:t>
      </w:r>
      <w:r w:rsidR="005F6787" w:rsidRPr="00E836CA">
        <w:t xml:space="preserve">hanges have been made to the way the </w:t>
      </w:r>
      <w:r w:rsidR="0076271C" w:rsidRPr="00E836CA">
        <w:t xml:space="preserve">NDIS </w:t>
      </w:r>
      <w:r w:rsidR="005F6787" w:rsidRPr="00E836CA">
        <w:t xml:space="preserve">Commission deliberates and reports internally and externally. </w:t>
      </w:r>
      <w:r w:rsidR="005F6787" w:rsidRPr="00E836CA">
        <w:lastRenderedPageBreak/>
        <w:t xml:space="preserve">External reporting has increased, details of suitability assessments of Behaviour Support </w:t>
      </w:r>
      <w:r w:rsidR="009047A9" w:rsidRPr="00E836CA">
        <w:t>p</w:t>
      </w:r>
      <w:r w:rsidR="005F6787" w:rsidRPr="00E836CA">
        <w:t xml:space="preserve">ractitioners are now public, and the Quarterly Performance </w:t>
      </w:r>
      <w:r w:rsidR="0003131A" w:rsidRPr="00E836CA">
        <w:t>Report will</w:t>
      </w:r>
      <w:r w:rsidR="005F6787" w:rsidRPr="00E836CA">
        <w:t xml:space="preserve"> build upon the </w:t>
      </w:r>
      <w:r w:rsidR="0003131A" w:rsidRPr="00E836CA">
        <w:t>previous quarterly</w:t>
      </w:r>
      <w:r w:rsidR="005F6787" w:rsidRPr="00E836CA">
        <w:t xml:space="preserve"> </w:t>
      </w:r>
      <w:r w:rsidR="009047A9" w:rsidRPr="00E836CA">
        <w:t>a</w:t>
      </w:r>
      <w:r w:rsidR="005F6787" w:rsidRPr="00E836CA">
        <w:t xml:space="preserve">ctivity </w:t>
      </w:r>
      <w:r w:rsidR="009047A9" w:rsidRPr="00E836CA">
        <w:t>r</w:t>
      </w:r>
      <w:r w:rsidR="005F6787" w:rsidRPr="00E836CA">
        <w:t>eport</w:t>
      </w:r>
      <w:r w:rsidR="009047A9" w:rsidRPr="00E836CA">
        <w:t>s</w:t>
      </w:r>
      <w:r w:rsidR="005F6787" w:rsidRPr="00E836CA">
        <w:t>. Our fortnightly e</w:t>
      </w:r>
      <w:r w:rsidR="009047A9" w:rsidRPr="00E836CA">
        <w:t xml:space="preserve">lectronic </w:t>
      </w:r>
      <w:r w:rsidR="005F6787" w:rsidRPr="00E836CA">
        <w:t>provider newsletter serves as an ongoing communication channel to educate and s</w:t>
      </w:r>
      <w:r w:rsidR="003B6230" w:rsidRPr="00E836CA">
        <w:t xml:space="preserve">upport providers and spotlight </w:t>
      </w:r>
      <w:r w:rsidR="005F6787" w:rsidRPr="00E836CA">
        <w:t>provider</w:t>
      </w:r>
      <w:r w:rsidR="005F6787">
        <w:rPr>
          <w:rStyle w:val="BackgroundParaChar"/>
        </w:rPr>
        <w:t xml:space="preserve"> innovation</w:t>
      </w:r>
      <w:r w:rsidR="009047A9">
        <w:rPr>
          <w:rStyle w:val="BackgroundParaChar"/>
        </w:rPr>
        <w:t>s</w:t>
      </w:r>
      <w:r w:rsidR="005F6787">
        <w:rPr>
          <w:rStyle w:val="BackgroundParaChar"/>
        </w:rPr>
        <w:t>.</w:t>
      </w:r>
    </w:p>
    <w:p w14:paraId="31BF66BC" w14:textId="25AD50EE" w:rsidR="005F6787" w:rsidRDefault="00E77C91" w:rsidP="00E836CA">
      <w:pPr>
        <w:rPr>
          <w:rStyle w:val="BackgroundParaChar"/>
        </w:rPr>
      </w:pPr>
      <w:r w:rsidRPr="00E77C91">
        <w:rPr>
          <w:rStyle w:val="BackgroundParaChar"/>
        </w:rPr>
        <w:t xml:space="preserve">As our resources increase and we implement a new organisational structure to support our regulatory application, we will </w:t>
      </w:r>
      <w:r w:rsidRPr="00E836CA">
        <w:t>refresh</w:t>
      </w:r>
      <w:r w:rsidRPr="00E77C91">
        <w:rPr>
          <w:rStyle w:val="BackgroundParaChar"/>
        </w:rPr>
        <w:t xml:space="preserve"> our governance fora.</w:t>
      </w:r>
      <w:r w:rsidR="00E6696C">
        <w:rPr>
          <w:rStyle w:val="BackgroundParaChar"/>
        </w:rPr>
        <w:t xml:space="preserve"> </w:t>
      </w:r>
      <w:r w:rsidR="00E6696C" w:rsidRPr="00E6696C">
        <w:rPr>
          <w:rStyle w:val="BackgroundParaChar"/>
        </w:rPr>
        <w:t>It will</w:t>
      </w:r>
      <w:r w:rsidR="005F6787" w:rsidRPr="00E6696C">
        <w:rPr>
          <w:rStyle w:val="BackgroundParaChar"/>
        </w:rPr>
        <w:t xml:space="preserve"> ensure that governance across the </w:t>
      </w:r>
      <w:r w:rsidR="0076271C">
        <w:rPr>
          <w:rStyle w:val="BackgroundParaChar"/>
        </w:rPr>
        <w:t xml:space="preserve">NDIS </w:t>
      </w:r>
      <w:r w:rsidR="005F6787" w:rsidRPr="00E6696C">
        <w:rPr>
          <w:rStyle w:val="BackgroundParaChar"/>
        </w:rPr>
        <w:t>Commission is connected and visible.</w:t>
      </w:r>
      <w:r w:rsidR="00220B35">
        <w:rPr>
          <w:rStyle w:val="BackgroundParaChar"/>
        </w:rPr>
        <w:t xml:space="preserve"> </w:t>
      </w:r>
      <w:r w:rsidR="005F6787" w:rsidRPr="00E6696C">
        <w:rPr>
          <w:rStyle w:val="BackgroundParaChar"/>
        </w:rPr>
        <w:t xml:space="preserve">The new governance </w:t>
      </w:r>
      <w:r w:rsidR="0003131A" w:rsidRPr="00E6696C">
        <w:rPr>
          <w:rStyle w:val="BackgroundParaChar"/>
        </w:rPr>
        <w:t>framework will</w:t>
      </w:r>
      <w:r w:rsidR="005F6787" w:rsidRPr="00E6696C">
        <w:rPr>
          <w:rStyle w:val="BackgroundParaChar"/>
        </w:rPr>
        <w:t xml:space="preserve"> </w:t>
      </w:r>
      <w:r w:rsidRPr="00E6696C">
        <w:rPr>
          <w:rStyle w:val="BackgroundParaChar"/>
        </w:rPr>
        <w:t xml:space="preserve">include </w:t>
      </w:r>
      <w:r w:rsidR="005F6787" w:rsidRPr="00E6696C">
        <w:rPr>
          <w:rStyle w:val="BackgroundParaChar"/>
        </w:rPr>
        <w:t>operational and strategic as well as internal and external facing groups.</w:t>
      </w:r>
    </w:p>
    <w:p w14:paraId="0BACCF85" w14:textId="77777777" w:rsidR="003B6230" w:rsidRPr="0093618F" w:rsidRDefault="003B6230" w:rsidP="003B6230">
      <w:pPr>
        <w:pStyle w:val="Heading2"/>
      </w:pPr>
      <w:bookmarkStart w:id="69" w:name="_Toc144287955"/>
      <w:bookmarkStart w:id="70" w:name="_Toc144302608"/>
      <w:r w:rsidRPr="0093618F">
        <w:t>Data privacy and cyber-security</w:t>
      </w:r>
      <w:bookmarkEnd w:id="69"/>
      <w:bookmarkEnd w:id="70"/>
      <w:r w:rsidRPr="0093618F">
        <w:t xml:space="preserve"> </w:t>
      </w:r>
    </w:p>
    <w:p w14:paraId="07431B0E" w14:textId="72EF71DB" w:rsidR="00DE4D0C" w:rsidRPr="00DE4D0C" w:rsidRDefault="00DE4D0C" w:rsidP="00E836CA">
      <w:pPr>
        <w:rPr>
          <w:rFonts w:ascii="Calibri" w:eastAsia="Calibri" w:hAnsi="Calibri" w:cs="Calibri"/>
          <w:color w:val="auto"/>
          <w:szCs w:val="22"/>
        </w:rPr>
      </w:pPr>
      <w:r w:rsidRPr="00DE4D0C">
        <w:rPr>
          <w:rFonts w:ascii="Calibri" w:eastAsia="Calibri" w:hAnsi="Calibri" w:cs="Calibri"/>
          <w:color w:val="auto"/>
          <w:szCs w:val="22"/>
        </w:rPr>
        <w:t>Increasingly frequent and targeted cyber-attacks on both individuals and organisations command us to be more alert than ever to the risks and sophisticated preventative measures required. The</w:t>
      </w:r>
      <w:r>
        <w:rPr>
          <w:rFonts w:ascii="Calibri" w:eastAsia="Calibri" w:hAnsi="Calibri" w:cs="Calibri"/>
          <w:color w:val="auto"/>
          <w:szCs w:val="22"/>
        </w:rPr>
        <w:t> </w:t>
      </w:r>
      <w:r w:rsidRPr="00DE4D0C">
        <w:rPr>
          <w:rFonts w:ascii="Calibri" w:eastAsia="Calibri" w:hAnsi="Calibri" w:cs="Calibri"/>
          <w:color w:val="auto"/>
          <w:szCs w:val="22"/>
        </w:rPr>
        <w:t xml:space="preserve">introduction and use of artificial </w:t>
      </w:r>
      <w:r w:rsidR="009B15A6" w:rsidRPr="00DE4D0C">
        <w:rPr>
          <w:rFonts w:ascii="Calibri" w:eastAsia="Calibri" w:hAnsi="Calibri" w:cs="Calibri"/>
          <w:color w:val="auto"/>
          <w:szCs w:val="22"/>
        </w:rPr>
        <w:t>intelligence and</w:t>
      </w:r>
      <w:r w:rsidRPr="00DE4D0C">
        <w:rPr>
          <w:rFonts w:ascii="Calibri" w:eastAsia="Calibri" w:hAnsi="Calibri" w:cs="Calibri"/>
          <w:color w:val="auto"/>
          <w:szCs w:val="22"/>
        </w:rPr>
        <w:t xml:space="preserve"> machine-learning capability has the potential to both help and hinder the way people with disability live their lives. </w:t>
      </w:r>
    </w:p>
    <w:p w14:paraId="35A36D2B" w14:textId="42EAB3DB" w:rsidR="00DE4D0C" w:rsidRPr="00DE4D0C" w:rsidRDefault="00DE4D0C" w:rsidP="00E836CA">
      <w:pPr>
        <w:rPr>
          <w:rFonts w:ascii="Calibri" w:eastAsia="Calibri" w:hAnsi="Calibri" w:cs="Calibri"/>
          <w:color w:val="auto"/>
          <w:szCs w:val="22"/>
        </w:rPr>
      </w:pPr>
      <w:r w:rsidRPr="00E836CA">
        <w:t>Consequently</w:t>
      </w:r>
      <w:r w:rsidRPr="00DE4D0C">
        <w:rPr>
          <w:rFonts w:ascii="Calibri" w:eastAsia="Calibri" w:hAnsi="Calibri" w:cs="Calibri"/>
          <w:color w:val="auto"/>
          <w:szCs w:val="22"/>
        </w:rPr>
        <w:t xml:space="preserve">, organisations supporting people with disability must quickly understand the benefits, risks and potential of these technologies. </w:t>
      </w:r>
    </w:p>
    <w:p w14:paraId="2D3442E4" w14:textId="2BBF3AE2" w:rsidR="00DE4D0C" w:rsidRPr="00DE4D0C" w:rsidRDefault="00DE4D0C" w:rsidP="00E836CA">
      <w:pPr>
        <w:rPr>
          <w:rFonts w:ascii="Calibri" w:eastAsia="Calibri" w:hAnsi="Calibri" w:cs="Calibri"/>
          <w:color w:val="auto"/>
          <w:szCs w:val="22"/>
        </w:rPr>
      </w:pPr>
      <w:r w:rsidRPr="00DE4D0C">
        <w:rPr>
          <w:rFonts w:ascii="Calibri" w:eastAsia="Calibri" w:hAnsi="Calibri" w:cs="Calibri"/>
          <w:color w:val="auto"/>
          <w:szCs w:val="22"/>
        </w:rPr>
        <w:t xml:space="preserve">Technology is undoubtedly changing the way we exist in the world and, in some ways, society urgently needs to catch </w:t>
      </w:r>
      <w:r w:rsidRPr="00E836CA">
        <w:t>up</w:t>
      </w:r>
      <w:r w:rsidRPr="00DE4D0C">
        <w:rPr>
          <w:rFonts w:ascii="Calibri" w:eastAsia="Calibri" w:hAnsi="Calibri" w:cs="Calibri"/>
          <w:color w:val="auto"/>
          <w:szCs w:val="22"/>
        </w:rPr>
        <w:t xml:space="preserve"> to the advancements it</w:t>
      </w:r>
      <w:r>
        <w:rPr>
          <w:rFonts w:ascii="Calibri" w:eastAsia="Calibri" w:hAnsi="Calibri" w:cs="Calibri"/>
          <w:color w:val="auto"/>
          <w:szCs w:val="22"/>
        </w:rPr>
        <w:t xml:space="preserve"> i</w:t>
      </w:r>
      <w:r w:rsidRPr="00DE4D0C">
        <w:rPr>
          <w:rFonts w:ascii="Calibri" w:eastAsia="Calibri" w:hAnsi="Calibri" w:cs="Calibri"/>
          <w:color w:val="auto"/>
          <w:szCs w:val="22"/>
        </w:rPr>
        <w:t>s affording us</w:t>
      </w:r>
      <w:r>
        <w:rPr>
          <w:rFonts w:ascii="Calibri" w:eastAsia="Calibri" w:hAnsi="Calibri" w:cs="Calibri"/>
          <w:color w:val="auto"/>
          <w:szCs w:val="22"/>
        </w:rPr>
        <w:t>, p</w:t>
      </w:r>
      <w:r w:rsidRPr="00DE4D0C">
        <w:rPr>
          <w:rFonts w:ascii="Calibri" w:eastAsia="Calibri" w:hAnsi="Calibri" w:cs="Calibri"/>
          <w:color w:val="auto"/>
          <w:szCs w:val="22"/>
        </w:rPr>
        <w:t xml:space="preserve">articularly </w:t>
      </w:r>
      <w:r>
        <w:rPr>
          <w:rFonts w:ascii="Calibri" w:eastAsia="Calibri" w:hAnsi="Calibri" w:cs="Calibri"/>
          <w:color w:val="auto"/>
          <w:szCs w:val="22"/>
        </w:rPr>
        <w:t xml:space="preserve">with regard to </w:t>
      </w:r>
      <w:r w:rsidRPr="00DE4D0C">
        <w:rPr>
          <w:rFonts w:ascii="Calibri" w:eastAsia="Calibri" w:hAnsi="Calibri" w:cs="Calibri"/>
          <w:color w:val="auto"/>
          <w:szCs w:val="22"/>
        </w:rPr>
        <w:t>privacy protections and cyber security protective measures. The Data and Digital Roadmap</w:t>
      </w:r>
      <w:r w:rsidR="0076271C">
        <w:rPr>
          <w:rFonts w:ascii="Calibri" w:eastAsia="Calibri" w:hAnsi="Calibri" w:cs="Calibri"/>
          <w:color w:val="auto"/>
          <w:szCs w:val="22"/>
        </w:rPr>
        <w:t xml:space="preserve"> and</w:t>
      </w:r>
      <w:r w:rsidR="00D60184">
        <w:rPr>
          <w:rFonts w:ascii="Calibri" w:eastAsia="Calibri" w:hAnsi="Calibri" w:cs="Calibri"/>
          <w:color w:val="auto"/>
          <w:szCs w:val="22"/>
        </w:rPr>
        <w:t xml:space="preserve"> improved internal ICT capabilities </w:t>
      </w:r>
      <w:r w:rsidRPr="00DE4D0C">
        <w:rPr>
          <w:rFonts w:ascii="Calibri" w:eastAsia="Calibri" w:hAnsi="Calibri" w:cs="Calibri"/>
          <w:color w:val="auto"/>
          <w:szCs w:val="22"/>
        </w:rPr>
        <w:t xml:space="preserve">incorporate security measures that </w:t>
      </w:r>
      <w:r w:rsidR="00983BED">
        <w:t xml:space="preserve">strengthen the protection of all data </w:t>
      </w:r>
      <w:r w:rsidRPr="00DE4D0C">
        <w:rPr>
          <w:rFonts w:ascii="Calibri" w:eastAsia="Calibri" w:hAnsi="Calibri" w:cs="Calibri"/>
          <w:color w:val="auto"/>
          <w:szCs w:val="22"/>
        </w:rPr>
        <w:t xml:space="preserve">and information held by the </w:t>
      </w:r>
      <w:r w:rsidR="00E43F01">
        <w:rPr>
          <w:rFonts w:ascii="Calibri" w:eastAsia="Calibri" w:hAnsi="Calibri" w:cs="Calibri"/>
          <w:color w:val="auto"/>
          <w:szCs w:val="22"/>
        </w:rPr>
        <w:t xml:space="preserve">NDIS Commission, </w:t>
      </w:r>
      <w:r w:rsidRPr="00DE4D0C">
        <w:rPr>
          <w:rFonts w:ascii="Calibri" w:eastAsia="Calibri" w:hAnsi="Calibri" w:cs="Calibri"/>
          <w:color w:val="auto"/>
          <w:szCs w:val="22"/>
        </w:rPr>
        <w:t xml:space="preserve">whilst giving the </w:t>
      </w:r>
      <w:r w:rsidR="0076271C">
        <w:rPr>
          <w:rFonts w:ascii="Calibri" w:eastAsia="Calibri" w:hAnsi="Calibri" w:cs="Calibri"/>
          <w:color w:val="auto"/>
          <w:szCs w:val="22"/>
        </w:rPr>
        <w:t xml:space="preserve">NDIS </w:t>
      </w:r>
      <w:r w:rsidRPr="00DE4D0C">
        <w:rPr>
          <w:rFonts w:ascii="Calibri" w:eastAsia="Calibri" w:hAnsi="Calibri" w:cs="Calibri"/>
          <w:color w:val="auto"/>
          <w:szCs w:val="22"/>
        </w:rPr>
        <w:t>Commission the required modern data and regulatory capabilities. It</w:t>
      </w:r>
      <w:r>
        <w:rPr>
          <w:rFonts w:ascii="Calibri" w:eastAsia="Calibri" w:hAnsi="Calibri" w:cs="Calibri"/>
          <w:color w:val="auto"/>
          <w:szCs w:val="22"/>
        </w:rPr>
        <w:t> </w:t>
      </w:r>
      <w:r w:rsidRPr="00DE4D0C">
        <w:rPr>
          <w:rFonts w:ascii="Calibri" w:eastAsia="Calibri" w:hAnsi="Calibri" w:cs="Calibri"/>
          <w:color w:val="auto"/>
          <w:szCs w:val="22"/>
        </w:rPr>
        <w:t xml:space="preserve">also outlines how we will explore the use of machine learning in a responsible and efficient way, so that we can continue </w:t>
      </w:r>
      <w:r>
        <w:rPr>
          <w:rFonts w:ascii="Calibri" w:eastAsia="Calibri" w:hAnsi="Calibri" w:cs="Calibri"/>
          <w:color w:val="auto"/>
          <w:szCs w:val="22"/>
        </w:rPr>
        <w:t xml:space="preserve">to </w:t>
      </w:r>
      <w:r w:rsidRPr="00DE4D0C">
        <w:rPr>
          <w:rFonts w:ascii="Calibri" w:eastAsia="Calibri" w:hAnsi="Calibri" w:cs="Calibri"/>
          <w:color w:val="auto"/>
          <w:szCs w:val="22"/>
        </w:rPr>
        <w:t>improv</w:t>
      </w:r>
      <w:r>
        <w:rPr>
          <w:rFonts w:ascii="Calibri" w:eastAsia="Calibri" w:hAnsi="Calibri" w:cs="Calibri"/>
          <w:color w:val="auto"/>
          <w:szCs w:val="22"/>
        </w:rPr>
        <w:t>e</w:t>
      </w:r>
      <w:r w:rsidRPr="00DE4D0C">
        <w:rPr>
          <w:rFonts w:ascii="Calibri" w:eastAsia="Calibri" w:hAnsi="Calibri" w:cs="Calibri"/>
          <w:color w:val="auto"/>
          <w:szCs w:val="22"/>
        </w:rPr>
        <w:t xml:space="preserve"> the way we support NDIS participants.</w:t>
      </w:r>
    </w:p>
    <w:p w14:paraId="3BCD0C23" w14:textId="77777777" w:rsidR="006959BD" w:rsidRDefault="006959BD" w:rsidP="00983BED">
      <w:pPr>
        <w:pStyle w:val="Heading1"/>
      </w:pPr>
      <w:bookmarkStart w:id="71" w:name="_Toc144222451"/>
      <w:bookmarkStart w:id="72" w:name="_Toc144287956"/>
      <w:r>
        <w:br w:type="page"/>
      </w:r>
    </w:p>
    <w:p w14:paraId="7D31D36B" w14:textId="706708E4" w:rsidR="005F6787" w:rsidRDefault="005F6787" w:rsidP="00983BED">
      <w:pPr>
        <w:pStyle w:val="Heading1"/>
      </w:pPr>
      <w:bookmarkStart w:id="73" w:name="_Toc144302609"/>
      <w:r>
        <w:lastRenderedPageBreak/>
        <w:t>Collaboration</w:t>
      </w:r>
      <w:bookmarkEnd w:id="71"/>
      <w:bookmarkEnd w:id="72"/>
      <w:bookmarkEnd w:id="73"/>
    </w:p>
    <w:p w14:paraId="7B889971" w14:textId="77777777" w:rsidR="005F6787" w:rsidRDefault="005F6787" w:rsidP="00E836CA">
      <w:r w:rsidRPr="005F6787">
        <w:t>The NDIS Commission recognises that it is a partner with many within the NDIS eco system.</w:t>
      </w:r>
      <w:r w:rsidR="00220B35">
        <w:t xml:space="preserve"> </w:t>
      </w:r>
      <w:r w:rsidRPr="005F6787">
        <w:t xml:space="preserve">We value </w:t>
      </w:r>
      <w:r w:rsidRPr="00E836CA">
        <w:t>and</w:t>
      </w:r>
      <w:r w:rsidRPr="005F6787">
        <w:t xml:space="preserve"> actively seek out co</w:t>
      </w:r>
      <w:r w:rsidR="00F61D29">
        <w:t>llaboration with participants</w:t>
      </w:r>
      <w:r w:rsidR="003B6230">
        <w:t xml:space="preserve">, advocacy groups, disability representative </w:t>
      </w:r>
      <w:r w:rsidRPr="005F6787">
        <w:t>organisations</w:t>
      </w:r>
      <w:r w:rsidR="003B6230">
        <w:t xml:space="preserve">, providers </w:t>
      </w:r>
      <w:r w:rsidRPr="005F6787">
        <w:t>an</w:t>
      </w:r>
      <w:r w:rsidR="00E6696C">
        <w:t>d government agencies. From participants</w:t>
      </w:r>
      <w:r w:rsidRPr="005F6787">
        <w:t xml:space="preserve"> we learn and draw insights based on their lived experience and </w:t>
      </w:r>
      <w:r w:rsidR="0003131A" w:rsidRPr="005F6787">
        <w:t>expertise, which</w:t>
      </w:r>
      <w:r w:rsidRPr="005F6787">
        <w:t xml:space="preserve"> we leverage to achieve our purpose.</w:t>
      </w:r>
    </w:p>
    <w:p w14:paraId="7670E335" w14:textId="77777777" w:rsidR="006959BD" w:rsidRDefault="006959BD" w:rsidP="00E836CA">
      <w:pPr>
        <w:sectPr w:rsidR="006959BD" w:rsidSect="005C15E8">
          <w:pgSz w:w="11906" w:h="16838" w:code="9"/>
          <w:pgMar w:top="1134" w:right="1440" w:bottom="1440" w:left="1440" w:header="283" w:footer="285" w:gutter="0"/>
          <w:cols w:space="340"/>
          <w:titlePg/>
          <w:docGrid w:linePitch="360"/>
        </w:sectPr>
      </w:pPr>
    </w:p>
    <w:p w14:paraId="6411AFA9" w14:textId="39C06828" w:rsidR="00E836CA" w:rsidRDefault="00BA31DC" w:rsidP="006959BD">
      <w:pPr>
        <w:spacing w:before="840"/>
      </w:pPr>
      <w:r>
        <w:rPr>
          <w:noProof/>
          <w:lang w:eastAsia="en-AU"/>
        </w:rPr>
        <w:drawing>
          <wp:inline distT="0" distB="0" distL="0" distR="0" wp14:anchorId="617FBE0B" wp14:editId="25689090">
            <wp:extent cx="2808595" cy="2796988"/>
            <wp:effectExtent l="0" t="0" r="0" b="0"/>
            <wp:docPr id="221936227" name="Picture 2" descr="A circular diagram to show stakeholder relationships. Participants, famililes and carers are at the centre. The NDIS Quality and Safeguards Commission forms a shield between participants and stakeholders. The stakeholders group is made up of Advisors, Government and Service provi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6227" name="Picture 2" descr="A circular diagram to show stakeholder relationships. Participants, famililes and carers are at the centre. The NDIS Quality and Safeguards Commission forms a shield between participants and stakeholders. The stakeholders group is made up of Advisors, Government and Service providers.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12246" cy="2800624"/>
                    </a:xfrm>
                    <a:prstGeom prst="rect">
                      <a:avLst/>
                    </a:prstGeom>
                  </pic:spPr>
                </pic:pic>
              </a:graphicData>
            </a:graphic>
          </wp:inline>
        </w:drawing>
      </w:r>
    </w:p>
    <w:p w14:paraId="5BE392FF" w14:textId="316F00A8" w:rsidR="005203C8" w:rsidRPr="006959BD" w:rsidRDefault="006959BD" w:rsidP="006959BD">
      <w:pPr>
        <w:spacing w:after="0"/>
        <w:rPr>
          <w:b/>
          <w:bCs/>
        </w:rPr>
      </w:pPr>
      <w:r>
        <w:br w:type="column"/>
      </w:r>
      <w:r w:rsidR="005203C8" w:rsidRPr="006959BD">
        <w:rPr>
          <w:b/>
          <w:bCs/>
        </w:rPr>
        <w:t>Advisors</w:t>
      </w:r>
    </w:p>
    <w:p w14:paraId="448B23FE" w14:textId="77777777" w:rsidR="005203C8" w:rsidRDefault="005203C8" w:rsidP="006959BD">
      <w:pPr>
        <w:pStyle w:val="Bullet1"/>
        <w:spacing w:before="0" w:after="0"/>
      </w:pPr>
      <w:r>
        <w:t>Consultative Committee &amp; Advisory Groups</w:t>
      </w:r>
    </w:p>
    <w:p w14:paraId="28F09B92" w14:textId="77777777" w:rsidR="005203C8" w:rsidRDefault="005203C8" w:rsidP="006959BD">
      <w:pPr>
        <w:pStyle w:val="Bullet1"/>
        <w:spacing w:before="0" w:after="0"/>
      </w:pPr>
      <w:r>
        <w:t xml:space="preserve">Audit and Risk Committee </w:t>
      </w:r>
    </w:p>
    <w:p w14:paraId="318CF0C7" w14:textId="77777777" w:rsidR="005203C8" w:rsidRDefault="005203C8" w:rsidP="006959BD">
      <w:pPr>
        <w:pStyle w:val="Bullet1"/>
        <w:spacing w:before="0" w:after="0"/>
      </w:pPr>
      <w:r>
        <w:t>Complaints Advisory Group</w:t>
      </w:r>
    </w:p>
    <w:p w14:paraId="06FDD9BD" w14:textId="77777777" w:rsidR="005203C8" w:rsidRDefault="005203C8" w:rsidP="006959BD">
      <w:pPr>
        <w:pStyle w:val="Bullet1"/>
        <w:spacing w:before="0" w:after="0"/>
      </w:pPr>
      <w:r>
        <w:t xml:space="preserve">Research Committee </w:t>
      </w:r>
    </w:p>
    <w:p w14:paraId="5396DA29" w14:textId="77777777" w:rsidR="005203C8" w:rsidRDefault="005203C8" w:rsidP="006959BD">
      <w:pPr>
        <w:pStyle w:val="Bullet1"/>
        <w:spacing w:before="0" w:after="0"/>
      </w:pPr>
      <w:r>
        <w:t>Focus Groups</w:t>
      </w:r>
    </w:p>
    <w:p w14:paraId="5D3C4111" w14:textId="77777777" w:rsidR="005203C8" w:rsidRDefault="005203C8" w:rsidP="006959BD">
      <w:pPr>
        <w:pStyle w:val="Bullet1"/>
        <w:spacing w:before="0" w:after="0"/>
      </w:pPr>
      <w:r>
        <w:t>Experts by Experience</w:t>
      </w:r>
    </w:p>
    <w:p w14:paraId="22FE6570" w14:textId="47968B0D" w:rsidR="00BA31DC" w:rsidRDefault="005203C8" w:rsidP="006959BD">
      <w:pPr>
        <w:pStyle w:val="Bullet1"/>
        <w:spacing w:before="0" w:after="0"/>
      </w:pPr>
      <w:r>
        <w:t>Roundtables – Disability Advocacy Forum/Research</w:t>
      </w:r>
    </w:p>
    <w:p w14:paraId="4B308908" w14:textId="77777777" w:rsidR="005203C8" w:rsidRPr="006959BD" w:rsidRDefault="005203C8" w:rsidP="006959BD">
      <w:pPr>
        <w:spacing w:after="0"/>
        <w:rPr>
          <w:b/>
          <w:bCs/>
        </w:rPr>
      </w:pPr>
      <w:r w:rsidRPr="006959BD">
        <w:rPr>
          <w:b/>
          <w:bCs/>
        </w:rPr>
        <w:t xml:space="preserve">Government </w:t>
      </w:r>
    </w:p>
    <w:p w14:paraId="2005E621" w14:textId="77777777" w:rsidR="005203C8" w:rsidRDefault="005203C8" w:rsidP="006959BD">
      <w:pPr>
        <w:pStyle w:val="Bullet1"/>
        <w:spacing w:before="0" w:after="0"/>
      </w:pPr>
      <w:r>
        <w:t>Minister</w:t>
      </w:r>
    </w:p>
    <w:p w14:paraId="1D5A3AE2" w14:textId="77777777" w:rsidR="005203C8" w:rsidRDefault="005203C8" w:rsidP="006959BD">
      <w:pPr>
        <w:pStyle w:val="Bullet1"/>
        <w:spacing w:before="0" w:after="0"/>
      </w:pPr>
      <w:r>
        <w:t xml:space="preserve">Commonwealth departments </w:t>
      </w:r>
    </w:p>
    <w:p w14:paraId="2991C11A" w14:textId="77777777" w:rsidR="005203C8" w:rsidRDefault="005203C8" w:rsidP="006959BD">
      <w:pPr>
        <w:pStyle w:val="Bullet1"/>
        <w:spacing w:before="0" w:after="0"/>
      </w:pPr>
      <w:r>
        <w:t>State and Territory governments</w:t>
      </w:r>
    </w:p>
    <w:p w14:paraId="57A9C37B" w14:textId="77777777" w:rsidR="005203C8" w:rsidRDefault="005203C8" w:rsidP="006959BD">
      <w:pPr>
        <w:pStyle w:val="Bullet1"/>
        <w:spacing w:before="0" w:after="0"/>
      </w:pPr>
      <w:r>
        <w:t xml:space="preserve">National and State and Territory Regulators </w:t>
      </w:r>
    </w:p>
    <w:p w14:paraId="4B1A06A2" w14:textId="26BD3900" w:rsidR="00BA31DC" w:rsidRDefault="005203C8" w:rsidP="006959BD">
      <w:pPr>
        <w:pStyle w:val="Bullet1"/>
        <w:spacing w:before="0" w:after="0"/>
      </w:pPr>
      <w:r>
        <w:t>Fraud Fusion Taskforce</w:t>
      </w:r>
    </w:p>
    <w:p w14:paraId="11CF67D1" w14:textId="77777777" w:rsidR="005203C8" w:rsidRPr="006959BD" w:rsidRDefault="005203C8" w:rsidP="006959BD">
      <w:pPr>
        <w:spacing w:after="0"/>
        <w:rPr>
          <w:b/>
          <w:bCs/>
        </w:rPr>
      </w:pPr>
      <w:r w:rsidRPr="006959BD">
        <w:rPr>
          <w:b/>
          <w:bCs/>
        </w:rPr>
        <w:t>Service providers</w:t>
      </w:r>
    </w:p>
    <w:p w14:paraId="5CCE6C0E" w14:textId="77777777" w:rsidR="005203C8" w:rsidRPr="005203C8" w:rsidRDefault="005203C8" w:rsidP="006959BD">
      <w:pPr>
        <w:pStyle w:val="Bullet1"/>
        <w:spacing w:before="0" w:after="0"/>
      </w:pPr>
      <w:r w:rsidRPr="005203C8">
        <w:t>Peak bodies</w:t>
      </w:r>
    </w:p>
    <w:p w14:paraId="76143896" w14:textId="77777777" w:rsidR="005203C8" w:rsidRPr="005203C8" w:rsidRDefault="005203C8" w:rsidP="006959BD">
      <w:pPr>
        <w:pStyle w:val="Bullet1"/>
        <w:spacing w:before="0" w:after="0"/>
      </w:pPr>
      <w:r w:rsidRPr="005203C8">
        <w:t>Disability representative organisations</w:t>
      </w:r>
    </w:p>
    <w:p w14:paraId="00CBDB17" w14:textId="77777777" w:rsidR="005203C8" w:rsidRPr="005203C8" w:rsidRDefault="005203C8" w:rsidP="006959BD">
      <w:pPr>
        <w:pStyle w:val="Bullet1"/>
        <w:spacing w:before="0" w:after="0"/>
      </w:pPr>
      <w:r w:rsidRPr="005203C8">
        <w:t>Providers and workers</w:t>
      </w:r>
    </w:p>
    <w:p w14:paraId="1FF114D4" w14:textId="5A3D8874" w:rsidR="005203C8" w:rsidRDefault="005203C8" w:rsidP="006959BD">
      <w:pPr>
        <w:pStyle w:val="Bullet1"/>
        <w:spacing w:before="0" w:after="0"/>
      </w:pPr>
      <w:r w:rsidRPr="005203C8">
        <w:t>Advocates</w:t>
      </w:r>
    </w:p>
    <w:p w14:paraId="05A8BF1C" w14:textId="2BAE6B1F" w:rsidR="00C817F8" w:rsidRPr="005203C8" w:rsidRDefault="00C817F8" w:rsidP="006959BD">
      <w:pPr>
        <w:pStyle w:val="Bullet1"/>
        <w:spacing w:before="0" w:after="0"/>
      </w:pPr>
      <w:r>
        <w:t>Worker representatives</w:t>
      </w:r>
    </w:p>
    <w:p w14:paraId="63C950C7" w14:textId="15ED0271" w:rsidR="006959BD" w:rsidRDefault="006959BD" w:rsidP="0035624C">
      <w:pPr>
        <w:pStyle w:val="Heading1"/>
      </w:pPr>
      <w:bookmarkStart w:id="74" w:name="_Toc144222452"/>
      <w:bookmarkStart w:id="75" w:name="_Toc144287957"/>
    </w:p>
    <w:p w14:paraId="408373D4" w14:textId="0561E785" w:rsidR="00C817F8" w:rsidRPr="00C817F8" w:rsidRDefault="00C817F8" w:rsidP="00B7491E">
      <w:pPr>
        <w:rPr>
          <w:b/>
        </w:rPr>
        <w:sectPr w:rsidR="00C817F8" w:rsidRPr="00C817F8" w:rsidSect="005C15E8">
          <w:type w:val="continuous"/>
          <w:pgSz w:w="11906" w:h="16838" w:code="9"/>
          <w:pgMar w:top="1134" w:right="1440" w:bottom="1440" w:left="1440" w:header="284" w:footer="397" w:gutter="0"/>
          <w:cols w:num="2" w:space="340"/>
          <w:titlePg/>
          <w:docGrid w:linePitch="360"/>
        </w:sectPr>
      </w:pPr>
    </w:p>
    <w:p w14:paraId="067E71FF" w14:textId="77777777" w:rsidR="006959BD" w:rsidRDefault="006959BD" w:rsidP="0035624C">
      <w:pPr>
        <w:pStyle w:val="Heading1"/>
      </w:pPr>
      <w:r>
        <w:br w:type="page"/>
      </w:r>
    </w:p>
    <w:p w14:paraId="0F122521" w14:textId="6A923815" w:rsidR="0035624C" w:rsidRDefault="0035624C" w:rsidP="0035624C">
      <w:pPr>
        <w:pStyle w:val="Heading1"/>
        <w:rPr>
          <w:rFonts w:asciiTheme="minorHAnsi" w:eastAsiaTheme="minorHAnsi" w:hAnsiTheme="minorHAnsi" w:cstheme="minorBidi"/>
          <w:b w:val="0"/>
          <w:color w:val="000000" w:themeColor="text1"/>
          <w:sz w:val="22"/>
          <w:szCs w:val="20"/>
        </w:rPr>
      </w:pPr>
      <w:bookmarkStart w:id="76" w:name="_Toc144302610"/>
      <w:r>
        <w:lastRenderedPageBreak/>
        <w:t xml:space="preserve">Risk </w:t>
      </w:r>
      <w:r w:rsidR="00760E07">
        <w:t>M</w:t>
      </w:r>
      <w:r>
        <w:t>anagement</w:t>
      </w:r>
      <w:bookmarkEnd w:id="74"/>
      <w:bookmarkEnd w:id="75"/>
      <w:bookmarkEnd w:id="76"/>
      <w:r w:rsidRPr="000D1E6B">
        <w:rPr>
          <w:rFonts w:asciiTheme="minorHAnsi" w:eastAsiaTheme="minorHAnsi" w:hAnsiTheme="minorHAnsi" w:cstheme="minorBidi"/>
          <w:b w:val="0"/>
          <w:color w:val="000000" w:themeColor="text1"/>
          <w:sz w:val="22"/>
          <w:szCs w:val="20"/>
        </w:rPr>
        <w:t xml:space="preserve"> </w:t>
      </w:r>
    </w:p>
    <w:p w14:paraId="64711098" w14:textId="55A1D525" w:rsidR="00F50C08" w:rsidRDefault="00F50C08" w:rsidP="005203C8">
      <w:r>
        <w:rPr>
          <w:rFonts w:ascii="Calibri" w:hAnsi="Calibri" w:cs="Calibri"/>
        </w:rPr>
        <w:t>The NDIS Commission’s risk</w:t>
      </w:r>
      <w:r w:rsidR="0090517D">
        <w:rPr>
          <w:rFonts w:ascii="Calibri" w:hAnsi="Calibri" w:cs="Calibri"/>
        </w:rPr>
        <w:t xml:space="preserve"> and</w:t>
      </w:r>
      <w:r>
        <w:rPr>
          <w:rFonts w:ascii="Calibri" w:hAnsi="Calibri" w:cs="Calibri"/>
        </w:rPr>
        <w:t xml:space="preserve"> </w:t>
      </w:r>
      <w:r w:rsidRPr="005203C8">
        <w:t>governance</w:t>
      </w:r>
      <w:r>
        <w:rPr>
          <w:rFonts w:ascii="Calibri" w:hAnsi="Calibri" w:cs="Calibri"/>
        </w:rPr>
        <w:t xml:space="preserve"> framework is underpinned by the;</w:t>
      </w:r>
    </w:p>
    <w:p w14:paraId="6096843D" w14:textId="438D494A" w:rsidR="00F50C08" w:rsidRPr="00766A67" w:rsidRDefault="00F50C08" w:rsidP="005203C8">
      <w:pPr>
        <w:pStyle w:val="Bullet1"/>
      </w:pPr>
      <w:r w:rsidRPr="005203C8">
        <w:rPr>
          <w:i/>
          <w:iCs/>
        </w:rPr>
        <w:t>National Disability Insurance Scheme Act 2013</w:t>
      </w:r>
      <w:r w:rsidR="0090517D">
        <w:t xml:space="preserve"> and NDIS Rules</w:t>
      </w:r>
    </w:p>
    <w:p w14:paraId="4A10D9AD" w14:textId="6CD6BEEB" w:rsidR="00E43F01" w:rsidRPr="000175CE" w:rsidRDefault="00E43F01" w:rsidP="005203C8">
      <w:pPr>
        <w:pStyle w:val="Bullet1"/>
      </w:pPr>
      <w:r w:rsidRPr="005203C8">
        <w:rPr>
          <w:i/>
          <w:iCs/>
        </w:rPr>
        <w:t>Public Governance, Performance and Accountability Act 2013</w:t>
      </w:r>
      <w:r w:rsidR="000156D3">
        <w:t xml:space="preserve"> (</w:t>
      </w:r>
      <w:r w:rsidR="000156D3" w:rsidRPr="009B15A6">
        <w:t>PGPA Act</w:t>
      </w:r>
      <w:r w:rsidR="000156D3">
        <w:t>) and the PGPA Rule</w:t>
      </w:r>
    </w:p>
    <w:p w14:paraId="037B9971" w14:textId="77777777" w:rsidR="00E43F01" w:rsidRPr="005203C8" w:rsidRDefault="00E43F01" w:rsidP="005203C8">
      <w:pPr>
        <w:pStyle w:val="Bullet1"/>
        <w:rPr>
          <w:i/>
          <w:iCs/>
        </w:rPr>
      </w:pPr>
      <w:r w:rsidRPr="005203C8">
        <w:rPr>
          <w:i/>
          <w:iCs/>
        </w:rPr>
        <w:t>Public Service Act 1999</w:t>
      </w:r>
    </w:p>
    <w:p w14:paraId="4D022708" w14:textId="77777777" w:rsidR="00E43F01" w:rsidRPr="005203C8" w:rsidRDefault="00E43F01" w:rsidP="005203C8">
      <w:pPr>
        <w:pStyle w:val="Bullet1"/>
        <w:rPr>
          <w:i/>
          <w:iCs/>
        </w:rPr>
      </w:pPr>
      <w:r w:rsidRPr="005203C8">
        <w:rPr>
          <w:i/>
          <w:iCs/>
        </w:rPr>
        <w:t>Public Interest Disclosure Act 2013</w:t>
      </w:r>
    </w:p>
    <w:p w14:paraId="0871163A" w14:textId="7ADC7FF8" w:rsidR="00E43F01" w:rsidRDefault="00E43F01" w:rsidP="005203C8">
      <w:pPr>
        <w:pStyle w:val="Bullet1"/>
      </w:pPr>
      <w:r w:rsidRPr="005203C8">
        <w:rPr>
          <w:i/>
          <w:iCs/>
        </w:rPr>
        <w:t xml:space="preserve">Work Health and </w:t>
      </w:r>
      <w:r w:rsidR="0090517D" w:rsidRPr="005203C8">
        <w:rPr>
          <w:i/>
          <w:iCs/>
        </w:rPr>
        <w:t>Safety Act 201</w:t>
      </w:r>
      <w:r w:rsidR="0090517D">
        <w:t xml:space="preserve"> (Cth)</w:t>
      </w:r>
      <w:r>
        <w:t xml:space="preserve"> </w:t>
      </w:r>
    </w:p>
    <w:p w14:paraId="095BFD04" w14:textId="3DEEAD09" w:rsidR="00F50C08" w:rsidRDefault="00F50C08" w:rsidP="005203C8">
      <w:pPr>
        <w:pStyle w:val="Bullet1"/>
      </w:pPr>
      <w:r>
        <w:t>National Disability Insurance Scheme Risk Management Rules 2013</w:t>
      </w:r>
    </w:p>
    <w:p w14:paraId="34DB0368" w14:textId="78F27BB2" w:rsidR="00F50C08" w:rsidRDefault="00F50C08" w:rsidP="005203C8">
      <w:pPr>
        <w:pStyle w:val="Bullet1"/>
      </w:pPr>
      <w:r>
        <w:t>Work Health and Safety Regulations 2011</w:t>
      </w:r>
      <w:r w:rsidR="0090517D">
        <w:t xml:space="preserve"> (Cth)</w:t>
      </w:r>
    </w:p>
    <w:p w14:paraId="511E8C04" w14:textId="77777777" w:rsidR="00F50C08" w:rsidRDefault="00F50C08" w:rsidP="005203C8">
      <w:pPr>
        <w:pStyle w:val="Bullet1"/>
      </w:pPr>
      <w:r>
        <w:t>Comcover insurance and risk management requirements</w:t>
      </w:r>
    </w:p>
    <w:p w14:paraId="718D5FB1" w14:textId="72BF9F0B" w:rsidR="0090517D" w:rsidRDefault="00F50C08" w:rsidP="005203C8">
      <w:pPr>
        <w:pStyle w:val="Bullet1"/>
      </w:pPr>
      <w:r>
        <w:t xml:space="preserve">Commonwealth Procurement Rules </w:t>
      </w:r>
    </w:p>
    <w:p w14:paraId="1F9E6AD8" w14:textId="3C454C80" w:rsidR="00F50C08" w:rsidRDefault="00F50C08" w:rsidP="005203C8">
      <w:pPr>
        <w:pStyle w:val="Bullet1"/>
      </w:pPr>
      <w:r>
        <w:t xml:space="preserve">Commonwealth Grant Rules and Guidelines </w:t>
      </w:r>
    </w:p>
    <w:p w14:paraId="1B75A34F" w14:textId="77777777" w:rsidR="00F50C08" w:rsidRDefault="00F50C08" w:rsidP="005203C8">
      <w:pPr>
        <w:pStyle w:val="Bullet1"/>
        <w:spacing w:after="200"/>
      </w:pPr>
      <w:r>
        <w:t>Commonwealth Risk Management Policy</w:t>
      </w:r>
    </w:p>
    <w:p w14:paraId="514FE297" w14:textId="6B918C8E" w:rsidR="00983BED" w:rsidRPr="00E10D45" w:rsidRDefault="00205961" w:rsidP="005203C8">
      <w:pPr>
        <w:rPr>
          <w:rFonts w:ascii="Calibri" w:hAnsi="Calibri" w:cs="Calibri"/>
        </w:rPr>
      </w:pPr>
      <w:r w:rsidRPr="00766A67">
        <w:rPr>
          <w:rFonts w:ascii="Calibri" w:hAnsi="Calibri" w:cs="Calibri"/>
        </w:rPr>
        <w:t>Ris</w:t>
      </w:r>
      <w:r w:rsidR="00E7260F" w:rsidRPr="00766A67">
        <w:rPr>
          <w:rFonts w:ascii="Calibri" w:hAnsi="Calibri" w:cs="Calibri"/>
        </w:rPr>
        <w:t xml:space="preserve">k management is the responsibility of the </w:t>
      </w:r>
      <w:r w:rsidR="0076271C" w:rsidRPr="00766A67">
        <w:rPr>
          <w:rFonts w:ascii="Calibri" w:hAnsi="Calibri" w:cs="Calibri"/>
        </w:rPr>
        <w:t xml:space="preserve">NDIS </w:t>
      </w:r>
      <w:r w:rsidR="00E7260F" w:rsidRPr="00766A67">
        <w:rPr>
          <w:rFonts w:ascii="Calibri" w:hAnsi="Calibri" w:cs="Calibri"/>
        </w:rPr>
        <w:t>Commission</w:t>
      </w:r>
      <w:r w:rsidR="00983BED" w:rsidRPr="00766A67">
        <w:rPr>
          <w:rFonts w:ascii="Calibri" w:hAnsi="Calibri" w:cs="Calibri"/>
        </w:rPr>
        <w:t xml:space="preserve"> and we actively monitor </w:t>
      </w:r>
      <w:r w:rsidR="00F50C08" w:rsidRPr="00766A67">
        <w:rPr>
          <w:rFonts w:ascii="Calibri" w:hAnsi="Calibri" w:cs="Calibri"/>
        </w:rPr>
        <w:t xml:space="preserve">enterprise risk and </w:t>
      </w:r>
      <w:r w:rsidR="00F50C08" w:rsidRPr="005203C8">
        <w:t>control</w:t>
      </w:r>
      <w:r w:rsidR="00F50C08" w:rsidRPr="00766A67">
        <w:rPr>
          <w:rFonts w:ascii="Calibri" w:hAnsi="Calibri" w:cs="Calibri"/>
        </w:rPr>
        <w:t xml:space="preserve"> effectiveness according to the NDIS Commission’s Risk Management Framework</w:t>
      </w:r>
      <w:r w:rsidR="00983BED" w:rsidRPr="00766A67">
        <w:rPr>
          <w:rFonts w:ascii="Calibri" w:hAnsi="Calibri" w:cs="Calibri"/>
        </w:rPr>
        <w:t xml:space="preserve"> that comprises:</w:t>
      </w:r>
      <w:r w:rsidR="00220B35" w:rsidRPr="00E10D45">
        <w:rPr>
          <w:rFonts w:ascii="Calibri" w:hAnsi="Calibri" w:cs="Calibri"/>
        </w:rPr>
        <w:t xml:space="preserve"> </w:t>
      </w:r>
    </w:p>
    <w:p w14:paraId="1D502B78" w14:textId="602A496E" w:rsidR="00F50C08" w:rsidRPr="00E10D45" w:rsidRDefault="00F50C08" w:rsidP="005203C8">
      <w:pPr>
        <w:pStyle w:val="Bullet1"/>
      </w:pPr>
      <w:r w:rsidRPr="00E10D45">
        <w:t xml:space="preserve">Embedded risk manage practices in our systems, reporting and processes </w:t>
      </w:r>
    </w:p>
    <w:p w14:paraId="27A068E5" w14:textId="77777777" w:rsidR="00F50C08" w:rsidRPr="00E10D45" w:rsidRDefault="00F50C08" w:rsidP="005203C8">
      <w:pPr>
        <w:pStyle w:val="Bullet1"/>
      </w:pPr>
      <w:r w:rsidRPr="00E10D45">
        <w:t>Risk owners are supported by dedicated risk officers</w:t>
      </w:r>
    </w:p>
    <w:p w14:paraId="4FE4EBE9" w14:textId="77777777" w:rsidR="00F50C08" w:rsidRPr="00E10D45" w:rsidRDefault="00F50C08" w:rsidP="005203C8">
      <w:pPr>
        <w:pStyle w:val="Bullet1"/>
        <w:spacing w:after="200"/>
      </w:pPr>
      <w:r w:rsidRPr="00E10D45">
        <w:t xml:space="preserve">Operational risk management practices across regulatory operations to manage safeguarding and compliance activities </w:t>
      </w:r>
    </w:p>
    <w:p w14:paraId="26DAFA8B" w14:textId="77777777" w:rsidR="00F50C08" w:rsidRPr="00E10D45" w:rsidRDefault="00F50C08" w:rsidP="005203C8">
      <w:pPr>
        <w:rPr>
          <w:rFonts w:ascii="Calibri" w:hAnsi="Calibri" w:cs="Calibri"/>
          <w:szCs w:val="22"/>
        </w:rPr>
      </w:pPr>
      <w:r w:rsidRPr="00E10D45">
        <w:rPr>
          <w:rFonts w:ascii="Calibri" w:hAnsi="Calibri" w:cs="Calibri"/>
          <w:szCs w:val="22"/>
        </w:rPr>
        <w:t xml:space="preserve">We are strengthening our safe guarding, compliance and regulatory operations activities, and have introduced teams to the business to support our Risk Framework. These teams are: </w:t>
      </w:r>
    </w:p>
    <w:p w14:paraId="39CA777F" w14:textId="77777777" w:rsidR="00F50C08" w:rsidRPr="00E10D45" w:rsidRDefault="00F50C08" w:rsidP="005203C8">
      <w:pPr>
        <w:pStyle w:val="Bullet1"/>
        <w:rPr>
          <w:szCs w:val="22"/>
        </w:rPr>
      </w:pPr>
      <w:r w:rsidRPr="00E10D45">
        <w:t>Incident Intake and Early Resolution (Complaints and Engagement)</w:t>
      </w:r>
    </w:p>
    <w:p w14:paraId="2757042D" w14:textId="77777777" w:rsidR="00F50C08" w:rsidRPr="00E10D45" w:rsidRDefault="00F50C08" w:rsidP="005203C8">
      <w:pPr>
        <w:pStyle w:val="Bullet1"/>
      </w:pPr>
      <w:r w:rsidRPr="00E10D45">
        <w:t>Fraud Fusion Task force (Regulatory Operations)</w:t>
      </w:r>
    </w:p>
    <w:p w14:paraId="5047FF4C" w14:textId="49CA1C25" w:rsidR="00F50C08" w:rsidRPr="00E10D45" w:rsidRDefault="00F50C08" w:rsidP="005203C8">
      <w:pPr>
        <w:pStyle w:val="Bullet1"/>
      </w:pPr>
      <w:r w:rsidRPr="00E10D45">
        <w:t>Risk</w:t>
      </w:r>
      <w:r w:rsidR="00220B35" w:rsidRPr="00E10D45">
        <w:t>-</w:t>
      </w:r>
      <w:r w:rsidRPr="00E10D45">
        <w:t>Intelligence and Delivery (Regulatory Operations)</w:t>
      </w:r>
    </w:p>
    <w:p w14:paraId="7519F55A" w14:textId="77777777" w:rsidR="00F50C08" w:rsidRPr="00E10D45" w:rsidRDefault="00F50C08" w:rsidP="005203C8">
      <w:pPr>
        <w:pStyle w:val="Bullet1"/>
      </w:pPr>
      <w:r w:rsidRPr="00E10D45">
        <w:t>Audit, Fraud and Risk (Corporate)</w:t>
      </w:r>
    </w:p>
    <w:p w14:paraId="7FE6695D" w14:textId="77777777" w:rsidR="00F50C08" w:rsidRPr="00E10D45" w:rsidRDefault="00F50C08" w:rsidP="005203C8">
      <w:pPr>
        <w:pStyle w:val="Bullet1"/>
        <w:spacing w:after="200"/>
      </w:pPr>
      <w:r w:rsidRPr="00E10D45">
        <w:t>Internal Integrity (Legal and Integrity)</w:t>
      </w:r>
    </w:p>
    <w:p w14:paraId="456515BD" w14:textId="6A89A4A3" w:rsidR="00F50C08" w:rsidRPr="005203C8" w:rsidRDefault="00983BED" w:rsidP="005203C8">
      <w:r w:rsidRPr="00766A67">
        <w:rPr>
          <w:rFonts w:ascii="Calibri" w:hAnsi="Calibri" w:cs="Calibri"/>
          <w:color w:val="auto"/>
          <w:szCs w:val="22"/>
        </w:rPr>
        <w:t xml:space="preserve">Our </w:t>
      </w:r>
      <w:r w:rsidRPr="005203C8">
        <w:t>external Audit and Risk Committee provides advice on the system of risk management.</w:t>
      </w:r>
    </w:p>
    <w:p w14:paraId="6154D875" w14:textId="4DF02C29" w:rsidR="00F50C08" w:rsidRPr="009B15A6" w:rsidRDefault="00F50C08" w:rsidP="005203C8">
      <w:pPr>
        <w:rPr>
          <w:rFonts w:ascii="Calibri" w:hAnsi="Calibri" w:cs="Calibri"/>
        </w:rPr>
      </w:pPr>
      <w:r w:rsidRPr="005203C8">
        <w:t>Consistent with our practice of identifying and managing key risks, the Executive Leadership Team has identified</w:t>
      </w:r>
      <w:r>
        <w:rPr>
          <w:rFonts w:ascii="Calibri" w:hAnsi="Calibri" w:cs="Calibri"/>
        </w:rPr>
        <w:t xml:space="preserve"> seven enterprise risk categories that have the potential to impact our achievement. </w:t>
      </w:r>
    </w:p>
    <w:tbl>
      <w:tblPr>
        <w:tblStyle w:val="ListTable4-Accent11"/>
        <w:tblpPr w:leftFromText="181" w:rightFromText="181" w:horzAnchor="margin" w:tblpYSpec="top"/>
        <w:tblW w:w="5000"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A0" w:firstRow="1" w:lastRow="0" w:firstColumn="1" w:lastColumn="0" w:noHBand="1" w:noVBand="1"/>
      </w:tblPr>
      <w:tblGrid>
        <w:gridCol w:w="1697"/>
        <w:gridCol w:w="2379"/>
        <w:gridCol w:w="4950"/>
      </w:tblGrid>
      <w:tr w:rsidR="00F50C08" w:rsidRPr="005203C8" w14:paraId="7AA452CC" w14:textId="77777777" w:rsidTr="00C04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Borders>
              <w:top w:val="none" w:sz="0" w:space="0" w:color="auto"/>
              <w:left w:val="none" w:sz="0" w:space="0" w:color="auto"/>
              <w:bottom w:val="none" w:sz="0" w:space="0" w:color="auto"/>
            </w:tcBorders>
            <w:hideMark/>
          </w:tcPr>
          <w:p w14:paraId="4DE82D57" w14:textId="77777777" w:rsidR="00F50C08" w:rsidRPr="005203C8" w:rsidRDefault="00F50C08" w:rsidP="005203C8">
            <w:r w:rsidRPr="005203C8">
              <w:lastRenderedPageBreak/>
              <w:t>Enterprise Risk</w:t>
            </w:r>
          </w:p>
        </w:tc>
        <w:tc>
          <w:tcPr>
            <w:tcW w:w="1318" w:type="pct"/>
            <w:tcBorders>
              <w:top w:val="none" w:sz="0" w:space="0" w:color="auto"/>
              <w:bottom w:val="none" w:sz="0" w:space="0" w:color="auto"/>
            </w:tcBorders>
            <w:hideMark/>
          </w:tcPr>
          <w:p w14:paraId="5F2036AC" w14:textId="77777777" w:rsidR="00F50C08" w:rsidRPr="005203C8" w:rsidRDefault="00F50C08" w:rsidP="005203C8">
            <w:pPr>
              <w:cnfStyle w:val="100000000000" w:firstRow="1" w:lastRow="0" w:firstColumn="0" w:lastColumn="0" w:oddVBand="0" w:evenVBand="0" w:oddHBand="0" w:evenHBand="0" w:firstRowFirstColumn="0" w:firstRowLastColumn="0" w:lastRowFirstColumn="0" w:lastRowLastColumn="0"/>
            </w:pPr>
            <w:r w:rsidRPr="005203C8">
              <w:t>Description</w:t>
            </w:r>
          </w:p>
        </w:tc>
        <w:tc>
          <w:tcPr>
            <w:tcW w:w="2742" w:type="pct"/>
            <w:tcBorders>
              <w:top w:val="none" w:sz="0" w:space="0" w:color="auto"/>
              <w:bottom w:val="none" w:sz="0" w:space="0" w:color="auto"/>
              <w:right w:val="none" w:sz="0" w:space="0" w:color="auto"/>
            </w:tcBorders>
            <w:hideMark/>
          </w:tcPr>
          <w:p w14:paraId="71DE5D0B" w14:textId="77777777" w:rsidR="00F50C08" w:rsidRPr="005203C8" w:rsidRDefault="00F50C08" w:rsidP="005203C8">
            <w:pPr>
              <w:cnfStyle w:val="100000000000" w:firstRow="1" w:lastRow="0" w:firstColumn="0" w:lastColumn="0" w:oddVBand="0" w:evenVBand="0" w:oddHBand="0" w:evenHBand="0" w:firstRowFirstColumn="0" w:firstRowLastColumn="0" w:lastRowFirstColumn="0" w:lastRowLastColumn="0"/>
            </w:pPr>
            <w:r w:rsidRPr="005203C8">
              <w:t>How we manage</w:t>
            </w:r>
          </w:p>
        </w:tc>
      </w:tr>
      <w:tr w:rsidR="00C0412B" w:rsidRPr="005203C8" w14:paraId="26CF4402" w14:textId="77777777" w:rsidTr="00C0412B">
        <w:tc>
          <w:tcPr>
            <w:cnfStyle w:val="001000000000" w:firstRow="0" w:lastRow="0" w:firstColumn="1" w:lastColumn="0" w:oddVBand="0" w:evenVBand="0" w:oddHBand="0" w:evenHBand="0" w:firstRowFirstColumn="0" w:firstRowLastColumn="0" w:lastRowFirstColumn="0" w:lastRowLastColumn="0"/>
            <w:tcW w:w="940" w:type="pct"/>
          </w:tcPr>
          <w:p w14:paraId="0D095A38" w14:textId="23E172EA" w:rsidR="00F50C08" w:rsidRPr="005203C8" w:rsidRDefault="00F50C08" w:rsidP="005203C8">
            <w:r w:rsidRPr="005203C8">
              <w:t>Participants</w:t>
            </w:r>
            <w:r w:rsidR="0090517D" w:rsidRPr="005203C8">
              <w:t>’</w:t>
            </w:r>
            <w:r w:rsidRPr="005203C8">
              <w:t xml:space="preserve"> </w:t>
            </w:r>
            <w:r w:rsidR="0090517D" w:rsidRPr="005203C8">
              <w:t>r</w:t>
            </w:r>
            <w:r w:rsidRPr="005203C8">
              <w:t>ights</w:t>
            </w:r>
          </w:p>
          <w:p w14:paraId="3AD6BE6E" w14:textId="77777777" w:rsidR="00F50C08" w:rsidRPr="005203C8" w:rsidRDefault="00F50C08" w:rsidP="005203C8"/>
        </w:tc>
        <w:tc>
          <w:tcPr>
            <w:tcW w:w="1318" w:type="pct"/>
            <w:hideMark/>
          </w:tcPr>
          <w:p w14:paraId="5B54629E"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that we do not provide adequate safeguards for participants, enable meaningful choice of services, or ensure the quality of services provided to participants.</w:t>
            </w:r>
          </w:p>
        </w:tc>
        <w:tc>
          <w:tcPr>
            <w:tcW w:w="2742" w:type="pct"/>
          </w:tcPr>
          <w:p w14:paraId="04D19DE3" w14:textId="321FE95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Our Strategic Plan affirms our commitment to people with disabilities through our ambition to be a contemporary, purpose -centred regulator keeping people with disability at the heart of what we do and every decision we make</w:t>
            </w:r>
            <w:r w:rsidR="0090517D" w:rsidRPr="005203C8">
              <w:t>.</w:t>
            </w:r>
          </w:p>
          <w:p w14:paraId="146F4AA5" w14:textId="7E1952D1"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The NDIS Commission works with people with disabilities, their families, and carers and advocates to empower them to speak up against abuse, neglect and harm. It also regulates and works with providers to improve their ability to support and uphold the rights of all participants through practice and guidance. </w:t>
            </w:r>
          </w:p>
          <w:p w14:paraId="6F8D9D0F" w14:textId="5BB294AB"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The Consultative Committee brings together people from the industry with diverse experience of and expertise in issues affecting people with disability who are committed to ensuring the safety and quality of NDIS supports and services. </w:t>
            </w:r>
          </w:p>
        </w:tc>
      </w:tr>
      <w:tr w:rsidR="00F50C08" w:rsidRPr="005203C8" w14:paraId="5D7228D1" w14:textId="77777777" w:rsidTr="00C0412B">
        <w:tc>
          <w:tcPr>
            <w:cnfStyle w:val="001000000000" w:firstRow="0" w:lastRow="0" w:firstColumn="1" w:lastColumn="0" w:oddVBand="0" w:evenVBand="0" w:oddHBand="0" w:evenHBand="0" w:firstRowFirstColumn="0" w:firstRowLastColumn="0" w:lastRowFirstColumn="0" w:lastRowLastColumn="0"/>
            <w:tcW w:w="940" w:type="pct"/>
            <w:hideMark/>
          </w:tcPr>
          <w:p w14:paraId="7870C86E" w14:textId="77777777" w:rsidR="00F50C08" w:rsidRPr="005203C8" w:rsidRDefault="00F50C08" w:rsidP="005203C8">
            <w:r w:rsidRPr="005203C8">
              <w:t>Providing a safe, capable, flexible and engaged workforce to meet operational requirements</w:t>
            </w:r>
          </w:p>
          <w:p w14:paraId="19C61DA6" w14:textId="3239D954" w:rsidR="00F50C08" w:rsidRPr="005203C8" w:rsidRDefault="00220B35" w:rsidP="005203C8">
            <w:r w:rsidRPr="005203C8">
              <w:t xml:space="preserve"> </w:t>
            </w:r>
          </w:p>
        </w:tc>
        <w:tc>
          <w:tcPr>
            <w:tcW w:w="1318" w:type="pct"/>
          </w:tcPr>
          <w:p w14:paraId="606C1C2E"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we will not be able to attract, recruit, and retain sufficient staff with required capabilities to deliver the NDIS Commission’s functions.</w:t>
            </w:r>
          </w:p>
          <w:p w14:paraId="4AFB7EC8" w14:textId="44005818"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we are not flexible in our structures</w:t>
            </w:r>
            <w:r w:rsidR="00F02BAA" w:rsidRPr="005203C8">
              <w:t>,</w:t>
            </w:r>
            <w:r w:rsidRPr="005203C8">
              <w:t xml:space="preserve"> policies</w:t>
            </w:r>
            <w:r w:rsidR="00F02BAA" w:rsidRPr="005203C8">
              <w:t>, and</w:t>
            </w:r>
            <w:r w:rsidR="00AF0991" w:rsidRPr="005203C8">
              <w:t xml:space="preserve"> </w:t>
            </w:r>
            <w:r w:rsidRPr="005203C8">
              <w:t>procedures to enable resources to be allocated where are needed.</w:t>
            </w:r>
          </w:p>
          <w:p w14:paraId="60258B07"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we do not provide sufficient and effective supports to ensure the wellbeing of our staff.</w:t>
            </w:r>
          </w:p>
        </w:tc>
        <w:tc>
          <w:tcPr>
            <w:tcW w:w="2742" w:type="pct"/>
          </w:tcPr>
          <w:p w14:paraId="1B5362E9" w14:textId="5C4073D9"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Our Workforce Plan prioritises areas of growth, performance, capability, wellbeing, inclusion and diversity, identifying opportunities to respond to our emerging needs, so that the organisation is </w:t>
            </w:r>
            <w:r w:rsidR="00365C83" w:rsidRPr="005203C8">
              <w:t>well positioned</w:t>
            </w:r>
            <w:r w:rsidRPr="005203C8">
              <w:t xml:space="preserve"> to manage our deliverables and supporting future workforce decision making. </w:t>
            </w:r>
          </w:p>
          <w:p w14:paraId="3332DA6E"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Commitment to our Learning and Development Program, Policy and procedure review processes, responding to people surveys, embedding Change Facilitators, future state consultation processes and on boarding activities to support the scale up of our workforce and current structure improvement processes. </w:t>
            </w:r>
          </w:p>
          <w:p w14:paraId="2FB8BE88"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are committed to providing a safe, healthy, inclusive and diverse workplace for all employees, visitors and contractors that is free from physical and psychological harm. The Work Health and Safety Committee supports our leaders in creating, maintaining and improving a working environment in which the health safety and well-being of our people is prioritised. </w:t>
            </w:r>
          </w:p>
        </w:tc>
      </w:tr>
      <w:tr w:rsidR="00C0412B" w:rsidRPr="005203C8" w14:paraId="480AAFCF" w14:textId="77777777" w:rsidTr="00C0412B">
        <w:tc>
          <w:tcPr>
            <w:cnfStyle w:val="001000000000" w:firstRow="0" w:lastRow="0" w:firstColumn="1" w:lastColumn="0" w:oddVBand="0" w:evenVBand="0" w:oddHBand="0" w:evenHBand="0" w:firstRowFirstColumn="0" w:firstRowLastColumn="0" w:lastRowFirstColumn="0" w:lastRowLastColumn="0"/>
            <w:tcW w:w="940" w:type="pct"/>
          </w:tcPr>
          <w:p w14:paraId="742097CD" w14:textId="0D2313AF" w:rsidR="00F50C08" w:rsidRPr="005203C8" w:rsidRDefault="00F50C08" w:rsidP="005203C8">
            <w:r w:rsidRPr="005203C8">
              <w:lastRenderedPageBreak/>
              <w:t>Operational and delivery partners</w:t>
            </w:r>
          </w:p>
        </w:tc>
        <w:tc>
          <w:tcPr>
            <w:tcW w:w="1318" w:type="pct"/>
            <w:hideMark/>
          </w:tcPr>
          <w:p w14:paraId="216C89B6"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that we do not engage with, or work collaboratively with, other organisations to individually and jointly deliver outcomes for people with disability.</w:t>
            </w:r>
          </w:p>
        </w:tc>
        <w:tc>
          <w:tcPr>
            <w:tcW w:w="2742" w:type="pct"/>
          </w:tcPr>
          <w:p w14:paraId="5BEBD6DE" w14:textId="13132834"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actively seek diverse views and the </w:t>
            </w:r>
            <w:r w:rsidR="0076271C" w:rsidRPr="005203C8">
              <w:t xml:space="preserve">NDIS </w:t>
            </w:r>
            <w:r w:rsidRPr="005203C8">
              <w:t>Commission engages operationally with key stakeholders including Commonwealth and State</w:t>
            </w:r>
            <w:r w:rsidR="00F02BAA" w:rsidRPr="005203C8">
              <w:t xml:space="preserve"> and Territory</w:t>
            </w:r>
            <w:r w:rsidRPr="005203C8">
              <w:t xml:space="preserve"> </w:t>
            </w:r>
            <w:r w:rsidR="00F02BAA" w:rsidRPr="005203C8">
              <w:t>a</w:t>
            </w:r>
            <w:r w:rsidRPr="005203C8">
              <w:t xml:space="preserve">gencies, First Nations </w:t>
            </w:r>
            <w:r w:rsidR="00F02BAA" w:rsidRPr="005203C8">
              <w:t xml:space="preserve">peoples </w:t>
            </w:r>
            <w:r w:rsidRPr="005203C8">
              <w:t xml:space="preserve">and industry stakeholders to deliver on our priorities. </w:t>
            </w:r>
          </w:p>
          <w:p w14:paraId="328C3644" w14:textId="47892495"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continue to build and maintain mutual trust with participants across the sector and community through improved engagement and co-design for practice improvement. </w:t>
            </w:r>
          </w:p>
        </w:tc>
      </w:tr>
      <w:tr w:rsidR="00F50C08" w:rsidRPr="005203C8" w14:paraId="6CB2D8EE" w14:textId="77777777" w:rsidTr="00C0412B">
        <w:trPr>
          <w:trHeight w:val="4031"/>
        </w:trPr>
        <w:tc>
          <w:tcPr>
            <w:cnfStyle w:val="001000000000" w:firstRow="0" w:lastRow="0" w:firstColumn="1" w:lastColumn="0" w:oddVBand="0" w:evenVBand="0" w:oddHBand="0" w:evenHBand="0" w:firstRowFirstColumn="0" w:firstRowLastColumn="0" w:lastRowFirstColumn="0" w:lastRowLastColumn="0"/>
            <w:tcW w:w="940" w:type="pct"/>
          </w:tcPr>
          <w:p w14:paraId="0404A069" w14:textId="408B50C2" w:rsidR="00F50C08" w:rsidRPr="005203C8" w:rsidRDefault="00F50C08" w:rsidP="005203C8">
            <w:r w:rsidRPr="005203C8">
              <w:t xml:space="preserve">Regulatory </w:t>
            </w:r>
            <w:r w:rsidR="00F02BAA" w:rsidRPr="005203C8">
              <w:t>A</w:t>
            </w:r>
            <w:r w:rsidRPr="005203C8">
              <w:t xml:space="preserve">pproach </w:t>
            </w:r>
          </w:p>
        </w:tc>
        <w:tc>
          <w:tcPr>
            <w:tcW w:w="1318" w:type="pct"/>
          </w:tcPr>
          <w:p w14:paraId="408A81FC"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that our regulatory approach does not enable effective safeguarding of participants’ rights, ensure quality services are available to participants, or provide a nationally consistent approach in delivering or regulatory functions.</w:t>
            </w:r>
          </w:p>
          <w:p w14:paraId="2B396B9D"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that how we approach our regulatory role does not enable and build thriving and diverse markets and providers, ensuring participants have meaningful and informed choices in the services and providers they engage.</w:t>
            </w:r>
          </w:p>
        </w:tc>
        <w:tc>
          <w:tcPr>
            <w:tcW w:w="2742" w:type="pct"/>
          </w:tcPr>
          <w:p w14:paraId="54E23CCD" w14:textId="5532073B" w:rsidR="00F50C08" w:rsidRPr="005203C8" w:rsidRDefault="00E10D45" w:rsidP="005203C8">
            <w:pPr>
              <w:cnfStyle w:val="000000000000" w:firstRow="0" w:lastRow="0" w:firstColumn="0" w:lastColumn="0" w:oddVBand="0" w:evenVBand="0" w:oddHBand="0" w:evenHBand="0" w:firstRowFirstColumn="0" w:firstRowLastColumn="0" w:lastRowFirstColumn="0" w:lastRowLastColumn="0"/>
            </w:pPr>
            <w:r w:rsidRPr="005203C8">
              <w:t xml:space="preserve">The </w:t>
            </w:r>
            <w:r w:rsidR="00F50C08" w:rsidRPr="005203C8">
              <w:t>NDIS Commission’s strategy and operating model reflects contemporary regulatory approaches to drive the delivery of our core functions and statutory obligations through a range of regulatory levers and tools.</w:t>
            </w:r>
          </w:p>
          <w:p w14:paraId="637A1E3B" w14:textId="70D57AA1" w:rsidR="00F50C08" w:rsidRPr="005203C8" w:rsidRDefault="00983BED" w:rsidP="005203C8">
            <w:pPr>
              <w:cnfStyle w:val="000000000000" w:firstRow="0" w:lastRow="0" w:firstColumn="0" w:lastColumn="0" w:oddVBand="0" w:evenVBand="0" w:oddHBand="0" w:evenHBand="0" w:firstRowFirstColumn="0" w:firstRowLastColumn="0" w:lastRowFirstColumn="0" w:lastRowLastColumn="0"/>
            </w:pPr>
            <w:r w:rsidRPr="005203C8">
              <w:t xml:space="preserve">The </w:t>
            </w:r>
            <w:r w:rsidR="00F50C08" w:rsidRPr="005203C8">
              <w:t>operating model will deliver on a nationally consistent practice, sector engagements and support for participants to make informed choices and market awareness.</w:t>
            </w:r>
          </w:p>
          <w:p w14:paraId="50FB1671"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adopt a positive risk culture and make balanced and informed decisions to embed new and innovative ways of implementing policy and projects using participant focussed and evidenced based data and information. </w:t>
            </w:r>
          </w:p>
          <w:p w14:paraId="42DE7ECA"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develop documentation to inform participants and providers, hold engagement events, provide advice and education resources such as obligation requirements, practice guides, and worker screening to support improved markets. </w:t>
            </w:r>
          </w:p>
        </w:tc>
      </w:tr>
      <w:tr w:rsidR="00C0412B" w:rsidRPr="005203C8" w14:paraId="2D721FA0" w14:textId="77777777" w:rsidTr="00C0412B">
        <w:tc>
          <w:tcPr>
            <w:cnfStyle w:val="001000000000" w:firstRow="0" w:lastRow="0" w:firstColumn="1" w:lastColumn="0" w:oddVBand="0" w:evenVBand="0" w:oddHBand="0" w:evenHBand="0" w:firstRowFirstColumn="0" w:firstRowLastColumn="0" w:lastRowFirstColumn="0" w:lastRowLastColumn="0"/>
            <w:tcW w:w="940" w:type="pct"/>
          </w:tcPr>
          <w:p w14:paraId="3EF0C5B6" w14:textId="15B6D900" w:rsidR="00F50C08" w:rsidRPr="005203C8" w:rsidRDefault="00F50C08" w:rsidP="005203C8">
            <w:r w:rsidRPr="005203C8">
              <w:t xml:space="preserve">Data and systems </w:t>
            </w:r>
          </w:p>
        </w:tc>
        <w:tc>
          <w:tcPr>
            <w:tcW w:w="1318" w:type="pct"/>
          </w:tcPr>
          <w:p w14:paraId="35DD9C34"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There is a risk we do not effectively organise, analyse, and use data to make informed, risk-based decisions. </w:t>
            </w:r>
          </w:p>
          <w:p w14:paraId="319B5082" w14:textId="40829E56"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There is a risk that our systems do not enable the collection, utilisation and protection of information. </w:t>
            </w:r>
          </w:p>
        </w:tc>
        <w:tc>
          <w:tcPr>
            <w:tcW w:w="2742" w:type="pct"/>
          </w:tcPr>
          <w:p w14:paraId="2E6C4EBD"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As data is central to risk-based and intelligence-led regulation, we ensure it is optimised to prioritise and inform risk based decisions. </w:t>
            </w:r>
          </w:p>
          <w:p w14:paraId="2E4530CE" w14:textId="5632CE9A"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Information technology, communication and cyber</w:t>
            </w:r>
            <w:r w:rsidR="00220B35" w:rsidRPr="005203C8">
              <w:t xml:space="preserve"> </w:t>
            </w:r>
            <w:r w:rsidRPr="005203C8">
              <w:t>security policies and procedures are adhered to in accordance with the Protective Security Policy Framework</w:t>
            </w:r>
            <w:r w:rsidR="00F02BAA" w:rsidRPr="005203C8">
              <w:t>.</w:t>
            </w:r>
            <w:r w:rsidRPr="005203C8">
              <w:t xml:space="preserve"> </w:t>
            </w:r>
          </w:p>
          <w:p w14:paraId="2EE1F49E" w14:textId="734D43C3" w:rsidR="00CF2D61"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Through continuous improvement, we are enhancing our technological capabilities to ensure our business is fit for purpose to deliver improved outcomes for participants.</w:t>
            </w:r>
          </w:p>
        </w:tc>
      </w:tr>
      <w:tr w:rsidR="00F50C08" w:rsidRPr="005203C8" w14:paraId="1FDAF60D" w14:textId="77777777" w:rsidTr="00C0412B">
        <w:tc>
          <w:tcPr>
            <w:cnfStyle w:val="001000000000" w:firstRow="0" w:lastRow="0" w:firstColumn="1" w:lastColumn="0" w:oddVBand="0" w:evenVBand="0" w:oddHBand="0" w:evenHBand="0" w:firstRowFirstColumn="0" w:firstRowLastColumn="0" w:lastRowFirstColumn="0" w:lastRowLastColumn="0"/>
            <w:tcW w:w="940" w:type="pct"/>
          </w:tcPr>
          <w:p w14:paraId="7D456BB6" w14:textId="22AF7FDC" w:rsidR="00F50C08" w:rsidRPr="005203C8" w:rsidRDefault="00F50C08" w:rsidP="005203C8">
            <w:r w:rsidRPr="005203C8">
              <w:lastRenderedPageBreak/>
              <w:t>Changes in our role or Government’s priorities</w:t>
            </w:r>
          </w:p>
        </w:tc>
        <w:tc>
          <w:tcPr>
            <w:tcW w:w="1318" w:type="pct"/>
            <w:hideMark/>
          </w:tcPr>
          <w:p w14:paraId="6B422C5C"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dependent on the outcomes of reviews, government may make changes that directly affect the scope, role, and functions of the NDIS Commission.</w:t>
            </w:r>
          </w:p>
        </w:tc>
        <w:tc>
          <w:tcPr>
            <w:tcW w:w="2742" w:type="pct"/>
          </w:tcPr>
          <w:p w14:paraId="64ACC061"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are responsive to recommendations from the Royal Commission into Violence, Abuse, Neglect and Exploitation of People with Disability and the NDIS Review. </w:t>
            </w:r>
          </w:p>
          <w:p w14:paraId="5A84C306" w14:textId="2DB34F74"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proactively keep abreast with potential changes to Government priorities and ensure business models, plans and resources are adaptable and flexible to respond to learnings which will be considered in future control development in line with our corporate goal of continuous improve. </w:t>
            </w:r>
          </w:p>
          <w:p w14:paraId="0C3672B3"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We review our policies and frameworks to ensure currency and effectiveness.</w:t>
            </w:r>
          </w:p>
        </w:tc>
      </w:tr>
      <w:tr w:rsidR="00C0412B" w:rsidRPr="005203C8" w14:paraId="07AC3697" w14:textId="77777777" w:rsidTr="00C0412B">
        <w:tc>
          <w:tcPr>
            <w:cnfStyle w:val="001000000000" w:firstRow="0" w:lastRow="0" w:firstColumn="1" w:lastColumn="0" w:oddVBand="0" w:evenVBand="0" w:oddHBand="0" w:evenHBand="0" w:firstRowFirstColumn="0" w:firstRowLastColumn="0" w:lastRowFirstColumn="0" w:lastRowLastColumn="0"/>
            <w:tcW w:w="940" w:type="pct"/>
          </w:tcPr>
          <w:p w14:paraId="51E43B11" w14:textId="41C8F0DD" w:rsidR="00F50C08" w:rsidRPr="005203C8" w:rsidRDefault="00F50C08" w:rsidP="005203C8">
            <w:r w:rsidRPr="005203C8">
              <w:t>Implementation of additional resources</w:t>
            </w:r>
          </w:p>
        </w:tc>
        <w:tc>
          <w:tcPr>
            <w:tcW w:w="1318" w:type="pct"/>
            <w:hideMark/>
          </w:tcPr>
          <w:p w14:paraId="3BBAE520" w14:textId="77777777"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There is a risk that we do not efficiently and effectively manage this increased resource allocation or management the implementation of funded activities to meet government’s priorities and expectations.</w:t>
            </w:r>
          </w:p>
        </w:tc>
        <w:tc>
          <w:tcPr>
            <w:tcW w:w="2742" w:type="pct"/>
          </w:tcPr>
          <w:p w14:paraId="0BF4D053" w14:textId="762D95A9"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We align resources to inflows in regulation requirements in response to trends and emerging issues whilst meeting our compliance work plan. </w:t>
            </w:r>
          </w:p>
          <w:p w14:paraId="7EA1E045" w14:textId="73599AE9"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 xml:space="preserve">Implementation of our Operating Model and Workforce Plan responds </w:t>
            </w:r>
            <w:r w:rsidR="00E10D45" w:rsidRPr="005203C8">
              <w:t xml:space="preserve">to </w:t>
            </w:r>
            <w:r w:rsidRPr="005203C8">
              <w:t>and meets emerging priorities. Increased training in Regulatory Operation builds capability to respond to varied and emerging risks.</w:t>
            </w:r>
          </w:p>
          <w:p w14:paraId="785C4ABD" w14:textId="6C649EF4" w:rsidR="00F50C08" w:rsidRPr="005203C8" w:rsidRDefault="00F50C08" w:rsidP="005203C8">
            <w:pPr>
              <w:cnfStyle w:val="000000000000" w:firstRow="0" w:lastRow="0" w:firstColumn="0" w:lastColumn="0" w:oddVBand="0" w:evenVBand="0" w:oddHBand="0" w:evenHBand="0" w:firstRowFirstColumn="0" w:firstRowLastColumn="0" w:lastRowFirstColumn="0" w:lastRowLastColumn="0"/>
            </w:pPr>
            <w:r w:rsidRPr="005203C8">
              <w:t>We manage finances in line with budgets at all levels, and have accountability for public money</w:t>
            </w:r>
            <w:r w:rsidR="00F02BAA" w:rsidRPr="005203C8">
              <w:t>.</w:t>
            </w:r>
          </w:p>
        </w:tc>
      </w:tr>
    </w:tbl>
    <w:p w14:paraId="756AC7CB" w14:textId="77777777" w:rsidR="005C15E8" w:rsidRDefault="005C15E8" w:rsidP="005C15E8">
      <w:pPr>
        <w:pStyle w:val="Heading1"/>
      </w:pPr>
      <w:bookmarkStart w:id="77" w:name="_Performance"/>
      <w:bookmarkStart w:id="78" w:name="_Toc144222453"/>
      <w:bookmarkStart w:id="79" w:name="_Toc144287958"/>
      <w:bookmarkEnd w:id="32"/>
      <w:bookmarkEnd w:id="33"/>
      <w:bookmarkEnd w:id="77"/>
      <w:r>
        <w:br w:type="page"/>
      </w:r>
    </w:p>
    <w:p w14:paraId="302C19F6" w14:textId="56D2F0C0" w:rsidR="0008322F" w:rsidRPr="005C15E8" w:rsidRDefault="00054491" w:rsidP="005C15E8">
      <w:pPr>
        <w:pStyle w:val="Heading1"/>
      </w:pPr>
      <w:bookmarkStart w:id="80" w:name="_Performance_1"/>
      <w:bookmarkStart w:id="81" w:name="_Toc144302611"/>
      <w:bookmarkEnd w:id="80"/>
      <w:r w:rsidRPr="005C15E8">
        <w:lastRenderedPageBreak/>
        <w:t>P</w:t>
      </w:r>
      <w:r w:rsidR="00B82CB6" w:rsidRPr="005C15E8">
        <w:t>erformance</w:t>
      </w:r>
      <w:bookmarkEnd w:id="78"/>
      <w:bookmarkEnd w:id="79"/>
      <w:bookmarkEnd w:id="81"/>
      <w:r w:rsidR="009D7ACE" w:rsidRPr="005C15E8">
        <w:t xml:space="preserve"> </w:t>
      </w:r>
    </w:p>
    <w:p w14:paraId="442AC5C4" w14:textId="228FB196" w:rsidR="00073337" w:rsidRDefault="00F61D29" w:rsidP="00073337">
      <w:pPr>
        <w:suppressAutoHyphens w:val="0"/>
        <w:spacing w:before="120" w:after="120" w:line="240" w:lineRule="auto"/>
      </w:pPr>
      <w:r w:rsidRPr="00F61D29">
        <w:t xml:space="preserve">In </w:t>
      </w:r>
      <w:r w:rsidR="00365C83" w:rsidRPr="00F61D29">
        <w:t>2022-23,</w:t>
      </w:r>
      <w:r>
        <w:t xml:space="preserve"> the</w:t>
      </w:r>
      <w:r w:rsidR="00485292">
        <w:t xml:space="preserve"> NDIS </w:t>
      </w:r>
      <w:r w:rsidR="00055C90">
        <w:t>Commission took a</w:t>
      </w:r>
      <w:r>
        <w:t xml:space="preserve"> first</w:t>
      </w:r>
      <w:r w:rsidR="00485292">
        <w:t xml:space="preserve"> step in evolving</w:t>
      </w:r>
      <w:r w:rsidRPr="00F61D29">
        <w:t xml:space="preserve"> our performance reporting to include more specific measures that were a blend of qualitative and quantitative insights.</w:t>
      </w:r>
      <w:r>
        <w:t xml:space="preserve"> </w:t>
      </w:r>
      <w:r w:rsidRPr="00F61D29">
        <w:t xml:space="preserve">These measures were aligned with our five-year Strategic </w:t>
      </w:r>
      <w:r w:rsidR="00485292">
        <w:t>Plan,</w:t>
      </w:r>
      <w:r w:rsidRPr="00F61D29">
        <w:t xml:space="preserve"> the </w:t>
      </w:r>
      <w:r w:rsidR="00485292">
        <w:t>three i</w:t>
      </w:r>
      <w:r w:rsidRPr="00F61D29">
        <w:t xml:space="preserve">mpact </w:t>
      </w:r>
      <w:r w:rsidR="00485292">
        <w:t>a</w:t>
      </w:r>
      <w:r w:rsidRPr="00F61D29">
        <w:t>reas</w:t>
      </w:r>
      <w:r w:rsidR="00055C90">
        <w:t xml:space="preserve"> and speak</w:t>
      </w:r>
      <w:r>
        <w:t xml:space="preserve"> to the outcomes we aim to achieve.</w:t>
      </w:r>
      <w:r w:rsidR="00220B35">
        <w:t xml:space="preserve"> </w:t>
      </w:r>
      <w:r w:rsidR="00073337">
        <w:t xml:space="preserve">Over the last </w:t>
      </w:r>
      <w:r w:rsidR="00485292">
        <w:t>year,</w:t>
      </w:r>
      <w:r w:rsidR="00073337">
        <w:t xml:space="preserve"> we have worked to e</w:t>
      </w:r>
      <w:r w:rsidR="00055C90">
        <w:t>stablish baseline data that would</w:t>
      </w:r>
      <w:r w:rsidR="00073337">
        <w:t>, over time, create longitudinal datasets reflective our achievements and continuous improvement efforts.</w:t>
      </w:r>
    </w:p>
    <w:p w14:paraId="7FDBF05B" w14:textId="4A7A5A0D" w:rsidR="00073337" w:rsidRDefault="00073337" w:rsidP="00073337">
      <w:pPr>
        <w:suppressAutoHyphens w:val="0"/>
        <w:spacing w:before="120" w:after="120" w:line="240" w:lineRule="auto"/>
      </w:pPr>
      <w:r>
        <w:t xml:space="preserve">Our </w:t>
      </w:r>
      <w:r w:rsidR="00055C90">
        <w:t>D</w:t>
      </w:r>
      <w:r>
        <w:t>ata and Insight team have worked with division data custodians to define the data definitions and methodologies to support reporting against the performance measures</w:t>
      </w:r>
      <w:r w:rsidR="00DA6002">
        <w:t xml:space="preserve"> (PM)</w:t>
      </w:r>
      <w:r>
        <w:t>.</w:t>
      </w:r>
      <w:r w:rsidR="00220B35">
        <w:t xml:space="preserve"> </w:t>
      </w:r>
      <w:r>
        <w:t>This work has highlighted th</w:t>
      </w:r>
      <w:r w:rsidR="00E6696C">
        <w:t xml:space="preserve">at we need to continue to develop </w:t>
      </w:r>
      <w:r>
        <w:t>our data holdings</w:t>
      </w:r>
      <w:r w:rsidR="00485292">
        <w:t xml:space="preserve">. </w:t>
      </w:r>
      <w:r>
        <w:t xml:space="preserve">The provision of data for </w:t>
      </w:r>
      <w:r w:rsidR="001E2642">
        <w:t>some performance</w:t>
      </w:r>
      <w:r>
        <w:t xml:space="preserve"> measure</w:t>
      </w:r>
      <w:r w:rsidR="00D60184">
        <w:t>s</w:t>
      </w:r>
      <w:r>
        <w:t xml:space="preserve"> is not possible at this </w:t>
      </w:r>
      <w:r w:rsidR="00055C90">
        <w:t xml:space="preserve">point in the NDIS Commission’s </w:t>
      </w:r>
      <w:r w:rsidR="001E2642">
        <w:t>data maturity</w:t>
      </w:r>
      <w:r>
        <w:t xml:space="preserve"> and is </w:t>
      </w:r>
      <w:r w:rsidR="00485292">
        <w:t>reliant on</w:t>
      </w:r>
      <w:r>
        <w:t xml:space="preserve"> having the necessary</w:t>
      </w:r>
      <w:r w:rsidR="00485292">
        <w:t xml:space="preserve"> data platforms</w:t>
      </w:r>
      <w:r w:rsidR="00055C90">
        <w:t xml:space="preserve"> </w:t>
      </w:r>
      <w:r w:rsidR="00D60184">
        <w:t xml:space="preserve">via improving our internal ICT capability </w:t>
      </w:r>
      <w:r w:rsidR="00485292">
        <w:t xml:space="preserve">This has resulted in a contraction of the number of performance measures in this plan and </w:t>
      </w:r>
      <w:r w:rsidR="00055C90">
        <w:t>reframing</w:t>
      </w:r>
      <w:r w:rsidR="00485292">
        <w:t xml:space="preserve"> to achieve the 2022</w:t>
      </w:r>
      <w:r w:rsidR="00DA6002">
        <w:t>-</w:t>
      </w:r>
      <w:r w:rsidR="00485292">
        <w:t xml:space="preserve">23 baseline target over the </w:t>
      </w:r>
      <w:r w:rsidR="00055C90">
        <w:t>four-year</w:t>
      </w:r>
      <w:r w:rsidR="00485292">
        <w:t xml:space="preserve"> period rather than to incremental increases year on year.</w:t>
      </w:r>
    </w:p>
    <w:p w14:paraId="4EA58192" w14:textId="1073A3F6" w:rsidR="00054491" w:rsidRDefault="00485292" w:rsidP="00054491">
      <w:r>
        <w:t>Additionally at</w:t>
      </w:r>
      <w:r w:rsidR="00054491" w:rsidRPr="00054491">
        <w:t xml:space="preserve"> the time of publication, the NDIS Commission is undertaking a project to review its performance information to better reflect the </w:t>
      </w:r>
      <w:r w:rsidR="00055C90">
        <w:t>function of the NDIS Commission</w:t>
      </w:r>
      <w:r w:rsidR="00054491" w:rsidRPr="00054491">
        <w:t xml:space="preserve"> (new regulatory operating model, uplift and recommendations </w:t>
      </w:r>
      <w:r w:rsidR="00383468">
        <w:t>that will shortly be handed down by</w:t>
      </w:r>
      <w:r w:rsidR="00383468" w:rsidRPr="00054491">
        <w:t xml:space="preserve"> </w:t>
      </w:r>
      <w:r w:rsidR="00054491" w:rsidRPr="00054491">
        <w:t>the NDIS Review and Disability Royal Commission)</w:t>
      </w:r>
      <w:r w:rsidR="00054491">
        <w:t>,</w:t>
      </w:r>
      <w:r w:rsidR="00054491" w:rsidRPr="00054491">
        <w:t xml:space="preserve"> </w:t>
      </w:r>
      <w:r w:rsidR="00054491">
        <w:t xml:space="preserve">guided by the requirements of section 16EA of the </w:t>
      </w:r>
      <w:r w:rsidR="000156D3">
        <w:t>PGPA Rule</w:t>
      </w:r>
      <w:r w:rsidR="00054491">
        <w:t>.</w:t>
      </w:r>
    </w:p>
    <w:p w14:paraId="11474E08" w14:textId="19DD4176" w:rsidR="00054491" w:rsidRDefault="00054491" w:rsidP="00054491">
      <w:r>
        <w:t>This</w:t>
      </w:r>
      <w:r w:rsidRPr="00054491">
        <w:t xml:space="preserve"> will inform potential change</w:t>
      </w:r>
      <w:r>
        <w:t xml:space="preserve"> to</w:t>
      </w:r>
      <w:r w:rsidRPr="00054491">
        <w:t xml:space="preserve"> the performance measures for the 2024-25 planning documents (Portfolio Budget Statements, Corporate Plan and Annual Performance Statements).</w:t>
      </w:r>
      <w:r>
        <w:t xml:space="preserve"> </w:t>
      </w:r>
      <w:r w:rsidRPr="005D5898">
        <w:t>This will complement existing improvements made in this 2023–24 Corporate Plan.</w:t>
      </w:r>
    </w:p>
    <w:p w14:paraId="39225131" w14:textId="4BB5A420" w:rsidR="00485292" w:rsidRPr="00E47366" w:rsidRDefault="00485292" w:rsidP="00485292">
      <w:pPr>
        <w:pStyle w:val="Heading2"/>
        <w:rPr>
          <w:color w:val="275D3A"/>
        </w:rPr>
      </w:pPr>
      <w:bookmarkStart w:id="82" w:name="_Toc112642120"/>
      <w:bookmarkStart w:id="83" w:name="_Toc144287959"/>
      <w:bookmarkStart w:id="84" w:name="_Toc144302612"/>
      <w:r w:rsidRPr="00E47366">
        <w:rPr>
          <w:color w:val="275D3A"/>
        </w:rPr>
        <w:t xml:space="preserve">The rights of </w:t>
      </w:r>
      <w:r w:rsidRPr="004024A5">
        <w:rPr>
          <w:color w:val="275D3A"/>
        </w:rPr>
        <w:t>people</w:t>
      </w:r>
      <w:r w:rsidRPr="00E47366">
        <w:rPr>
          <w:color w:val="275D3A"/>
        </w:rPr>
        <w:t xml:space="preserve"> with disability</w:t>
      </w:r>
      <w:bookmarkEnd w:id="82"/>
      <w:bookmarkEnd w:id="83"/>
      <w:bookmarkEnd w:id="84"/>
    </w:p>
    <w:p w14:paraId="74919891" w14:textId="77777777" w:rsidR="00485292" w:rsidRDefault="00485292" w:rsidP="00C0412B">
      <w:pPr>
        <w:suppressAutoHyphens w:val="0"/>
        <w:spacing w:before="120" w:after="0" w:line="240" w:lineRule="auto"/>
      </w:pPr>
      <w:r>
        <w:t>The NDIS Commission amplifies and promotes the rights of people with disability by creating and enabling access to and delivery of quality services and supports.</w:t>
      </w:r>
    </w:p>
    <w:p w14:paraId="1096F5BB" w14:textId="5543A5E3" w:rsidR="00485292" w:rsidRPr="004024A5" w:rsidRDefault="00485292" w:rsidP="00C0412B">
      <w:pPr>
        <w:pStyle w:val="Heading3"/>
        <w:spacing w:before="240"/>
        <w:rPr>
          <w:color w:val="275D3A"/>
        </w:rPr>
      </w:pPr>
      <w:bookmarkStart w:id="85" w:name="_Toc112642121"/>
      <w:r w:rsidRPr="004024A5">
        <w:rPr>
          <w:color w:val="275D3A"/>
        </w:rPr>
        <w:t>PM 1.1: People with disability know their rights and trust us to support them and their carers and advocates to make complaints, and report violence, abuse, neglect and risk of harm</w:t>
      </w:r>
      <w:bookmarkEnd w:id="85"/>
      <w:r w:rsidR="00DF14A8" w:rsidRPr="004024A5">
        <w:rPr>
          <w:color w:val="275D3A"/>
        </w:rPr>
        <w:t xml:space="preserve"> </w:t>
      </w:r>
    </w:p>
    <w:tbl>
      <w:tblPr>
        <w:tblStyle w:val="ListTable4-Accent11"/>
        <w:tblW w:w="5000" w:type="pct"/>
        <w:tblInd w:w="0" w:type="dxa"/>
        <w:tblBorders>
          <w:top w:val="none" w:sz="0" w:space="0" w:color="auto"/>
          <w:left w:val="none" w:sz="0" w:space="0" w:color="auto"/>
          <w:bottom w:val="none" w:sz="0" w:space="0" w:color="auto"/>
          <w:right w:val="none" w:sz="0" w:space="0" w:color="auto"/>
          <w:insideH w:val="none" w:sz="0" w:space="0" w:color="auto"/>
        </w:tblBorders>
        <w:tblLook w:val="0620" w:firstRow="1" w:lastRow="0" w:firstColumn="0" w:lastColumn="0" w:noHBand="1" w:noVBand="1"/>
      </w:tblPr>
      <w:tblGrid>
        <w:gridCol w:w="1075"/>
        <w:gridCol w:w="3155"/>
        <w:gridCol w:w="1199"/>
        <w:gridCol w:w="1199"/>
        <w:gridCol w:w="1199"/>
        <w:gridCol w:w="1199"/>
      </w:tblGrid>
      <w:tr w:rsidR="004024A5" w:rsidRPr="004024A5" w14:paraId="784758FE" w14:textId="77777777" w:rsidTr="005C15E8">
        <w:trPr>
          <w:cnfStyle w:val="100000000000" w:firstRow="1" w:lastRow="0" w:firstColumn="0" w:lastColumn="0" w:oddVBand="0" w:evenVBand="0" w:oddHBand="0" w:evenHBand="0" w:firstRowFirstColumn="0" w:firstRowLastColumn="0" w:lastRowFirstColumn="0" w:lastRowLastColumn="0"/>
          <w:trHeight w:val="645"/>
        </w:trPr>
        <w:tc>
          <w:tcPr>
            <w:tcW w:w="596" w:type="pct"/>
            <w:tcBorders>
              <w:top w:val="none" w:sz="0" w:space="0" w:color="auto"/>
              <w:left w:val="none" w:sz="0" w:space="0" w:color="auto"/>
              <w:bottom w:val="none" w:sz="0" w:space="0" w:color="auto"/>
            </w:tcBorders>
            <w:shd w:val="clear" w:color="auto" w:fill="275D3A"/>
          </w:tcPr>
          <w:p w14:paraId="72E1FF55" w14:textId="0125E55C" w:rsidR="00B9250D" w:rsidRPr="004024A5" w:rsidRDefault="00B9250D" w:rsidP="005C15E8">
            <w:pPr>
              <w:spacing w:before="120" w:after="120"/>
            </w:pPr>
            <w:r w:rsidRPr="004024A5">
              <w:t xml:space="preserve">PBS </w:t>
            </w:r>
            <w:r w:rsidR="00E72703" w:rsidRPr="004024A5">
              <w:t>Program</w:t>
            </w:r>
          </w:p>
        </w:tc>
        <w:tc>
          <w:tcPr>
            <w:tcW w:w="1748" w:type="pct"/>
            <w:tcBorders>
              <w:top w:val="none" w:sz="0" w:space="0" w:color="auto"/>
              <w:bottom w:val="none" w:sz="0" w:space="0" w:color="auto"/>
            </w:tcBorders>
            <w:shd w:val="clear" w:color="auto" w:fill="275D3A"/>
          </w:tcPr>
          <w:p w14:paraId="0A5DAE93" w14:textId="1D242AD9" w:rsidR="00B9250D" w:rsidRPr="004024A5" w:rsidRDefault="00B9250D" w:rsidP="005C15E8">
            <w:pPr>
              <w:spacing w:before="120" w:after="120"/>
            </w:pPr>
            <w:r w:rsidRPr="004024A5">
              <w:t xml:space="preserve">Targets </w:t>
            </w:r>
          </w:p>
        </w:tc>
        <w:tc>
          <w:tcPr>
            <w:tcW w:w="664" w:type="pct"/>
            <w:tcBorders>
              <w:top w:val="none" w:sz="0" w:space="0" w:color="auto"/>
              <w:bottom w:val="none" w:sz="0" w:space="0" w:color="auto"/>
            </w:tcBorders>
            <w:shd w:val="clear" w:color="auto" w:fill="275D3A"/>
          </w:tcPr>
          <w:p w14:paraId="46FEF440" w14:textId="77777777" w:rsidR="00B9250D" w:rsidRPr="004024A5" w:rsidRDefault="00B9250D" w:rsidP="005C15E8">
            <w:pPr>
              <w:spacing w:before="120" w:after="120"/>
            </w:pPr>
            <w:r w:rsidRPr="004024A5">
              <w:t>2023–24</w:t>
            </w:r>
          </w:p>
        </w:tc>
        <w:tc>
          <w:tcPr>
            <w:tcW w:w="664" w:type="pct"/>
            <w:tcBorders>
              <w:top w:val="none" w:sz="0" w:space="0" w:color="auto"/>
              <w:bottom w:val="none" w:sz="0" w:space="0" w:color="auto"/>
            </w:tcBorders>
            <w:shd w:val="clear" w:color="auto" w:fill="275D3A"/>
          </w:tcPr>
          <w:p w14:paraId="3DED1397" w14:textId="77777777" w:rsidR="00B9250D" w:rsidRPr="004024A5" w:rsidRDefault="00B9250D" w:rsidP="005C15E8">
            <w:pPr>
              <w:spacing w:before="120" w:after="120"/>
            </w:pPr>
            <w:r w:rsidRPr="004024A5">
              <w:t>2024–25</w:t>
            </w:r>
          </w:p>
        </w:tc>
        <w:tc>
          <w:tcPr>
            <w:tcW w:w="664" w:type="pct"/>
            <w:tcBorders>
              <w:top w:val="none" w:sz="0" w:space="0" w:color="auto"/>
              <w:bottom w:val="none" w:sz="0" w:space="0" w:color="auto"/>
            </w:tcBorders>
            <w:shd w:val="clear" w:color="auto" w:fill="275D3A"/>
          </w:tcPr>
          <w:p w14:paraId="4B15679D" w14:textId="77777777" w:rsidR="00B9250D" w:rsidRPr="004024A5" w:rsidRDefault="00B9250D" w:rsidP="005C15E8">
            <w:pPr>
              <w:spacing w:before="120" w:after="120"/>
            </w:pPr>
            <w:r w:rsidRPr="004024A5">
              <w:t>2025–26</w:t>
            </w:r>
          </w:p>
        </w:tc>
        <w:tc>
          <w:tcPr>
            <w:tcW w:w="664" w:type="pct"/>
            <w:tcBorders>
              <w:top w:val="none" w:sz="0" w:space="0" w:color="auto"/>
              <w:bottom w:val="none" w:sz="0" w:space="0" w:color="auto"/>
              <w:right w:val="none" w:sz="0" w:space="0" w:color="auto"/>
            </w:tcBorders>
            <w:shd w:val="clear" w:color="auto" w:fill="275D3A"/>
          </w:tcPr>
          <w:p w14:paraId="0F34D11F" w14:textId="77777777" w:rsidR="00B9250D" w:rsidRPr="004024A5" w:rsidRDefault="00B9250D" w:rsidP="005C15E8">
            <w:pPr>
              <w:spacing w:before="120" w:after="120"/>
            </w:pPr>
            <w:r w:rsidRPr="004024A5">
              <w:t>2026–27</w:t>
            </w:r>
          </w:p>
        </w:tc>
      </w:tr>
      <w:tr w:rsidR="00CC19C2" w:rsidRPr="004024A5" w14:paraId="411926C4" w14:textId="77777777" w:rsidTr="005C15E8">
        <w:trPr>
          <w:trHeight w:val="673"/>
        </w:trPr>
        <w:tc>
          <w:tcPr>
            <w:tcW w:w="596" w:type="pct"/>
            <w:tcBorders>
              <w:bottom w:val="single" w:sz="4" w:space="0" w:color="275D3A"/>
            </w:tcBorders>
          </w:tcPr>
          <w:p w14:paraId="11180F61" w14:textId="5E702D41" w:rsidR="00B9250D" w:rsidRPr="004024A5" w:rsidRDefault="00B9250D" w:rsidP="005C15E8">
            <w:pPr>
              <w:spacing w:before="120" w:after="120"/>
            </w:pPr>
            <w:r w:rsidRPr="004024A5">
              <w:t>1.2</w:t>
            </w:r>
          </w:p>
        </w:tc>
        <w:tc>
          <w:tcPr>
            <w:tcW w:w="1748" w:type="pct"/>
            <w:tcBorders>
              <w:bottom w:val="single" w:sz="4" w:space="0" w:color="275D3A"/>
            </w:tcBorders>
          </w:tcPr>
          <w:p w14:paraId="642DF418" w14:textId="630D5238" w:rsidR="00B9250D" w:rsidRPr="004024A5" w:rsidRDefault="00B9250D" w:rsidP="005C15E8">
            <w:pPr>
              <w:spacing w:before="120" w:after="120"/>
            </w:pPr>
            <w:r w:rsidRPr="004024A5">
              <w:t>80% of respondents said they trust the NDIS Commission</w:t>
            </w:r>
          </w:p>
        </w:tc>
        <w:tc>
          <w:tcPr>
            <w:tcW w:w="664" w:type="pct"/>
            <w:tcBorders>
              <w:bottom w:val="single" w:sz="4" w:space="0" w:color="275D3A"/>
            </w:tcBorders>
          </w:tcPr>
          <w:p w14:paraId="51FA253E" w14:textId="0C66BE52" w:rsidR="00B9250D" w:rsidRPr="004024A5" w:rsidRDefault="00B9250D" w:rsidP="005C15E8">
            <w:pPr>
              <w:spacing w:before="120" w:after="120"/>
            </w:pPr>
            <w:r w:rsidRPr="004024A5">
              <w:t xml:space="preserve">80% </w:t>
            </w:r>
          </w:p>
        </w:tc>
        <w:tc>
          <w:tcPr>
            <w:tcW w:w="664" w:type="pct"/>
            <w:tcBorders>
              <w:bottom w:val="single" w:sz="4" w:space="0" w:color="275D3A"/>
            </w:tcBorders>
          </w:tcPr>
          <w:p w14:paraId="0473A447" w14:textId="07F57428" w:rsidR="00B9250D" w:rsidRPr="004024A5" w:rsidRDefault="00B9250D" w:rsidP="005C15E8">
            <w:pPr>
              <w:spacing w:before="120" w:after="120"/>
            </w:pPr>
            <w:r w:rsidRPr="004024A5">
              <w:t xml:space="preserve">80% </w:t>
            </w:r>
          </w:p>
        </w:tc>
        <w:tc>
          <w:tcPr>
            <w:tcW w:w="664" w:type="pct"/>
            <w:tcBorders>
              <w:bottom w:val="single" w:sz="4" w:space="0" w:color="275D3A"/>
            </w:tcBorders>
          </w:tcPr>
          <w:p w14:paraId="6371E8B8" w14:textId="4DDEFA80" w:rsidR="00B9250D" w:rsidRPr="004024A5" w:rsidRDefault="00B9250D" w:rsidP="005C15E8">
            <w:pPr>
              <w:spacing w:before="120" w:after="120"/>
            </w:pPr>
            <w:r w:rsidRPr="004024A5">
              <w:t xml:space="preserve">80% </w:t>
            </w:r>
          </w:p>
        </w:tc>
        <w:tc>
          <w:tcPr>
            <w:tcW w:w="664" w:type="pct"/>
            <w:tcBorders>
              <w:bottom w:val="single" w:sz="4" w:space="0" w:color="275D3A"/>
            </w:tcBorders>
          </w:tcPr>
          <w:p w14:paraId="23F9CC23" w14:textId="42DB21CC" w:rsidR="00B9250D" w:rsidRPr="004024A5" w:rsidRDefault="00B9250D" w:rsidP="005C15E8">
            <w:pPr>
              <w:spacing w:before="120" w:after="120"/>
            </w:pPr>
            <w:r w:rsidRPr="004024A5">
              <w:t xml:space="preserve">80% </w:t>
            </w:r>
          </w:p>
        </w:tc>
      </w:tr>
      <w:tr w:rsidR="00B9250D" w:rsidRPr="004024A5" w14:paraId="22C6AB7D" w14:textId="77777777" w:rsidTr="00C0412B">
        <w:trPr>
          <w:trHeight w:val="576"/>
        </w:trPr>
        <w:tc>
          <w:tcPr>
            <w:tcW w:w="596" w:type="pct"/>
            <w:tcBorders>
              <w:top w:val="single" w:sz="4" w:space="0" w:color="275D3A"/>
              <w:bottom w:val="single" w:sz="4" w:space="0" w:color="275D3A"/>
            </w:tcBorders>
          </w:tcPr>
          <w:p w14:paraId="60366247" w14:textId="1F8E4363" w:rsidR="00B9250D" w:rsidRPr="004024A5" w:rsidRDefault="00B9250D" w:rsidP="005C15E8">
            <w:pPr>
              <w:spacing w:before="120" w:after="120"/>
            </w:pPr>
            <w:r w:rsidRPr="004024A5">
              <w:t>1.2</w:t>
            </w:r>
          </w:p>
        </w:tc>
        <w:tc>
          <w:tcPr>
            <w:tcW w:w="1748" w:type="pct"/>
            <w:tcBorders>
              <w:top w:val="single" w:sz="4" w:space="0" w:color="275D3A"/>
              <w:bottom w:val="single" w:sz="4" w:space="0" w:color="275D3A"/>
            </w:tcBorders>
          </w:tcPr>
          <w:p w14:paraId="1095DC93" w14:textId="1A24A880" w:rsidR="00B9250D" w:rsidRPr="004024A5" w:rsidRDefault="00B9250D" w:rsidP="005C15E8">
            <w:pPr>
              <w:spacing w:before="120" w:after="120"/>
            </w:pPr>
            <w:r w:rsidRPr="004024A5">
              <w:t>70% of complaints resolved in 90 days</w:t>
            </w:r>
          </w:p>
        </w:tc>
        <w:tc>
          <w:tcPr>
            <w:tcW w:w="664" w:type="pct"/>
            <w:tcBorders>
              <w:top w:val="single" w:sz="4" w:space="0" w:color="275D3A"/>
              <w:bottom w:val="single" w:sz="4" w:space="0" w:color="275D3A"/>
            </w:tcBorders>
          </w:tcPr>
          <w:p w14:paraId="603BB9D5" w14:textId="69F18857" w:rsidR="00B9250D" w:rsidRPr="004024A5" w:rsidRDefault="00B9250D" w:rsidP="005C15E8">
            <w:pPr>
              <w:spacing w:before="120" w:after="120"/>
            </w:pPr>
            <w:r w:rsidRPr="004024A5">
              <w:t>70%</w:t>
            </w:r>
          </w:p>
        </w:tc>
        <w:tc>
          <w:tcPr>
            <w:tcW w:w="664" w:type="pct"/>
            <w:tcBorders>
              <w:top w:val="single" w:sz="4" w:space="0" w:color="275D3A"/>
              <w:bottom w:val="single" w:sz="4" w:space="0" w:color="275D3A"/>
            </w:tcBorders>
          </w:tcPr>
          <w:p w14:paraId="6E5516B0" w14:textId="558C7AB7" w:rsidR="00B9250D" w:rsidRPr="004024A5" w:rsidRDefault="00B9250D" w:rsidP="005C15E8">
            <w:pPr>
              <w:spacing w:before="120" w:after="120"/>
            </w:pPr>
            <w:r w:rsidRPr="004024A5">
              <w:t>70%</w:t>
            </w:r>
          </w:p>
        </w:tc>
        <w:tc>
          <w:tcPr>
            <w:tcW w:w="664" w:type="pct"/>
            <w:tcBorders>
              <w:top w:val="single" w:sz="4" w:space="0" w:color="275D3A"/>
              <w:bottom w:val="single" w:sz="4" w:space="0" w:color="275D3A"/>
            </w:tcBorders>
          </w:tcPr>
          <w:p w14:paraId="515456DF" w14:textId="49D75CB0" w:rsidR="00B9250D" w:rsidRPr="004024A5" w:rsidRDefault="00B9250D" w:rsidP="005C15E8">
            <w:pPr>
              <w:spacing w:before="120" w:after="120"/>
            </w:pPr>
            <w:r w:rsidRPr="004024A5">
              <w:t>70%</w:t>
            </w:r>
          </w:p>
        </w:tc>
        <w:tc>
          <w:tcPr>
            <w:tcW w:w="664" w:type="pct"/>
            <w:tcBorders>
              <w:top w:val="single" w:sz="4" w:space="0" w:color="275D3A"/>
              <w:bottom w:val="single" w:sz="4" w:space="0" w:color="275D3A"/>
            </w:tcBorders>
          </w:tcPr>
          <w:p w14:paraId="2B958972" w14:textId="531A95E6" w:rsidR="00B9250D" w:rsidRPr="004024A5" w:rsidRDefault="00B9250D" w:rsidP="005C15E8">
            <w:pPr>
              <w:spacing w:before="120" w:after="120"/>
            </w:pPr>
            <w:r w:rsidRPr="004024A5">
              <w:t>70%</w:t>
            </w:r>
          </w:p>
        </w:tc>
      </w:tr>
      <w:tr w:rsidR="00CC19C2" w:rsidRPr="004024A5" w14:paraId="34F8A086" w14:textId="77777777" w:rsidTr="005C15E8">
        <w:trPr>
          <w:trHeight w:val="557"/>
        </w:trPr>
        <w:tc>
          <w:tcPr>
            <w:tcW w:w="596" w:type="pct"/>
            <w:tcBorders>
              <w:top w:val="single" w:sz="4" w:space="0" w:color="275D3A"/>
              <w:bottom w:val="single" w:sz="4" w:space="0" w:color="275D3A"/>
            </w:tcBorders>
          </w:tcPr>
          <w:p w14:paraId="41EEA97E" w14:textId="5469C963" w:rsidR="00B9250D" w:rsidRPr="004024A5" w:rsidRDefault="00B9250D" w:rsidP="005C15E8">
            <w:pPr>
              <w:spacing w:before="120" w:after="120"/>
            </w:pPr>
            <w:r w:rsidRPr="004024A5">
              <w:t>1.2</w:t>
            </w:r>
          </w:p>
        </w:tc>
        <w:tc>
          <w:tcPr>
            <w:tcW w:w="1748" w:type="pct"/>
            <w:tcBorders>
              <w:top w:val="single" w:sz="4" w:space="0" w:color="275D3A"/>
              <w:bottom w:val="single" w:sz="4" w:space="0" w:color="275D3A"/>
            </w:tcBorders>
          </w:tcPr>
          <w:p w14:paraId="3AADA26B" w14:textId="21652FFC" w:rsidR="00B9250D" w:rsidRPr="004024A5" w:rsidRDefault="00B9250D" w:rsidP="005C15E8">
            <w:pPr>
              <w:spacing w:before="120" w:after="120"/>
            </w:pPr>
            <w:r w:rsidRPr="004024A5">
              <w:t>Qualitative analysis of NDIS Commission communication and education campaigns promoting consumer independence and the rights of people with disability</w:t>
            </w:r>
          </w:p>
        </w:tc>
        <w:tc>
          <w:tcPr>
            <w:tcW w:w="664" w:type="pct"/>
            <w:tcBorders>
              <w:top w:val="single" w:sz="4" w:space="0" w:color="275D3A"/>
              <w:bottom w:val="single" w:sz="4" w:space="0" w:color="275D3A"/>
            </w:tcBorders>
          </w:tcPr>
          <w:p w14:paraId="323CABB4" w14:textId="77777777" w:rsidR="00B9250D" w:rsidRPr="004024A5" w:rsidRDefault="00B9250D" w:rsidP="005C15E8">
            <w:pPr>
              <w:spacing w:before="120" w:after="120"/>
            </w:pPr>
            <w:r w:rsidRPr="004024A5">
              <w:t>Qualitative analysis</w:t>
            </w:r>
          </w:p>
        </w:tc>
        <w:tc>
          <w:tcPr>
            <w:tcW w:w="664" w:type="pct"/>
            <w:tcBorders>
              <w:top w:val="single" w:sz="4" w:space="0" w:color="275D3A"/>
              <w:bottom w:val="single" w:sz="4" w:space="0" w:color="275D3A"/>
            </w:tcBorders>
          </w:tcPr>
          <w:p w14:paraId="5C93E125" w14:textId="77777777" w:rsidR="00B9250D" w:rsidRPr="004024A5" w:rsidRDefault="00B9250D" w:rsidP="005C15E8">
            <w:pPr>
              <w:spacing w:before="120" w:after="120"/>
            </w:pPr>
            <w:r w:rsidRPr="004024A5">
              <w:t>Qualitative analysis</w:t>
            </w:r>
          </w:p>
        </w:tc>
        <w:tc>
          <w:tcPr>
            <w:tcW w:w="664" w:type="pct"/>
            <w:tcBorders>
              <w:top w:val="single" w:sz="4" w:space="0" w:color="275D3A"/>
              <w:bottom w:val="single" w:sz="4" w:space="0" w:color="275D3A"/>
            </w:tcBorders>
          </w:tcPr>
          <w:p w14:paraId="30313098" w14:textId="77777777" w:rsidR="00B9250D" w:rsidRPr="004024A5" w:rsidRDefault="00B9250D" w:rsidP="005C15E8">
            <w:pPr>
              <w:spacing w:before="120" w:after="120"/>
            </w:pPr>
            <w:r w:rsidRPr="004024A5">
              <w:t>Qualitative analysis</w:t>
            </w:r>
          </w:p>
        </w:tc>
        <w:tc>
          <w:tcPr>
            <w:tcW w:w="664" w:type="pct"/>
            <w:tcBorders>
              <w:top w:val="single" w:sz="4" w:space="0" w:color="275D3A"/>
              <w:bottom w:val="single" w:sz="4" w:space="0" w:color="275D3A"/>
            </w:tcBorders>
          </w:tcPr>
          <w:p w14:paraId="6A21FD20" w14:textId="77777777" w:rsidR="00B9250D" w:rsidRPr="004024A5" w:rsidRDefault="00B9250D" w:rsidP="005C15E8">
            <w:pPr>
              <w:spacing w:before="120" w:after="120"/>
            </w:pPr>
            <w:r w:rsidRPr="004024A5">
              <w:t>Qualitative analysis</w:t>
            </w:r>
          </w:p>
        </w:tc>
      </w:tr>
    </w:tbl>
    <w:p w14:paraId="4132FDBC" w14:textId="0366D72B" w:rsidR="00485292" w:rsidRPr="004024A5" w:rsidRDefault="00485292" w:rsidP="00C0412B">
      <w:pPr>
        <w:pStyle w:val="Heading3"/>
        <w:spacing w:before="240"/>
        <w:rPr>
          <w:color w:val="275D3A"/>
        </w:rPr>
      </w:pPr>
      <w:bookmarkStart w:id="86" w:name="_Toc112642122"/>
      <w:r w:rsidRPr="004024A5">
        <w:rPr>
          <w:color w:val="275D3A"/>
        </w:rPr>
        <w:lastRenderedPageBreak/>
        <w:t>PM 1.2: The use of restrictive practices is reduced or eliminated through increased quality of behaviour support plans, and NDIS Commission programs contribute to increased lodgement of behaviour support plans and a reduction in unauthorised restrictive practices (URPs)</w:t>
      </w:r>
      <w:bookmarkEnd w:id="86"/>
    </w:p>
    <w:tbl>
      <w:tblPr>
        <w:tblStyle w:val="ListTable4-Accent11"/>
        <w:tblW w:w="5000" w:type="pct"/>
        <w:tblInd w:w="0" w:type="dxa"/>
        <w:tblBorders>
          <w:top w:val="none" w:sz="0" w:space="0" w:color="auto"/>
          <w:left w:val="none" w:sz="0" w:space="0" w:color="auto"/>
          <w:bottom w:val="single" w:sz="4" w:space="0" w:color="275D3A"/>
          <w:right w:val="none" w:sz="0" w:space="0" w:color="auto"/>
          <w:insideH w:val="single" w:sz="4" w:space="0" w:color="275D3A"/>
        </w:tblBorders>
        <w:tblLook w:val="0620" w:firstRow="1" w:lastRow="0" w:firstColumn="0" w:lastColumn="0" w:noHBand="1" w:noVBand="1"/>
      </w:tblPr>
      <w:tblGrid>
        <w:gridCol w:w="1165"/>
        <w:gridCol w:w="3089"/>
        <w:gridCol w:w="1193"/>
        <w:gridCol w:w="1193"/>
        <w:gridCol w:w="1193"/>
        <w:gridCol w:w="1193"/>
      </w:tblGrid>
      <w:tr w:rsidR="004024A5" w:rsidRPr="004024A5" w14:paraId="5A8C60A2" w14:textId="77777777" w:rsidTr="00C0412B">
        <w:trPr>
          <w:cnfStyle w:val="100000000000" w:firstRow="1" w:lastRow="0" w:firstColumn="0" w:lastColumn="0" w:oddVBand="0" w:evenVBand="0" w:oddHBand="0" w:evenHBand="0" w:firstRowFirstColumn="0" w:firstRowLastColumn="0" w:lastRowFirstColumn="0" w:lastRowLastColumn="0"/>
          <w:trHeight w:val="516"/>
        </w:trPr>
        <w:tc>
          <w:tcPr>
            <w:tcW w:w="645" w:type="pct"/>
            <w:tcBorders>
              <w:top w:val="none" w:sz="0" w:space="0" w:color="auto"/>
              <w:left w:val="none" w:sz="0" w:space="0" w:color="auto"/>
              <w:bottom w:val="none" w:sz="0" w:space="0" w:color="auto"/>
            </w:tcBorders>
            <w:shd w:val="clear" w:color="auto" w:fill="275D3A"/>
          </w:tcPr>
          <w:p w14:paraId="00CD4F3B" w14:textId="4A4CA4E7" w:rsidR="00B9250D" w:rsidRPr="004024A5" w:rsidRDefault="00B9250D" w:rsidP="005C15E8">
            <w:pPr>
              <w:spacing w:before="120" w:after="120"/>
            </w:pPr>
            <w:r w:rsidRPr="004024A5">
              <w:t xml:space="preserve">PBS </w:t>
            </w:r>
            <w:r w:rsidR="00E72703" w:rsidRPr="004024A5">
              <w:t>Program</w:t>
            </w:r>
          </w:p>
        </w:tc>
        <w:tc>
          <w:tcPr>
            <w:tcW w:w="1711" w:type="pct"/>
            <w:tcBorders>
              <w:top w:val="none" w:sz="0" w:space="0" w:color="auto"/>
              <w:bottom w:val="none" w:sz="0" w:space="0" w:color="auto"/>
            </w:tcBorders>
            <w:shd w:val="clear" w:color="auto" w:fill="275D3A"/>
          </w:tcPr>
          <w:p w14:paraId="5C3CF2F5" w14:textId="04D75EB7" w:rsidR="00B9250D" w:rsidRPr="004024A5" w:rsidRDefault="00B9250D" w:rsidP="005C15E8">
            <w:pPr>
              <w:spacing w:before="120" w:after="120"/>
            </w:pPr>
            <w:r w:rsidRPr="004024A5">
              <w:t xml:space="preserve">Targets </w:t>
            </w:r>
          </w:p>
        </w:tc>
        <w:tc>
          <w:tcPr>
            <w:tcW w:w="661" w:type="pct"/>
            <w:tcBorders>
              <w:top w:val="none" w:sz="0" w:space="0" w:color="auto"/>
              <w:bottom w:val="none" w:sz="0" w:space="0" w:color="auto"/>
            </w:tcBorders>
            <w:shd w:val="clear" w:color="auto" w:fill="275D3A"/>
          </w:tcPr>
          <w:p w14:paraId="29417CCB" w14:textId="77777777" w:rsidR="00B9250D" w:rsidRPr="004024A5" w:rsidRDefault="00B9250D" w:rsidP="005C15E8">
            <w:pPr>
              <w:spacing w:before="120" w:after="120"/>
            </w:pPr>
            <w:r w:rsidRPr="004024A5">
              <w:t>2023–24</w:t>
            </w:r>
          </w:p>
        </w:tc>
        <w:tc>
          <w:tcPr>
            <w:tcW w:w="661" w:type="pct"/>
            <w:tcBorders>
              <w:top w:val="none" w:sz="0" w:space="0" w:color="auto"/>
              <w:bottom w:val="none" w:sz="0" w:space="0" w:color="auto"/>
            </w:tcBorders>
            <w:shd w:val="clear" w:color="auto" w:fill="275D3A"/>
          </w:tcPr>
          <w:p w14:paraId="505D3EC7" w14:textId="77777777" w:rsidR="00B9250D" w:rsidRPr="004024A5" w:rsidRDefault="00B9250D" w:rsidP="005C15E8">
            <w:pPr>
              <w:spacing w:before="120" w:after="120"/>
            </w:pPr>
            <w:r w:rsidRPr="004024A5">
              <w:t>2024–25</w:t>
            </w:r>
          </w:p>
        </w:tc>
        <w:tc>
          <w:tcPr>
            <w:tcW w:w="661" w:type="pct"/>
            <w:tcBorders>
              <w:top w:val="none" w:sz="0" w:space="0" w:color="auto"/>
              <w:bottom w:val="none" w:sz="0" w:space="0" w:color="auto"/>
            </w:tcBorders>
            <w:shd w:val="clear" w:color="auto" w:fill="275D3A"/>
          </w:tcPr>
          <w:p w14:paraId="243E39A0" w14:textId="77777777" w:rsidR="00B9250D" w:rsidRPr="004024A5" w:rsidRDefault="00B9250D" w:rsidP="005C15E8">
            <w:pPr>
              <w:spacing w:before="120" w:after="120"/>
            </w:pPr>
            <w:r w:rsidRPr="004024A5">
              <w:t>2025–26</w:t>
            </w:r>
          </w:p>
        </w:tc>
        <w:tc>
          <w:tcPr>
            <w:tcW w:w="661" w:type="pct"/>
            <w:tcBorders>
              <w:top w:val="none" w:sz="0" w:space="0" w:color="auto"/>
              <w:bottom w:val="none" w:sz="0" w:space="0" w:color="auto"/>
              <w:right w:val="none" w:sz="0" w:space="0" w:color="auto"/>
            </w:tcBorders>
            <w:shd w:val="clear" w:color="auto" w:fill="275D3A"/>
          </w:tcPr>
          <w:p w14:paraId="02358718" w14:textId="77777777" w:rsidR="00B9250D" w:rsidRPr="004024A5" w:rsidRDefault="00B9250D" w:rsidP="005C15E8">
            <w:pPr>
              <w:spacing w:before="120" w:after="120"/>
            </w:pPr>
            <w:r w:rsidRPr="004024A5">
              <w:t>2026–27</w:t>
            </w:r>
          </w:p>
        </w:tc>
      </w:tr>
      <w:tr w:rsidR="00C0412B" w:rsidRPr="004024A5" w14:paraId="367305DF" w14:textId="77777777" w:rsidTr="00C0412B">
        <w:trPr>
          <w:trHeight w:val="856"/>
        </w:trPr>
        <w:tc>
          <w:tcPr>
            <w:tcW w:w="645" w:type="pct"/>
          </w:tcPr>
          <w:p w14:paraId="4921CF89" w14:textId="5E81B978" w:rsidR="00B9250D" w:rsidRPr="004024A5" w:rsidRDefault="00B9250D" w:rsidP="005C15E8">
            <w:pPr>
              <w:spacing w:before="120" w:after="120"/>
            </w:pPr>
            <w:r w:rsidRPr="004024A5">
              <w:t>1.2</w:t>
            </w:r>
          </w:p>
        </w:tc>
        <w:tc>
          <w:tcPr>
            <w:tcW w:w="1711" w:type="pct"/>
          </w:tcPr>
          <w:p w14:paraId="40040A4B" w14:textId="77777777" w:rsidR="00470E23" w:rsidRPr="004024A5" w:rsidRDefault="00B9250D" w:rsidP="005C15E8">
            <w:pPr>
              <w:spacing w:before="120" w:after="120"/>
            </w:pPr>
            <w:r w:rsidRPr="004024A5">
              <w:t>Baseline data</w:t>
            </w:r>
            <w:r w:rsidR="00DA6002" w:rsidRPr="00CC19C2">
              <w:rPr>
                <w:vertAlign w:val="superscript"/>
              </w:rPr>
              <w:footnoteReference w:id="1"/>
            </w:r>
            <w:r w:rsidRPr="004024A5">
              <w:t xml:space="preserve"> -</w:t>
            </w:r>
            <w:r w:rsidR="00470E23" w:rsidRPr="004024A5">
              <w:t xml:space="preserve"> </w:t>
            </w:r>
          </w:p>
          <w:p w14:paraId="56641A8B" w14:textId="1FD81756" w:rsidR="00B9250D" w:rsidRPr="004024A5" w:rsidRDefault="00B9250D" w:rsidP="005C15E8">
            <w:pPr>
              <w:spacing w:before="120" w:after="120"/>
            </w:pPr>
            <w:r w:rsidRPr="004024A5">
              <w:t>Increase in lodgement of BSPs, and quality of BSPs</w:t>
            </w:r>
          </w:p>
        </w:tc>
        <w:tc>
          <w:tcPr>
            <w:tcW w:w="661" w:type="pct"/>
          </w:tcPr>
          <w:p w14:paraId="595B225B" w14:textId="5434034C" w:rsidR="00B9250D" w:rsidRPr="004024A5" w:rsidRDefault="000E71A5" w:rsidP="005C15E8">
            <w:pPr>
              <w:spacing w:before="120" w:after="120"/>
            </w:pPr>
            <w:r w:rsidRPr="004024A5">
              <w:t>&gt; baseline data</w:t>
            </w:r>
          </w:p>
        </w:tc>
        <w:tc>
          <w:tcPr>
            <w:tcW w:w="661" w:type="pct"/>
          </w:tcPr>
          <w:p w14:paraId="1841F16D" w14:textId="4B105C92" w:rsidR="00B9250D" w:rsidRPr="004024A5" w:rsidRDefault="000E71A5" w:rsidP="005C15E8">
            <w:pPr>
              <w:spacing w:before="120" w:after="120"/>
            </w:pPr>
            <w:r w:rsidRPr="004024A5">
              <w:t>&gt; baseline data</w:t>
            </w:r>
          </w:p>
        </w:tc>
        <w:tc>
          <w:tcPr>
            <w:tcW w:w="661" w:type="pct"/>
          </w:tcPr>
          <w:p w14:paraId="34D79972" w14:textId="260A2BDA" w:rsidR="00B9250D" w:rsidRPr="004024A5" w:rsidRDefault="000E71A5" w:rsidP="005C15E8">
            <w:pPr>
              <w:spacing w:before="120" w:after="120"/>
            </w:pPr>
            <w:r w:rsidRPr="004024A5">
              <w:t>&gt; baseline data</w:t>
            </w:r>
          </w:p>
        </w:tc>
        <w:tc>
          <w:tcPr>
            <w:tcW w:w="661" w:type="pct"/>
          </w:tcPr>
          <w:p w14:paraId="4E2682C1" w14:textId="5D5D8087" w:rsidR="00B9250D" w:rsidRPr="004024A5" w:rsidRDefault="000E71A5" w:rsidP="005C15E8">
            <w:pPr>
              <w:spacing w:before="120" w:after="120"/>
            </w:pPr>
            <w:r w:rsidRPr="004024A5">
              <w:t>&gt; baseline data</w:t>
            </w:r>
          </w:p>
        </w:tc>
      </w:tr>
    </w:tbl>
    <w:p w14:paraId="1C16DC8F" w14:textId="190EA22D" w:rsidR="00485292" w:rsidRPr="00CC19C2" w:rsidRDefault="00485292" w:rsidP="00CC19C2">
      <w:pPr>
        <w:pStyle w:val="Heading3"/>
        <w:rPr>
          <w:color w:val="275D3A"/>
        </w:rPr>
      </w:pPr>
      <w:bookmarkStart w:id="87" w:name="_Toc112642123"/>
      <w:r w:rsidRPr="00CC19C2">
        <w:rPr>
          <w:color w:val="275D3A"/>
        </w:rPr>
        <w:t>PM 1.3: Providers and workers have an increased understanding of what quality and safety means to NDIS participants, and understand the rights of people with disability as consumers</w:t>
      </w:r>
      <w:bookmarkEnd w:id="87"/>
      <w:r w:rsidR="00DF14A8" w:rsidRPr="00CC19C2">
        <w:rPr>
          <w:color w:val="275D3A"/>
        </w:rPr>
        <w:t xml:space="preserve"> </w:t>
      </w:r>
    </w:p>
    <w:tbl>
      <w:tblPr>
        <w:tblStyle w:val="ListTable4-Accent11"/>
        <w:tblW w:w="5000" w:type="pct"/>
        <w:tblInd w:w="0" w:type="dxa"/>
        <w:tblBorders>
          <w:top w:val="none" w:sz="0" w:space="0" w:color="auto"/>
          <w:left w:val="none" w:sz="0" w:space="0" w:color="auto"/>
          <w:bottom w:val="single" w:sz="4" w:space="0" w:color="275D3A"/>
          <w:right w:val="none" w:sz="0" w:space="0" w:color="auto"/>
          <w:insideH w:val="single" w:sz="4" w:space="0" w:color="275D3A"/>
        </w:tblBorders>
        <w:tblLook w:val="0620" w:firstRow="1" w:lastRow="0" w:firstColumn="0" w:lastColumn="0" w:noHBand="1" w:noVBand="1"/>
      </w:tblPr>
      <w:tblGrid>
        <w:gridCol w:w="1140"/>
        <w:gridCol w:w="3030"/>
        <w:gridCol w:w="1217"/>
        <w:gridCol w:w="1213"/>
        <w:gridCol w:w="1213"/>
        <w:gridCol w:w="1213"/>
      </w:tblGrid>
      <w:tr w:rsidR="00CC19C2" w:rsidRPr="00CC19C2" w14:paraId="1BA28E3F" w14:textId="77777777" w:rsidTr="00C0412B">
        <w:trPr>
          <w:cnfStyle w:val="100000000000" w:firstRow="1" w:lastRow="0" w:firstColumn="0" w:lastColumn="0" w:oddVBand="0" w:evenVBand="0" w:oddHBand="0" w:evenHBand="0" w:firstRowFirstColumn="0" w:firstRowLastColumn="0" w:lastRowFirstColumn="0" w:lastRowLastColumn="0"/>
          <w:trHeight w:val="544"/>
        </w:trPr>
        <w:tc>
          <w:tcPr>
            <w:tcW w:w="631" w:type="pct"/>
            <w:tcBorders>
              <w:top w:val="none" w:sz="0" w:space="0" w:color="auto"/>
              <w:left w:val="none" w:sz="0" w:space="0" w:color="auto"/>
              <w:bottom w:val="none" w:sz="0" w:space="0" w:color="auto"/>
            </w:tcBorders>
            <w:shd w:val="clear" w:color="auto" w:fill="275D3A"/>
          </w:tcPr>
          <w:p w14:paraId="75D46798" w14:textId="030DA310" w:rsidR="008A1304" w:rsidRPr="00CC19C2" w:rsidRDefault="008A1304" w:rsidP="005C15E8">
            <w:pPr>
              <w:spacing w:before="120" w:after="120"/>
            </w:pPr>
            <w:r w:rsidRPr="00CC19C2">
              <w:t xml:space="preserve">PBS </w:t>
            </w:r>
            <w:r w:rsidR="00E72703" w:rsidRPr="00CC19C2">
              <w:t>Program</w:t>
            </w:r>
          </w:p>
        </w:tc>
        <w:tc>
          <w:tcPr>
            <w:tcW w:w="1678" w:type="pct"/>
            <w:tcBorders>
              <w:top w:val="none" w:sz="0" w:space="0" w:color="auto"/>
              <w:bottom w:val="none" w:sz="0" w:space="0" w:color="auto"/>
            </w:tcBorders>
            <w:shd w:val="clear" w:color="auto" w:fill="275D3A"/>
          </w:tcPr>
          <w:p w14:paraId="34182062" w14:textId="4A4C8501" w:rsidR="008A1304" w:rsidRPr="00CC19C2" w:rsidRDefault="008A1304" w:rsidP="005C15E8">
            <w:pPr>
              <w:spacing w:before="120" w:after="120"/>
            </w:pPr>
            <w:r w:rsidRPr="00CC19C2">
              <w:t>Targets</w:t>
            </w:r>
            <w:r w:rsidR="000E71A5" w:rsidRPr="00CC19C2">
              <w:t xml:space="preserve"> </w:t>
            </w:r>
          </w:p>
        </w:tc>
        <w:tc>
          <w:tcPr>
            <w:tcW w:w="674" w:type="pct"/>
            <w:tcBorders>
              <w:top w:val="none" w:sz="0" w:space="0" w:color="auto"/>
              <w:bottom w:val="none" w:sz="0" w:space="0" w:color="auto"/>
            </w:tcBorders>
            <w:shd w:val="clear" w:color="auto" w:fill="275D3A"/>
          </w:tcPr>
          <w:p w14:paraId="1C9F1F8D" w14:textId="77777777" w:rsidR="008A1304" w:rsidRPr="00CC19C2" w:rsidRDefault="008A1304" w:rsidP="005C15E8">
            <w:pPr>
              <w:spacing w:before="120" w:after="120"/>
            </w:pPr>
            <w:r w:rsidRPr="00CC19C2">
              <w:t>2023–24</w:t>
            </w:r>
          </w:p>
        </w:tc>
        <w:tc>
          <w:tcPr>
            <w:tcW w:w="672" w:type="pct"/>
            <w:tcBorders>
              <w:top w:val="none" w:sz="0" w:space="0" w:color="auto"/>
              <w:bottom w:val="none" w:sz="0" w:space="0" w:color="auto"/>
            </w:tcBorders>
            <w:shd w:val="clear" w:color="auto" w:fill="275D3A"/>
          </w:tcPr>
          <w:p w14:paraId="1F8A36CC" w14:textId="77777777" w:rsidR="008A1304" w:rsidRPr="00CC19C2" w:rsidRDefault="008A1304" w:rsidP="005C15E8">
            <w:pPr>
              <w:spacing w:before="120" w:after="120"/>
            </w:pPr>
            <w:r w:rsidRPr="00CC19C2">
              <w:t>2024–25</w:t>
            </w:r>
          </w:p>
        </w:tc>
        <w:tc>
          <w:tcPr>
            <w:tcW w:w="672" w:type="pct"/>
            <w:tcBorders>
              <w:top w:val="none" w:sz="0" w:space="0" w:color="auto"/>
              <w:bottom w:val="none" w:sz="0" w:space="0" w:color="auto"/>
            </w:tcBorders>
            <w:shd w:val="clear" w:color="auto" w:fill="275D3A"/>
          </w:tcPr>
          <w:p w14:paraId="1464EA08" w14:textId="77777777" w:rsidR="008A1304" w:rsidRPr="00CC19C2" w:rsidRDefault="008A1304" w:rsidP="005C15E8">
            <w:pPr>
              <w:spacing w:before="120" w:after="120"/>
            </w:pPr>
            <w:r w:rsidRPr="00CC19C2">
              <w:t>2025–26</w:t>
            </w:r>
          </w:p>
        </w:tc>
        <w:tc>
          <w:tcPr>
            <w:tcW w:w="672" w:type="pct"/>
            <w:tcBorders>
              <w:top w:val="none" w:sz="0" w:space="0" w:color="auto"/>
              <w:bottom w:val="none" w:sz="0" w:space="0" w:color="auto"/>
              <w:right w:val="none" w:sz="0" w:space="0" w:color="auto"/>
            </w:tcBorders>
            <w:shd w:val="clear" w:color="auto" w:fill="275D3A"/>
          </w:tcPr>
          <w:p w14:paraId="7E72F80A" w14:textId="77777777" w:rsidR="008A1304" w:rsidRPr="00CC19C2" w:rsidRDefault="008A1304" w:rsidP="005C15E8">
            <w:pPr>
              <w:spacing w:before="120" w:after="120"/>
            </w:pPr>
            <w:r w:rsidRPr="00CC19C2">
              <w:t>2026–27</w:t>
            </w:r>
          </w:p>
        </w:tc>
      </w:tr>
      <w:tr w:rsidR="00CC19C2" w:rsidRPr="00CC19C2" w14:paraId="2245EB48" w14:textId="77777777" w:rsidTr="00C0412B">
        <w:trPr>
          <w:trHeight w:val="870"/>
        </w:trPr>
        <w:tc>
          <w:tcPr>
            <w:tcW w:w="631" w:type="pct"/>
          </w:tcPr>
          <w:p w14:paraId="713744D8" w14:textId="199381FB" w:rsidR="008A1304" w:rsidRPr="00CC19C2" w:rsidRDefault="008A1304" w:rsidP="005C15E8">
            <w:pPr>
              <w:spacing w:before="120" w:after="120"/>
            </w:pPr>
            <w:r w:rsidRPr="00CC19C2">
              <w:t>1.2</w:t>
            </w:r>
          </w:p>
        </w:tc>
        <w:tc>
          <w:tcPr>
            <w:tcW w:w="1678" w:type="pct"/>
          </w:tcPr>
          <w:p w14:paraId="4637CF0B" w14:textId="7097236F" w:rsidR="008A1304" w:rsidRPr="00CC19C2" w:rsidRDefault="008A1304" w:rsidP="005C15E8">
            <w:pPr>
              <w:spacing w:before="120" w:after="120"/>
            </w:pPr>
            <w:r w:rsidRPr="00CC19C2">
              <w:t>Number/type of Commission resources, activities and engagements</w:t>
            </w:r>
          </w:p>
        </w:tc>
        <w:tc>
          <w:tcPr>
            <w:tcW w:w="674" w:type="pct"/>
          </w:tcPr>
          <w:p w14:paraId="4DAF5EEA" w14:textId="77777777" w:rsidR="00B9250D" w:rsidRPr="00CC19C2" w:rsidRDefault="008A1304" w:rsidP="005C15E8">
            <w:pPr>
              <w:spacing w:before="120" w:after="120"/>
            </w:pPr>
            <w:r w:rsidRPr="00CC19C2">
              <w:t>Number/</w:t>
            </w:r>
          </w:p>
          <w:p w14:paraId="660EAFC3" w14:textId="0B3D6744" w:rsidR="008A1304" w:rsidRPr="00CC19C2" w:rsidRDefault="008A1304" w:rsidP="005C15E8">
            <w:pPr>
              <w:spacing w:before="120" w:after="120"/>
            </w:pPr>
            <w:r w:rsidRPr="00CC19C2">
              <w:t>type with analysis</w:t>
            </w:r>
          </w:p>
        </w:tc>
        <w:tc>
          <w:tcPr>
            <w:tcW w:w="672" w:type="pct"/>
          </w:tcPr>
          <w:p w14:paraId="0F9D3F86" w14:textId="77777777" w:rsidR="00B9250D" w:rsidRPr="00CC19C2" w:rsidRDefault="008A1304" w:rsidP="005C15E8">
            <w:pPr>
              <w:spacing w:before="120" w:after="120"/>
            </w:pPr>
            <w:r w:rsidRPr="00CC19C2">
              <w:t>Number/</w:t>
            </w:r>
          </w:p>
          <w:p w14:paraId="5C79B2B7" w14:textId="5ECD936A" w:rsidR="008A1304" w:rsidRPr="00CC19C2" w:rsidRDefault="008A1304" w:rsidP="005C15E8">
            <w:pPr>
              <w:spacing w:before="120" w:after="120"/>
            </w:pPr>
            <w:r w:rsidRPr="00CC19C2">
              <w:t>type with analysis</w:t>
            </w:r>
          </w:p>
        </w:tc>
        <w:tc>
          <w:tcPr>
            <w:tcW w:w="672" w:type="pct"/>
          </w:tcPr>
          <w:p w14:paraId="6E3B1761" w14:textId="77777777" w:rsidR="00B9250D" w:rsidRPr="00CC19C2" w:rsidRDefault="008A1304" w:rsidP="005C15E8">
            <w:pPr>
              <w:spacing w:before="120" w:after="120"/>
            </w:pPr>
            <w:r w:rsidRPr="00CC19C2">
              <w:t>Number/</w:t>
            </w:r>
          </w:p>
          <w:p w14:paraId="43C9FF61" w14:textId="7F014182" w:rsidR="008A1304" w:rsidRPr="00CC19C2" w:rsidRDefault="008A1304" w:rsidP="005C15E8">
            <w:pPr>
              <w:spacing w:before="120" w:after="120"/>
            </w:pPr>
            <w:r w:rsidRPr="00CC19C2">
              <w:t>type with analysis</w:t>
            </w:r>
          </w:p>
        </w:tc>
        <w:tc>
          <w:tcPr>
            <w:tcW w:w="672" w:type="pct"/>
          </w:tcPr>
          <w:p w14:paraId="4C07837E" w14:textId="77777777" w:rsidR="00B9250D" w:rsidRPr="00CC19C2" w:rsidRDefault="008A1304" w:rsidP="005C15E8">
            <w:pPr>
              <w:spacing w:before="120" w:after="120"/>
            </w:pPr>
            <w:r w:rsidRPr="00CC19C2">
              <w:t>Number/</w:t>
            </w:r>
          </w:p>
          <w:p w14:paraId="37571178" w14:textId="174BA50C" w:rsidR="008A1304" w:rsidRPr="00CC19C2" w:rsidRDefault="008A1304" w:rsidP="005C15E8">
            <w:pPr>
              <w:spacing w:before="120" w:after="120"/>
            </w:pPr>
            <w:r w:rsidRPr="00CC19C2">
              <w:t>type with analysis</w:t>
            </w:r>
          </w:p>
        </w:tc>
      </w:tr>
      <w:tr w:rsidR="00C0412B" w:rsidRPr="00CC19C2" w14:paraId="0E48451A" w14:textId="4696EF03" w:rsidTr="00C0412B">
        <w:trPr>
          <w:trHeight w:val="1206"/>
        </w:trPr>
        <w:tc>
          <w:tcPr>
            <w:tcW w:w="631" w:type="pct"/>
          </w:tcPr>
          <w:p w14:paraId="223438FF" w14:textId="4A1468A8" w:rsidR="008A1304" w:rsidRPr="00CC19C2" w:rsidRDefault="008A1304" w:rsidP="005C15E8">
            <w:pPr>
              <w:spacing w:before="120" w:after="120"/>
            </w:pPr>
            <w:r w:rsidRPr="00CC19C2">
              <w:t>1.2</w:t>
            </w:r>
          </w:p>
        </w:tc>
        <w:tc>
          <w:tcPr>
            <w:tcW w:w="1678" w:type="pct"/>
          </w:tcPr>
          <w:p w14:paraId="6F5FF5F5" w14:textId="623C9F23" w:rsidR="008A1304" w:rsidRPr="00CC19C2" w:rsidRDefault="008A1304" w:rsidP="005C15E8">
            <w:pPr>
              <w:spacing w:before="120" w:after="120"/>
            </w:pPr>
            <w:r w:rsidRPr="00CC19C2">
              <w:t xml:space="preserve">90% of providers surveyed said </w:t>
            </w:r>
            <w:r w:rsidR="000E71A5" w:rsidRPr="00CC19C2">
              <w:t>t</w:t>
            </w:r>
            <w:r w:rsidRPr="00CC19C2">
              <w:t>raining had increased their understanding of what quality and safety means</w:t>
            </w:r>
            <w:r w:rsidR="00E72703" w:rsidRPr="00CC19C2">
              <w:t xml:space="preserve"> to</w:t>
            </w:r>
            <w:r w:rsidRPr="00CC19C2">
              <w:t xml:space="preserve"> NDIS participants</w:t>
            </w:r>
          </w:p>
        </w:tc>
        <w:tc>
          <w:tcPr>
            <w:tcW w:w="674" w:type="pct"/>
          </w:tcPr>
          <w:p w14:paraId="4F6B98D0" w14:textId="579947B4" w:rsidR="008A1304" w:rsidRPr="00CC19C2" w:rsidRDefault="008A1304" w:rsidP="005C15E8">
            <w:pPr>
              <w:spacing w:before="120" w:after="120"/>
            </w:pPr>
            <w:r w:rsidRPr="00CC19C2">
              <w:t xml:space="preserve">90% </w:t>
            </w:r>
          </w:p>
        </w:tc>
        <w:tc>
          <w:tcPr>
            <w:tcW w:w="672" w:type="pct"/>
          </w:tcPr>
          <w:p w14:paraId="6DD2311C" w14:textId="1E243296" w:rsidR="008A1304" w:rsidRPr="00CC19C2" w:rsidRDefault="008A1304" w:rsidP="005C15E8">
            <w:pPr>
              <w:spacing w:before="120" w:after="120"/>
            </w:pPr>
            <w:r w:rsidRPr="00CC19C2">
              <w:t xml:space="preserve">90% </w:t>
            </w:r>
          </w:p>
        </w:tc>
        <w:tc>
          <w:tcPr>
            <w:tcW w:w="672" w:type="pct"/>
          </w:tcPr>
          <w:p w14:paraId="33B2FF4D" w14:textId="3AF286B8" w:rsidR="008A1304" w:rsidRPr="00CC19C2" w:rsidRDefault="008A1304" w:rsidP="005C15E8">
            <w:pPr>
              <w:spacing w:before="120" w:after="120"/>
            </w:pPr>
            <w:r w:rsidRPr="00CC19C2">
              <w:t xml:space="preserve">90% </w:t>
            </w:r>
          </w:p>
        </w:tc>
        <w:tc>
          <w:tcPr>
            <w:tcW w:w="672" w:type="pct"/>
          </w:tcPr>
          <w:p w14:paraId="74F8F7D3" w14:textId="1EC68028" w:rsidR="008A1304" w:rsidRPr="00CC19C2" w:rsidRDefault="008A1304" w:rsidP="005C15E8">
            <w:pPr>
              <w:spacing w:before="120" w:after="120"/>
            </w:pPr>
            <w:r w:rsidRPr="00CC19C2">
              <w:t xml:space="preserve">90% </w:t>
            </w:r>
          </w:p>
        </w:tc>
      </w:tr>
      <w:tr w:rsidR="00CC19C2" w:rsidRPr="00CC19C2" w14:paraId="5E4BC38D" w14:textId="3DDE5414" w:rsidTr="00C0412B">
        <w:trPr>
          <w:trHeight w:val="606"/>
        </w:trPr>
        <w:tc>
          <w:tcPr>
            <w:tcW w:w="631" w:type="pct"/>
          </w:tcPr>
          <w:p w14:paraId="3C171F09" w14:textId="6640AAEB" w:rsidR="008A1304" w:rsidRPr="00CC19C2" w:rsidRDefault="008A1304" w:rsidP="005C15E8">
            <w:pPr>
              <w:spacing w:before="120" w:after="120"/>
            </w:pPr>
            <w:r w:rsidRPr="00CC19C2">
              <w:t>1.2</w:t>
            </w:r>
          </w:p>
        </w:tc>
        <w:tc>
          <w:tcPr>
            <w:tcW w:w="1678" w:type="pct"/>
          </w:tcPr>
          <w:p w14:paraId="2218C36A" w14:textId="3BF4AF60" w:rsidR="00470E23" w:rsidRPr="00CC19C2" w:rsidRDefault="008A1304" w:rsidP="005C15E8">
            <w:pPr>
              <w:spacing w:before="120" w:after="120"/>
            </w:pPr>
            <w:r w:rsidRPr="00CC19C2">
              <w:t xml:space="preserve">Baseline data </w:t>
            </w:r>
            <w:r w:rsidR="00470E23" w:rsidRPr="00CC19C2">
              <w:t xml:space="preserve">– </w:t>
            </w:r>
          </w:p>
          <w:p w14:paraId="058FBC35" w14:textId="5885DA69" w:rsidR="008A1304" w:rsidRPr="00CC19C2" w:rsidRDefault="008A1304" w:rsidP="005C15E8">
            <w:pPr>
              <w:spacing w:before="120" w:after="120"/>
            </w:pPr>
            <w:r w:rsidRPr="00CC19C2">
              <w:t>% of NDIS participants</w:t>
            </w:r>
            <w:r w:rsidR="000E71A5" w:rsidRPr="00CC19C2">
              <w:t xml:space="preserve"> </w:t>
            </w:r>
            <w:r w:rsidRPr="00CC19C2">
              <w:t xml:space="preserve"> surveyed report they have had a positive experience with their providers</w:t>
            </w:r>
          </w:p>
        </w:tc>
        <w:tc>
          <w:tcPr>
            <w:tcW w:w="674" w:type="pct"/>
          </w:tcPr>
          <w:p w14:paraId="7633F4D9" w14:textId="49704E1D" w:rsidR="008A1304" w:rsidRPr="00CC19C2" w:rsidRDefault="008A1304" w:rsidP="005C15E8">
            <w:pPr>
              <w:spacing w:before="120" w:after="120"/>
            </w:pPr>
            <w:r w:rsidRPr="00CC19C2">
              <w:t xml:space="preserve"> &gt;</w:t>
            </w:r>
            <w:r w:rsidR="00220B35" w:rsidRPr="00CC19C2">
              <w:t xml:space="preserve"> </w:t>
            </w:r>
            <w:r w:rsidRPr="00CC19C2">
              <w:t>baseline data</w:t>
            </w:r>
          </w:p>
        </w:tc>
        <w:tc>
          <w:tcPr>
            <w:tcW w:w="672" w:type="pct"/>
          </w:tcPr>
          <w:p w14:paraId="4245207E" w14:textId="1C849843" w:rsidR="008A1304" w:rsidRPr="00CC19C2" w:rsidRDefault="008A1304" w:rsidP="005C15E8">
            <w:pPr>
              <w:spacing w:before="120" w:after="120"/>
            </w:pPr>
            <w:r w:rsidRPr="00CC19C2">
              <w:t>&gt; baseline data</w:t>
            </w:r>
          </w:p>
        </w:tc>
        <w:tc>
          <w:tcPr>
            <w:tcW w:w="672" w:type="pct"/>
          </w:tcPr>
          <w:p w14:paraId="70FC5EC2" w14:textId="0FC69180" w:rsidR="008A1304" w:rsidRPr="00CC19C2" w:rsidRDefault="008A1304" w:rsidP="005C15E8">
            <w:pPr>
              <w:spacing w:before="120" w:after="120"/>
            </w:pPr>
            <w:r w:rsidRPr="00CC19C2">
              <w:t xml:space="preserve"> &gt; baseline data</w:t>
            </w:r>
          </w:p>
        </w:tc>
        <w:tc>
          <w:tcPr>
            <w:tcW w:w="672" w:type="pct"/>
          </w:tcPr>
          <w:p w14:paraId="1CCC2247" w14:textId="2763E1E8" w:rsidR="008A1304" w:rsidRPr="00CC19C2" w:rsidRDefault="008A1304" w:rsidP="005C15E8">
            <w:pPr>
              <w:spacing w:before="120" w:after="120"/>
            </w:pPr>
            <w:r w:rsidRPr="00CC19C2">
              <w:t>&gt; baseline data</w:t>
            </w:r>
          </w:p>
        </w:tc>
      </w:tr>
      <w:tr w:rsidR="00C0412B" w:rsidRPr="00CC19C2" w14:paraId="45DF8DAC" w14:textId="233A782C" w:rsidTr="00C0412B">
        <w:trPr>
          <w:trHeight w:val="1365"/>
        </w:trPr>
        <w:tc>
          <w:tcPr>
            <w:tcW w:w="631" w:type="pct"/>
          </w:tcPr>
          <w:p w14:paraId="6A0FB646" w14:textId="7FF656F2" w:rsidR="008A1304" w:rsidRPr="00CC19C2" w:rsidRDefault="008A1304" w:rsidP="005C15E8">
            <w:pPr>
              <w:spacing w:before="120" w:after="120"/>
            </w:pPr>
            <w:r w:rsidRPr="00CC19C2">
              <w:t>1.2</w:t>
            </w:r>
          </w:p>
        </w:tc>
        <w:tc>
          <w:tcPr>
            <w:tcW w:w="1678" w:type="pct"/>
          </w:tcPr>
          <w:p w14:paraId="0159C404" w14:textId="12F7DBBB" w:rsidR="00470E23" w:rsidRPr="00CC19C2" w:rsidRDefault="008A1304" w:rsidP="005C15E8">
            <w:pPr>
              <w:spacing w:before="120" w:after="120"/>
            </w:pPr>
            <w:r w:rsidRPr="00CC19C2">
              <w:t xml:space="preserve">Baseline data </w:t>
            </w:r>
            <w:r w:rsidR="00470E23" w:rsidRPr="00CC19C2">
              <w:t xml:space="preserve">– </w:t>
            </w:r>
          </w:p>
          <w:p w14:paraId="1B99D62F" w14:textId="21B6EAC8" w:rsidR="008A1304" w:rsidRPr="00CC19C2" w:rsidRDefault="008A1304" w:rsidP="005C15E8">
            <w:pPr>
              <w:spacing w:before="120" w:after="120"/>
            </w:pPr>
            <w:r w:rsidRPr="00CC19C2">
              <w:t>% of NDIS participants surveyed say they feel they have a voice in improving the safety and quality of provider systems</w:t>
            </w:r>
          </w:p>
        </w:tc>
        <w:tc>
          <w:tcPr>
            <w:tcW w:w="674" w:type="pct"/>
          </w:tcPr>
          <w:p w14:paraId="77BA9A5E" w14:textId="2BE2800E" w:rsidR="008A1304" w:rsidRPr="00CC19C2" w:rsidRDefault="008A1304" w:rsidP="005C15E8">
            <w:pPr>
              <w:spacing w:before="120" w:after="120"/>
            </w:pPr>
            <w:r w:rsidRPr="00CC19C2">
              <w:t>&gt; baseline data</w:t>
            </w:r>
          </w:p>
        </w:tc>
        <w:tc>
          <w:tcPr>
            <w:tcW w:w="672" w:type="pct"/>
          </w:tcPr>
          <w:p w14:paraId="4CC10B6C" w14:textId="50DE8DF0" w:rsidR="008A1304" w:rsidRPr="00CC19C2" w:rsidRDefault="008A1304" w:rsidP="005C15E8">
            <w:pPr>
              <w:spacing w:before="120" w:after="120"/>
            </w:pPr>
            <w:r w:rsidRPr="00CC19C2">
              <w:t>&gt; baseline data</w:t>
            </w:r>
          </w:p>
        </w:tc>
        <w:tc>
          <w:tcPr>
            <w:tcW w:w="672" w:type="pct"/>
          </w:tcPr>
          <w:p w14:paraId="24E01111" w14:textId="32924629" w:rsidR="008A1304" w:rsidRPr="00CC19C2" w:rsidRDefault="008A1304" w:rsidP="005C15E8">
            <w:pPr>
              <w:spacing w:before="120" w:after="120"/>
            </w:pPr>
            <w:r w:rsidRPr="00CC19C2">
              <w:t>&gt;</w:t>
            </w:r>
            <w:r w:rsidR="00220B35" w:rsidRPr="00CC19C2">
              <w:t xml:space="preserve"> </w:t>
            </w:r>
            <w:r w:rsidRPr="00CC19C2">
              <w:t>baseline data</w:t>
            </w:r>
          </w:p>
        </w:tc>
        <w:tc>
          <w:tcPr>
            <w:tcW w:w="672" w:type="pct"/>
          </w:tcPr>
          <w:p w14:paraId="42FB830E" w14:textId="4BD0CB48" w:rsidR="008A1304" w:rsidRPr="00CC19C2" w:rsidRDefault="008A1304" w:rsidP="005C15E8">
            <w:pPr>
              <w:spacing w:before="120" w:after="120"/>
            </w:pPr>
            <w:r w:rsidRPr="00CC19C2">
              <w:t>&gt;</w:t>
            </w:r>
            <w:r w:rsidR="00220B35" w:rsidRPr="00CC19C2">
              <w:t xml:space="preserve"> </w:t>
            </w:r>
            <w:r w:rsidRPr="00CC19C2">
              <w:t>baseline data</w:t>
            </w:r>
          </w:p>
        </w:tc>
      </w:tr>
    </w:tbl>
    <w:p w14:paraId="2CD6BD5B" w14:textId="77777777" w:rsidR="00CC19C2" w:rsidRDefault="00CC19C2" w:rsidP="00485292">
      <w:pPr>
        <w:pStyle w:val="Heading2"/>
      </w:pPr>
      <w:bookmarkStart w:id="88" w:name="_Toc112642125"/>
      <w:bookmarkStart w:id="89" w:name="_Toc144287960"/>
      <w:r>
        <w:br w:type="page"/>
      </w:r>
    </w:p>
    <w:p w14:paraId="646921BD" w14:textId="0EC1689B" w:rsidR="00485292" w:rsidRDefault="00485292" w:rsidP="00485292">
      <w:pPr>
        <w:pStyle w:val="Heading2"/>
      </w:pPr>
      <w:bookmarkStart w:id="90" w:name="_Toc144302613"/>
      <w:r>
        <w:lastRenderedPageBreak/>
        <w:t>Quality providers and workers</w:t>
      </w:r>
      <w:bookmarkEnd w:id="88"/>
      <w:bookmarkEnd w:id="89"/>
      <w:bookmarkEnd w:id="90"/>
    </w:p>
    <w:p w14:paraId="304045E6" w14:textId="77777777" w:rsidR="00485292" w:rsidRPr="00CC19C2" w:rsidRDefault="00485292" w:rsidP="00CC19C2">
      <w:r w:rsidRPr="00CC19C2">
        <w:t>Every NDIS participant has safeguards in place and access to quality services delivered by skilled workers.</w:t>
      </w:r>
    </w:p>
    <w:p w14:paraId="2CC65429" w14:textId="3716CC41" w:rsidR="00485292" w:rsidRPr="00CC19C2" w:rsidRDefault="00485292" w:rsidP="00CC19C2">
      <w:pPr>
        <w:pStyle w:val="Heading3"/>
      </w:pPr>
      <w:bookmarkStart w:id="91" w:name="_Toc112642126"/>
      <w:r w:rsidRPr="00CC19C2">
        <w:t>PM 2.1: The quality of NDIS provider and worker provision increases over time</w:t>
      </w:r>
      <w:bookmarkEnd w:id="91"/>
    </w:p>
    <w:tbl>
      <w:tblPr>
        <w:tblStyle w:val="ListTable4-Accent11"/>
        <w:tblW w:w="4963"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20" w:firstRow="1" w:lastRow="0" w:firstColumn="0" w:lastColumn="0" w:noHBand="1" w:noVBand="1"/>
      </w:tblPr>
      <w:tblGrid>
        <w:gridCol w:w="1146"/>
        <w:gridCol w:w="2753"/>
        <w:gridCol w:w="1265"/>
        <w:gridCol w:w="1265"/>
        <w:gridCol w:w="1265"/>
        <w:gridCol w:w="1265"/>
      </w:tblGrid>
      <w:tr w:rsidR="00CC19C2" w:rsidRPr="00CC19C2" w14:paraId="58C3EA8B" w14:textId="77777777" w:rsidTr="00C0412B">
        <w:trPr>
          <w:cnfStyle w:val="100000000000" w:firstRow="1" w:lastRow="0" w:firstColumn="0" w:lastColumn="0" w:oddVBand="0" w:evenVBand="0" w:oddHBand="0" w:evenHBand="0" w:firstRowFirstColumn="0" w:firstRowLastColumn="0" w:lastRowFirstColumn="0" w:lastRowLastColumn="0"/>
          <w:trHeight w:val="518"/>
        </w:trPr>
        <w:tc>
          <w:tcPr>
            <w:tcW w:w="639" w:type="pct"/>
          </w:tcPr>
          <w:p w14:paraId="3B6E6516" w14:textId="69A9E012" w:rsidR="008A1304" w:rsidRPr="00CC19C2" w:rsidRDefault="008A1304" w:rsidP="005C15E8">
            <w:pPr>
              <w:spacing w:before="120" w:after="120"/>
            </w:pPr>
            <w:r w:rsidRPr="00CC19C2">
              <w:t>PBS P</w:t>
            </w:r>
            <w:r w:rsidR="00E72703" w:rsidRPr="00CC19C2">
              <w:t>rogram</w:t>
            </w:r>
          </w:p>
        </w:tc>
        <w:tc>
          <w:tcPr>
            <w:tcW w:w="1536" w:type="pct"/>
          </w:tcPr>
          <w:p w14:paraId="4F9766EF" w14:textId="0BF9A3C7" w:rsidR="008A1304" w:rsidRPr="00CC19C2" w:rsidRDefault="008A1304" w:rsidP="005C15E8">
            <w:pPr>
              <w:spacing w:before="120" w:after="120"/>
            </w:pPr>
            <w:r w:rsidRPr="00CC19C2">
              <w:t>Targets</w:t>
            </w:r>
            <w:r w:rsidR="000E71A5" w:rsidRPr="00CC19C2">
              <w:t xml:space="preserve"> </w:t>
            </w:r>
          </w:p>
        </w:tc>
        <w:tc>
          <w:tcPr>
            <w:tcW w:w="706" w:type="pct"/>
          </w:tcPr>
          <w:p w14:paraId="7E54C7F2" w14:textId="77777777" w:rsidR="008A1304" w:rsidRPr="00CC19C2" w:rsidRDefault="008A1304" w:rsidP="005C15E8">
            <w:pPr>
              <w:spacing w:before="120" w:after="120"/>
            </w:pPr>
            <w:r w:rsidRPr="00CC19C2">
              <w:t>2023–24</w:t>
            </w:r>
          </w:p>
        </w:tc>
        <w:tc>
          <w:tcPr>
            <w:tcW w:w="706" w:type="pct"/>
          </w:tcPr>
          <w:p w14:paraId="1587890D" w14:textId="77777777" w:rsidR="008A1304" w:rsidRPr="00CC19C2" w:rsidRDefault="008A1304" w:rsidP="005C15E8">
            <w:pPr>
              <w:spacing w:before="120" w:after="120"/>
            </w:pPr>
            <w:r w:rsidRPr="00CC19C2">
              <w:t>2024–25</w:t>
            </w:r>
          </w:p>
        </w:tc>
        <w:tc>
          <w:tcPr>
            <w:tcW w:w="706" w:type="pct"/>
          </w:tcPr>
          <w:p w14:paraId="0BA16E33" w14:textId="77777777" w:rsidR="008A1304" w:rsidRPr="00CC19C2" w:rsidRDefault="008A1304" w:rsidP="005C15E8">
            <w:pPr>
              <w:spacing w:before="120" w:after="120"/>
            </w:pPr>
            <w:r w:rsidRPr="00CC19C2">
              <w:t>2025–26</w:t>
            </w:r>
          </w:p>
        </w:tc>
        <w:tc>
          <w:tcPr>
            <w:tcW w:w="706" w:type="pct"/>
          </w:tcPr>
          <w:p w14:paraId="4B0D5007" w14:textId="77777777" w:rsidR="008A1304" w:rsidRPr="00CC19C2" w:rsidRDefault="008A1304" w:rsidP="005C15E8">
            <w:pPr>
              <w:spacing w:before="120" w:after="120"/>
            </w:pPr>
            <w:r w:rsidRPr="00CC19C2">
              <w:t>2026–27</w:t>
            </w:r>
          </w:p>
        </w:tc>
      </w:tr>
      <w:tr w:rsidR="00CC19C2" w:rsidRPr="00CC19C2" w14:paraId="348D6F9E" w14:textId="77777777" w:rsidTr="00C0412B">
        <w:trPr>
          <w:trHeight w:val="889"/>
        </w:trPr>
        <w:tc>
          <w:tcPr>
            <w:tcW w:w="639" w:type="pct"/>
          </w:tcPr>
          <w:p w14:paraId="5B61B411" w14:textId="2B78AD3A" w:rsidR="008A1304" w:rsidRPr="00CC19C2" w:rsidRDefault="008A1304" w:rsidP="005C15E8">
            <w:pPr>
              <w:spacing w:before="120" w:after="120"/>
            </w:pPr>
            <w:r w:rsidRPr="00CC19C2">
              <w:t>1.2</w:t>
            </w:r>
          </w:p>
        </w:tc>
        <w:tc>
          <w:tcPr>
            <w:tcW w:w="1536" w:type="pct"/>
          </w:tcPr>
          <w:p w14:paraId="61484663" w14:textId="77777777" w:rsidR="00470E23" w:rsidRPr="00CC19C2" w:rsidRDefault="00470E23" w:rsidP="005C15E8">
            <w:pPr>
              <w:spacing w:before="120" w:after="120"/>
            </w:pPr>
            <w:r w:rsidRPr="00CC19C2">
              <w:t xml:space="preserve">Baseline data </w:t>
            </w:r>
            <w:r w:rsidR="008A1304" w:rsidRPr="00CC19C2">
              <w:t>–</w:t>
            </w:r>
            <w:r w:rsidRPr="00CC19C2">
              <w:t xml:space="preserve"> </w:t>
            </w:r>
          </w:p>
          <w:p w14:paraId="6F09B3B4" w14:textId="3FF97D4A" w:rsidR="008A1304" w:rsidRPr="00CC19C2" w:rsidRDefault="008A1304" w:rsidP="005C15E8">
            <w:pPr>
              <w:spacing w:before="120" w:after="120"/>
            </w:pPr>
            <w:r w:rsidRPr="00CC19C2">
              <w:t xml:space="preserve">% Participants say the </w:t>
            </w:r>
            <w:r w:rsidR="000E71A5" w:rsidRPr="00CC19C2">
              <w:t xml:space="preserve"> </w:t>
            </w:r>
            <w:r w:rsidRPr="00CC19C2">
              <w:t>quality of their supports has increased</w:t>
            </w:r>
          </w:p>
        </w:tc>
        <w:tc>
          <w:tcPr>
            <w:tcW w:w="706" w:type="pct"/>
          </w:tcPr>
          <w:p w14:paraId="623FFF18" w14:textId="38BC4EDC" w:rsidR="008A1304" w:rsidRPr="00CC19C2" w:rsidRDefault="008A1304" w:rsidP="005C15E8">
            <w:pPr>
              <w:spacing w:before="120" w:after="120"/>
            </w:pPr>
            <w:r w:rsidRPr="00CC19C2">
              <w:t>&gt; baseline data</w:t>
            </w:r>
          </w:p>
        </w:tc>
        <w:tc>
          <w:tcPr>
            <w:tcW w:w="706" w:type="pct"/>
          </w:tcPr>
          <w:p w14:paraId="4C2A1B8D" w14:textId="60ED8873" w:rsidR="008A1304" w:rsidRPr="00CC19C2" w:rsidRDefault="008A1304" w:rsidP="005C15E8">
            <w:pPr>
              <w:spacing w:before="120" w:after="120"/>
            </w:pPr>
            <w:r w:rsidRPr="00CC19C2">
              <w:t>&gt; baseline data</w:t>
            </w:r>
          </w:p>
        </w:tc>
        <w:tc>
          <w:tcPr>
            <w:tcW w:w="706" w:type="pct"/>
          </w:tcPr>
          <w:p w14:paraId="066FD647" w14:textId="27921BA1" w:rsidR="008A1304" w:rsidRPr="00CC19C2" w:rsidRDefault="008A1304" w:rsidP="005C15E8">
            <w:pPr>
              <w:spacing w:before="120" w:after="120"/>
            </w:pPr>
            <w:r w:rsidRPr="00CC19C2">
              <w:t>&gt; baseline data</w:t>
            </w:r>
          </w:p>
        </w:tc>
        <w:tc>
          <w:tcPr>
            <w:tcW w:w="706" w:type="pct"/>
          </w:tcPr>
          <w:p w14:paraId="0B7C2468" w14:textId="2EC22B32" w:rsidR="008A1304" w:rsidRPr="00CC19C2" w:rsidRDefault="008A1304" w:rsidP="005C15E8">
            <w:pPr>
              <w:spacing w:before="120" w:after="120"/>
            </w:pPr>
            <w:r w:rsidRPr="00CC19C2">
              <w:t>&gt; baseline data</w:t>
            </w:r>
          </w:p>
        </w:tc>
      </w:tr>
    </w:tbl>
    <w:p w14:paraId="5250AFFB" w14:textId="00A69BDB" w:rsidR="00485292" w:rsidRPr="00CC19C2" w:rsidRDefault="00485292" w:rsidP="00CC19C2">
      <w:pPr>
        <w:pStyle w:val="Heading3"/>
      </w:pPr>
      <w:bookmarkStart w:id="92" w:name="_Toc112642127"/>
      <w:r w:rsidRPr="00CC19C2">
        <w:t>PM 2.2: NDIS participants have greater access to, and choice of, skilled workers</w:t>
      </w:r>
      <w:bookmarkEnd w:id="92"/>
      <w:r w:rsidR="00DF14A8" w:rsidRPr="00CC19C2">
        <w:t xml:space="preserve"> </w:t>
      </w:r>
    </w:p>
    <w:tbl>
      <w:tblPr>
        <w:tblStyle w:val="ListTable4-Accent11"/>
        <w:tblW w:w="4962" w:type="pct"/>
        <w:tblInd w:w="0" w:type="dxa"/>
        <w:tblBorders>
          <w:top w:val="none" w:sz="0" w:space="0" w:color="auto"/>
          <w:left w:val="none" w:sz="0" w:space="0" w:color="auto"/>
          <w:bottom w:val="none" w:sz="0" w:space="0" w:color="auto"/>
          <w:right w:val="none" w:sz="0" w:space="0" w:color="auto"/>
          <w:insideH w:val="none" w:sz="0" w:space="0" w:color="auto"/>
        </w:tblBorders>
        <w:tblLook w:val="0620" w:firstRow="1" w:lastRow="0" w:firstColumn="0" w:lastColumn="0" w:noHBand="1" w:noVBand="1"/>
      </w:tblPr>
      <w:tblGrid>
        <w:gridCol w:w="1138"/>
        <w:gridCol w:w="2759"/>
        <w:gridCol w:w="1265"/>
        <w:gridCol w:w="1265"/>
        <w:gridCol w:w="1265"/>
        <w:gridCol w:w="1265"/>
      </w:tblGrid>
      <w:tr w:rsidR="00CC19C2" w:rsidRPr="00CC19C2" w14:paraId="6C0CC1BD" w14:textId="77777777" w:rsidTr="00C0412B">
        <w:trPr>
          <w:cnfStyle w:val="100000000000" w:firstRow="1" w:lastRow="0" w:firstColumn="0" w:lastColumn="0" w:oddVBand="0" w:evenVBand="0" w:oddHBand="0" w:evenHBand="0" w:firstRowFirstColumn="0" w:firstRowLastColumn="0" w:lastRowFirstColumn="0" w:lastRowLastColumn="0"/>
          <w:trHeight w:val="536"/>
        </w:trPr>
        <w:tc>
          <w:tcPr>
            <w:tcW w:w="635" w:type="pct"/>
          </w:tcPr>
          <w:p w14:paraId="1A9013F4" w14:textId="2E764DD9" w:rsidR="008A1304" w:rsidRPr="00CC19C2" w:rsidRDefault="008A1304" w:rsidP="005C15E8">
            <w:pPr>
              <w:spacing w:before="120" w:after="120"/>
            </w:pPr>
            <w:r w:rsidRPr="00CC19C2">
              <w:t>PBS P</w:t>
            </w:r>
            <w:r w:rsidR="00E72703" w:rsidRPr="00CC19C2">
              <w:t>rogram</w:t>
            </w:r>
          </w:p>
        </w:tc>
        <w:tc>
          <w:tcPr>
            <w:tcW w:w="1540" w:type="pct"/>
          </w:tcPr>
          <w:p w14:paraId="7C7C0779" w14:textId="08C10EB9" w:rsidR="008A1304" w:rsidRPr="00CC19C2" w:rsidRDefault="008A1304" w:rsidP="005C15E8">
            <w:pPr>
              <w:spacing w:before="120" w:after="120"/>
            </w:pPr>
            <w:r w:rsidRPr="00CC19C2">
              <w:t>Targets</w:t>
            </w:r>
            <w:r w:rsidR="000E71A5" w:rsidRPr="00CC19C2">
              <w:t xml:space="preserve"> </w:t>
            </w:r>
          </w:p>
        </w:tc>
        <w:tc>
          <w:tcPr>
            <w:tcW w:w="706" w:type="pct"/>
          </w:tcPr>
          <w:p w14:paraId="3D379E40" w14:textId="77777777" w:rsidR="008A1304" w:rsidRPr="00CC19C2" w:rsidRDefault="008A1304" w:rsidP="005C15E8">
            <w:pPr>
              <w:spacing w:before="120" w:after="120"/>
            </w:pPr>
            <w:r w:rsidRPr="00CC19C2">
              <w:t>2023–24</w:t>
            </w:r>
          </w:p>
        </w:tc>
        <w:tc>
          <w:tcPr>
            <w:tcW w:w="706" w:type="pct"/>
          </w:tcPr>
          <w:p w14:paraId="19BEC94E" w14:textId="77777777" w:rsidR="008A1304" w:rsidRPr="00CC19C2" w:rsidRDefault="008A1304" w:rsidP="005C15E8">
            <w:pPr>
              <w:spacing w:before="120" w:after="120"/>
            </w:pPr>
            <w:r w:rsidRPr="00CC19C2">
              <w:t>2024–25</w:t>
            </w:r>
          </w:p>
        </w:tc>
        <w:tc>
          <w:tcPr>
            <w:tcW w:w="706" w:type="pct"/>
          </w:tcPr>
          <w:p w14:paraId="473D76D3" w14:textId="77777777" w:rsidR="008A1304" w:rsidRPr="00CC19C2" w:rsidRDefault="008A1304" w:rsidP="005C15E8">
            <w:pPr>
              <w:spacing w:before="120" w:after="120"/>
            </w:pPr>
            <w:r w:rsidRPr="00CC19C2">
              <w:t>2025–26</w:t>
            </w:r>
          </w:p>
        </w:tc>
        <w:tc>
          <w:tcPr>
            <w:tcW w:w="706" w:type="pct"/>
          </w:tcPr>
          <w:p w14:paraId="1C044D0E" w14:textId="77777777" w:rsidR="008A1304" w:rsidRPr="00CC19C2" w:rsidRDefault="008A1304" w:rsidP="005C15E8">
            <w:pPr>
              <w:spacing w:before="120" w:after="120"/>
            </w:pPr>
            <w:r w:rsidRPr="00CC19C2">
              <w:t>2026–27</w:t>
            </w:r>
          </w:p>
        </w:tc>
      </w:tr>
      <w:tr w:rsidR="00CC19C2" w:rsidRPr="00CC19C2" w14:paraId="7EE5E2CC" w14:textId="77777777" w:rsidTr="00C0412B">
        <w:trPr>
          <w:trHeight w:val="1085"/>
        </w:trPr>
        <w:tc>
          <w:tcPr>
            <w:tcW w:w="635" w:type="pct"/>
            <w:tcBorders>
              <w:top w:val="single" w:sz="4" w:space="0" w:color="5F2E74"/>
              <w:bottom w:val="single" w:sz="4" w:space="0" w:color="5F2E74" w:themeColor="text2"/>
            </w:tcBorders>
          </w:tcPr>
          <w:p w14:paraId="32A22AA8" w14:textId="5161AB51" w:rsidR="008A1304" w:rsidRPr="00CC19C2" w:rsidRDefault="008A1304" w:rsidP="005C15E8">
            <w:pPr>
              <w:spacing w:before="120" w:after="120"/>
            </w:pPr>
            <w:r w:rsidRPr="00CC19C2">
              <w:t>1.2</w:t>
            </w:r>
          </w:p>
        </w:tc>
        <w:tc>
          <w:tcPr>
            <w:tcW w:w="1540" w:type="pct"/>
            <w:tcBorders>
              <w:top w:val="single" w:sz="4" w:space="0" w:color="5F2E74"/>
              <w:bottom w:val="single" w:sz="4" w:space="0" w:color="5F2E74" w:themeColor="text2"/>
            </w:tcBorders>
          </w:tcPr>
          <w:p w14:paraId="293A3376" w14:textId="070C4F2E" w:rsidR="00470E23" w:rsidRPr="00CC19C2" w:rsidRDefault="008A1304" w:rsidP="005C15E8">
            <w:pPr>
              <w:spacing w:before="120" w:after="120"/>
            </w:pPr>
            <w:r w:rsidRPr="00CC19C2">
              <w:t xml:space="preserve">Baseline data </w:t>
            </w:r>
            <w:r w:rsidR="00470E23" w:rsidRPr="00CC19C2">
              <w:t xml:space="preserve">– </w:t>
            </w:r>
          </w:p>
          <w:p w14:paraId="40715D95" w14:textId="6AB12736" w:rsidR="008A1304" w:rsidRPr="00CC19C2" w:rsidRDefault="008A1304" w:rsidP="005C15E8">
            <w:pPr>
              <w:spacing w:before="120" w:after="120"/>
            </w:pPr>
            <w:r w:rsidRPr="00CC19C2">
              <w:t>Uptake of the Workforce Capability Framework, building a skilled workforce</w:t>
            </w:r>
          </w:p>
        </w:tc>
        <w:tc>
          <w:tcPr>
            <w:tcW w:w="706" w:type="pct"/>
            <w:tcBorders>
              <w:top w:val="single" w:sz="4" w:space="0" w:color="5F2E74"/>
              <w:bottom w:val="single" w:sz="4" w:space="0" w:color="5F2E74" w:themeColor="text2"/>
            </w:tcBorders>
          </w:tcPr>
          <w:p w14:paraId="581FE296" w14:textId="2EE0EF60" w:rsidR="008A1304" w:rsidRPr="00CC19C2" w:rsidRDefault="00E72703" w:rsidP="005C15E8">
            <w:pPr>
              <w:spacing w:before="120" w:after="120"/>
            </w:pPr>
            <w:r w:rsidRPr="00CC19C2">
              <w:t>&gt; baseline data</w:t>
            </w:r>
          </w:p>
        </w:tc>
        <w:tc>
          <w:tcPr>
            <w:tcW w:w="706" w:type="pct"/>
            <w:tcBorders>
              <w:top w:val="single" w:sz="4" w:space="0" w:color="5F2E74"/>
              <w:bottom w:val="single" w:sz="4" w:space="0" w:color="5F2E74" w:themeColor="text2"/>
            </w:tcBorders>
          </w:tcPr>
          <w:p w14:paraId="5A447CF1" w14:textId="16B614DE" w:rsidR="008A1304" w:rsidRPr="00CC19C2" w:rsidRDefault="00E72703" w:rsidP="005C15E8">
            <w:pPr>
              <w:spacing w:before="120" w:after="120"/>
            </w:pPr>
            <w:r w:rsidRPr="00CC19C2">
              <w:t xml:space="preserve"> &gt; baseline data</w:t>
            </w:r>
            <w:r w:rsidRPr="00CC19C2">
              <w:tab/>
            </w:r>
          </w:p>
        </w:tc>
        <w:tc>
          <w:tcPr>
            <w:tcW w:w="706" w:type="pct"/>
            <w:tcBorders>
              <w:top w:val="single" w:sz="4" w:space="0" w:color="5F2E74"/>
              <w:bottom w:val="single" w:sz="4" w:space="0" w:color="5F2E74" w:themeColor="text2"/>
            </w:tcBorders>
          </w:tcPr>
          <w:p w14:paraId="107A0B56" w14:textId="3B977CFC" w:rsidR="008A1304" w:rsidRPr="00CC19C2" w:rsidRDefault="00E72703" w:rsidP="005C15E8">
            <w:pPr>
              <w:spacing w:before="120" w:after="120"/>
            </w:pPr>
            <w:r w:rsidRPr="00CC19C2">
              <w:t xml:space="preserve"> &gt; baseline data</w:t>
            </w:r>
            <w:r w:rsidRPr="00CC19C2">
              <w:tab/>
              <w:t xml:space="preserve"> </w:t>
            </w:r>
          </w:p>
        </w:tc>
        <w:tc>
          <w:tcPr>
            <w:tcW w:w="706" w:type="pct"/>
            <w:tcBorders>
              <w:top w:val="single" w:sz="4" w:space="0" w:color="5F2E74"/>
              <w:bottom w:val="single" w:sz="4" w:space="0" w:color="5F2E74" w:themeColor="text2"/>
            </w:tcBorders>
          </w:tcPr>
          <w:p w14:paraId="3511974B" w14:textId="1FA28E59" w:rsidR="008A1304" w:rsidRPr="00CC19C2" w:rsidRDefault="00E72703" w:rsidP="005C15E8">
            <w:pPr>
              <w:spacing w:before="120" w:after="120"/>
            </w:pPr>
            <w:r w:rsidRPr="00CC19C2">
              <w:t>&gt; baseline data</w:t>
            </w:r>
            <w:r w:rsidRPr="00CC19C2">
              <w:tab/>
            </w:r>
          </w:p>
        </w:tc>
      </w:tr>
    </w:tbl>
    <w:p w14:paraId="20B2F5D0" w14:textId="12B5C38E" w:rsidR="00485292" w:rsidRPr="00CC19C2" w:rsidRDefault="00485292" w:rsidP="00CC19C2">
      <w:pPr>
        <w:pStyle w:val="Heading3"/>
      </w:pPr>
      <w:bookmarkStart w:id="93" w:name="_Toc112642128"/>
      <w:r w:rsidRPr="00CC19C2">
        <w:t>PM 2.3: The NDIS Commission Grants Program creates resources and opportunities that enhance providers’, workers’ and auditors’ registration and training capability</w:t>
      </w:r>
      <w:bookmarkEnd w:id="93"/>
      <w:r w:rsidR="00DF14A8" w:rsidRPr="00CC19C2">
        <w:t xml:space="preserve"> </w:t>
      </w:r>
    </w:p>
    <w:tbl>
      <w:tblPr>
        <w:tblStyle w:val="ListTable4-Accent11"/>
        <w:tblW w:w="4955" w:type="pct"/>
        <w:tblInd w:w="0"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ook w:val="0620" w:firstRow="1" w:lastRow="0" w:firstColumn="0" w:lastColumn="0" w:noHBand="1" w:noVBand="1"/>
      </w:tblPr>
      <w:tblGrid>
        <w:gridCol w:w="1136"/>
        <w:gridCol w:w="2759"/>
        <w:gridCol w:w="1263"/>
        <w:gridCol w:w="1263"/>
        <w:gridCol w:w="1263"/>
        <w:gridCol w:w="1261"/>
      </w:tblGrid>
      <w:tr w:rsidR="00C0412B" w:rsidRPr="00CC19C2" w14:paraId="7FA82681" w14:textId="77777777" w:rsidTr="00C0412B">
        <w:trPr>
          <w:cnfStyle w:val="100000000000" w:firstRow="1" w:lastRow="0" w:firstColumn="0" w:lastColumn="0" w:oddVBand="0" w:evenVBand="0" w:oddHBand="0" w:evenHBand="0" w:firstRowFirstColumn="0" w:firstRowLastColumn="0" w:lastRowFirstColumn="0" w:lastRowLastColumn="0"/>
          <w:trHeight w:val="541"/>
        </w:trPr>
        <w:tc>
          <w:tcPr>
            <w:tcW w:w="635" w:type="pct"/>
          </w:tcPr>
          <w:p w14:paraId="02F9BDC4" w14:textId="596EFC35" w:rsidR="008A1304" w:rsidRPr="00CC19C2" w:rsidRDefault="008A1304" w:rsidP="005C15E8">
            <w:pPr>
              <w:spacing w:before="120" w:after="120"/>
            </w:pPr>
            <w:r w:rsidRPr="00CC19C2">
              <w:t>PBS P</w:t>
            </w:r>
            <w:r w:rsidR="00E72703" w:rsidRPr="00CC19C2">
              <w:t>rogram</w:t>
            </w:r>
          </w:p>
        </w:tc>
        <w:tc>
          <w:tcPr>
            <w:tcW w:w="1542" w:type="pct"/>
          </w:tcPr>
          <w:p w14:paraId="0C8D0249" w14:textId="76FCDD3A" w:rsidR="008A1304" w:rsidRPr="00CC19C2" w:rsidRDefault="008A1304" w:rsidP="005C15E8">
            <w:pPr>
              <w:spacing w:before="120" w:after="120"/>
            </w:pPr>
            <w:r w:rsidRPr="00CC19C2">
              <w:t>Targets</w:t>
            </w:r>
            <w:r w:rsidR="000E71A5" w:rsidRPr="00CC19C2">
              <w:t xml:space="preserve"> </w:t>
            </w:r>
          </w:p>
        </w:tc>
        <w:tc>
          <w:tcPr>
            <w:tcW w:w="706" w:type="pct"/>
          </w:tcPr>
          <w:p w14:paraId="189D5635" w14:textId="77777777" w:rsidR="008A1304" w:rsidRPr="00CC19C2" w:rsidRDefault="008A1304" w:rsidP="005C15E8">
            <w:pPr>
              <w:spacing w:before="120" w:after="120"/>
            </w:pPr>
            <w:r w:rsidRPr="00CC19C2">
              <w:t>2023–24</w:t>
            </w:r>
          </w:p>
        </w:tc>
        <w:tc>
          <w:tcPr>
            <w:tcW w:w="706" w:type="pct"/>
          </w:tcPr>
          <w:p w14:paraId="6700DEC2" w14:textId="77777777" w:rsidR="008A1304" w:rsidRPr="00CC19C2" w:rsidRDefault="008A1304" w:rsidP="005C15E8">
            <w:pPr>
              <w:spacing w:before="120" w:after="120"/>
            </w:pPr>
            <w:r w:rsidRPr="00CC19C2">
              <w:t>2024–25</w:t>
            </w:r>
          </w:p>
        </w:tc>
        <w:tc>
          <w:tcPr>
            <w:tcW w:w="706" w:type="pct"/>
          </w:tcPr>
          <w:p w14:paraId="276E9876" w14:textId="77777777" w:rsidR="008A1304" w:rsidRPr="00CC19C2" w:rsidRDefault="008A1304" w:rsidP="005C15E8">
            <w:pPr>
              <w:spacing w:before="120" w:after="120"/>
            </w:pPr>
            <w:r w:rsidRPr="00CC19C2">
              <w:t>2025–26</w:t>
            </w:r>
          </w:p>
        </w:tc>
        <w:tc>
          <w:tcPr>
            <w:tcW w:w="706" w:type="pct"/>
          </w:tcPr>
          <w:p w14:paraId="58DBB47E" w14:textId="77777777" w:rsidR="008A1304" w:rsidRPr="00CC19C2" w:rsidRDefault="008A1304" w:rsidP="005C15E8">
            <w:pPr>
              <w:spacing w:before="120" w:after="120"/>
            </w:pPr>
            <w:r w:rsidRPr="00CC19C2">
              <w:t>2026–27</w:t>
            </w:r>
          </w:p>
        </w:tc>
      </w:tr>
      <w:tr w:rsidR="00CC19C2" w:rsidRPr="00CC19C2" w14:paraId="7FC8259E" w14:textId="77777777" w:rsidTr="00C0412B">
        <w:trPr>
          <w:trHeight w:val="1169"/>
        </w:trPr>
        <w:tc>
          <w:tcPr>
            <w:tcW w:w="635" w:type="pct"/>
          </w:tcPr>
          <w:p w14:paraId="732F8312" w14:textId="08DA7275" w:rsidR="008A1304" w:rsidRPr="00CC19C2" w:rsidRDefault="008A1304" w:rsidP="005C15E8">
            <w:pPr>
              <w:spacing w:before="120" w:after="120"/>
            </w:pPr>
            <w:r w:rsidRPr="00CC19C2">
              <w:t>1.1</w:t>
            </w:r>
          </w:p>
        </w:tc>
        <w:tc>
          <w:tcPr>
            <w:tcW w:w="1542" w:type="pct"/>
          </w:tcPr>
          <w:p w14:paraId="70DA0FCE" w14:textId="386E514D" w:rsidR="008A1304" w:rsidRPr="00CC19C2" w:rsidRDefault="008A1304" w:rsidP="005C15E8">
            <w:pPr>
              <w:spacing w:before="120" w:after="120"/>
            </w:pPr>
            <w:r w:rsidRPr="00CC19C2">
              <w:t>Mix of statement of FY grant spend and qualitative reporting</w:t>
            </w:r>
          </w:p>
        </w:tc>
        <w:tc>
          <w:tcPr>
            <w:tcW w:w="706" w:type="pct"/>
          </w:tcPr>
          <w:p w14:paraId="789D563B" w14:textId="77777777" w:rsidR="008A1304" w:rsidRPr="00CC19C2" w:rsidRDefault="008A1304" w:rsidP="005C15E8">
            <w:pPr>
              <w:spacing w:before="120" w:after="120"/>
            </w:pPr>
            <w:r w:rsidRPr="00CC19C2">
              <w:t>As previous year, but building on impact</w:t>
            </w:r>
          </w:p>
        </w:tc>
        <w:tc>
          <w:tcPr>
            <w:tcW w:w="706" w:type="pct"/>
          </w:tcPr>
          <w:p w14:paraId="47021423" w14:textId="77777777" w:rsidR="008A1304" w:rsidRPr="00CC19C2" w:rsidRDefault="008A1304" w:rsidP="005C15E8">
            <w:pPr>
              <w:spacing w:before="120" w:after="120"/>
            </w:pPr>
            <w:r w:rsidRPr="00CC19C2">
              <w:t>Building on impact of previous year</w:t>
            </w:r>
          </w:p>
        </w:tc>
        <w:tc>
          <w:tcPr>
            <w:tcW w:w="706" w:type="pct"/>
          </w:tcPr>
          <w:p w14:paraId="35CB628D" w14:textId="77777777" w:rsidR="008A1304" w:rsidRPr="00CC19C2" w:rsidRDefault="008A1304" w:rsidP="005C15E8">
            <w:pPr>
              <w:spacing w:before="120" w:after="120"/>
            </w:pPr>
            <w:r w:rsidRPr="00CC19C2">
              <w:t>Building on impact of previous year</w:t>
            </w:r>
          </w:p>
        </w:tc>
        <w:tc>
          <w:tcPr>
            <w:tcW w:w="706" w:type="pct"/>
          </w:tcPr>
          <w:p w14:paraId="56907AE9" w14:textId="77777777" w:rsidR="008A1304" w:rsidRPr="00CC19C2" w:rsidRDefault="008A1304" w:rsidP="005C15E8">
            <w:pPr>
              <w:spacing w:before="120" w:after="120"/>
            </w:pPr>
            <w:r w:rsidRPr="00CC19C2">
              <w:t>Building on impact of previous year</w:t>
            </w:r>
          </w:p>
        </w:tc>
      </w:tr>
    </w:tbl>
    <w:p w14:paraId="1304A968" w14:textId="77777777" w:rsidR="00C0412B" w:rsidRDefault="00C0412B" w:rsidP="00485292">
      <w:pPr>
        <w:pStyle w:val="Heading2"/>
        <w:rPr>
          <w:color w:val="275D3A"/>
        </w:rPr>
      </w:pPr>
      <w:bookmarkStart w:id="94" w:name="_Toc112642129"/>
      <w:bookmarkStart w:id="95" w:name="_Toc144287961"/>
      <w:r>
        <w:rPr>
          <w:color w:val="275D3A"/>
        </w:rPr>
        <w:br w:type="page"/>
      </w:r>
    </w:p>
    <w:p w14:paraId="3C580A98" w14:textId="19775BAD" w:rsidR="00485292" w:rsidRPr="00F86760" w:rsidRDefault="00485292" w:rsidP="00485292">
      <w:pPr>
        <w:pStyle w:val="Heading2"/>
        <w:rPr>
          <w:color w:val="275D3A"/>
        </w:rPr>
      </w:pPr>
      <w:bookmarkStart w:id="96" w:name="_Toc144302614"/>
      <w:r w:rsidRPr="00F86760">
        <w:rPr>
          <w:color w:val="275D3A"/>
        </w:rPr>
        <w:lastRenderedPageBreak/>
        <w:t>Thriving, diverse markets</w:t>
      </w:r>
      <w:bookmarkEnd w:id="94"/>
      <w:bookmarkEnd w:id="95"/>
      <w:bookmarkEnd w:id="96"/>
    </w:p>
    <w:p w14:paraId="189B4E26" w14:textId="77777777" w:rsidR="00485292" w:rsidRDefault="00485292" w:rsidP="00485292">
      <w:pPr>
        <w:suppressAutoHyphens w:val="0"/>
        <w:spacing w:before="120" w:after="120" w:line="240" w:lineRule="auto"/>
      </w:pPr>
      <w:r>
        <w:t>The NDIS Commission will enable consumer independence for NDIS participants by using regulatory frameworks to promote, and remove barriers to, quality and safety.</w:t>
      </w:r>
    </w:p>
    <w:p w14:paraId="2FD12453" w14:textId="5F56B87F" w:rsidR="00485292" w:rsidRPr="00CC19C2" w:rsidRDefault="00E6696C" w:rsidP="00CC19C2">
      <w:pPr>
        <w:pStyle w:val="Heading3"/>
        <w:rPr>
          <w:color w:val="275D3A"/>
        </w:rPr>
      </w:pPr>
      <w:bookmarkStart w:id="97" w:name="_Toc112642131"/>
      <w:r w:rsidRPr="00CC19C2">
        <w:rPr>
          <w:color w:val="275D3A"/>
        </w:rPr>
        <w:t>PM 3.1</w:t>
      </w:r>
      <w:r w:rsidR="00485292" w:rsidRPr="00CC19C2">
        <w:rPr>
          <w:color w:val="275D3A"/>
        </w:rPr>
        <w:t>: Quality and safety risks are reduced thorough the use of regulatory levers to exit unscrupulous and ineffective operators and workers from the market</w:t>
      </w:r>
      <w:bookmarkEnd w:id="97"/>
    </w:p>
    <w:tbl>
      <w:tblPr>
        <w:tblStyle w:val="ListTable4-Accent11"/>
        <w:tblW w:w="8830" w:type="dxa"/>
        <w:tblInd w:w="-5" w:type="dxa"/>
        <w:tblBorders>
          <w:top w:val="none" w:sz="0" w:space="0" w:color="auto"/>
          <w:left w:val="none" w:sz="0" w:space="0" w:color="auto"/>
          <w:bottom w:val="none" w:sz="0" w:space="0" w:color="auto"/>
          <w:right w:val="none" w:sz="0" w:space="0" w:color="auto"/>
          <w:insideH w:val="none" w:sz="0" w:space="0" w:color="auto"/>
        </w:tblBorders>
        <w:tblLayout w:type="fixed"/>
        <w:tblLook w:val="0620" w:firstRow="1" w:lastRow="0" w:firstColumn="0" w:lastColumn="0" w:noHBand="1" w:noVBand="1"/>
      </w:tblPr>
      <w:tblGrid>
        <w:gridCol w:w="1134"/>
        <w:gridCol w:w="3324"/>
        <w:gridCol w:w="1093"/>
        <w:gridCol w:w="1093"/>
        <w:gridCol w:w="1093"/>
        <w:gridCol w:w="1093"/>
      </w:tblGrid>
      <w:tr w:rsidR="00CC19C2" w:rsidRPr="00CC19C2" w14:paraId="76B59D6B" w14:textId="77777777" w:rsidTr="00CC19C2">
        <w:trPr>
          <w:cnfStyle w:val="100000000000" w:firstRow="1" w:lastRow="0" w:firstColumn="0" w:lastColumn="0" w:oddVBand="0" w:evenVBand="0" w:oddHBand="0" w:evenHBand="0" w:firstRowFirstColumn="0" w:firstRowLastColumn="0" w:lastRowFirstColumn="0" w:lastRowLastColumn="0"/>
          <w:trHeight w:val="551"/>
        </w:trPr>
        <w:tc>
          <w:tcPr>
            <w:tcW w:w="1134" w:type="dxa"/>
            <w:tcBorders>
              <w:bottom w:val="single" w:sz="4" w:space="0" w:color="275D3A"/>
            </w:tcBorders>
            <w:shd w:val="clear" w:color="auto" w:fill="275D3A"/>
          </w:tcPr>
          <w:p w14:paraId="4758F9E0" w14:textId="3E4C38C7" w:rsidR="008A1304" w:rsidRPr="00CC19C2" w:rsidRDefault="008A1304" w:rsidP="005C15E8">
            <w:pPr>
              <w:spacing w:before="120" w:after="120"/>
            </w:pPr>
            <w:r w:rsidRPr="00CC19C2">
              <w:t>PBS P</w:t>
            </w:r>
            <w:r w:rsidR="00E72703" w:rsidRPr="00CC19C2">
              <w:t>rogram</w:t>
            </w:r>
          </w:p>
        </w:tc>
        <w:tc>
          <w:tcPr>
            <w:tcW w:w="3324" w:type="dxa"/>
            <w:tcBorders>
              <w:bottom w:val="single" w:sz="4" w:space="0" w:color="275D3A"/>
            </w:tcBorders>
            <w:shd w:val="clear" w:color="auto" w:fill="275D3A"/>
          </w:tcPr>
          <w:p w14:paraId="056B426C" w14:textId="55F9529F" w:rsidR="008A1304" w:rsidRPr="00CC19C2" w:rsidRDefault="008A1304" w:rsidP="005C15E8">
            <w:pPr>
              <w:spacing w:before="120" w:after="120"/>
            </w:pPr>
            <w:r w:rsidRPr="00CC19C2">
              <w:t xml:space="preserve">Targets </w:t>
            </w:r>
          </w:p>
        </w:tc>
        <w:tc>
          <w:tcPr>
            <w:tcW w:w="1093" w:type="dxa"/>
            <w:tcBorders>
              <w:bottom w:val="single" w:sz="4" w:space="0" w:color="275D3A"/>
            </w:tcBorders>
            <w:shd w:val="clear" w:color="auto" w:fill="275D3A"/>
          </w:tcPr>
          <w:p w14:paraId="7EDFDA89" w14:textId="77777777" w:rsidR="008A1304" w:rsidRPr="00CC19C2" w:rsidRDefault="008A1304" w:rsidP="005C15E8">
            <w:pPr>
              <w:spacing w:before="120" w:after="120"/>
            </w:pPr>
            <w:r w:rsidRPr="00CC19C2">
              <w:t>2023–24</w:t>
            </w:r>
          </w:p>
        </w:tc>
        <w:tc>
          <w:tcPr>
            <w:tcW w:w="1093" w:type="dxa"/>
            <w:tcBorders>
              <w:bottom w:val="single" w:sz="4" w:space="0" w:color="275D3A"/>
            </w:tcBorders>
            <w:shd w:val="clear" w:color="auto" w:fill="275D3A"/>
          </w:tcPr>
          <w:p w14:paraId="6CCFA789" w14:textId="77777777" w:rsidR="008A1304" w:rsidRPr="00CC19C2" w:rsidRDefault="008A1304" w:rsidP="005C15E8">
            <w:pPr>
              <w:spacing w:before="120" w:after="120"/>
            </w:pPr>
            <w:r w:rsidRPr="00CC19C2">
              <w:t>2024–25</w:t>
            </w:r>
          </w:p>
        </w:tc>
        <w:tc>
          <w:tcPr>
            <w:tcW w:w="1093" w:type="dxa"/>
            <w:tcBorders>
              <w:bottom w:val="single" w:sz="4" w:space="0" w:color="275D3A"/>
            </w:tcBorders>
            <w:shd w:val="clear" w:color="auto" w:fill="275D3A"/>
          </w:tcPr>
          <w:p w14:paraId="755B3704" w14:textId="77777777" w:rsidR="008A1304" w:rsidRPr="00CC19C2" w:rsidRDefault="008A1304" w:rsidP="005C15E8">
            <w:pPr>
              <w:spacing w:before="120" w:after="120"/>
            </w:pPr>
            <w:r w:rsidRPr="00CC19C2">
              <w:t>2025–26</w:t>
            </w:r>
          </w:p>
        </w:tc>
        <w:tc>
          <w:tcPr>
            <w:tcW w:w="1093" w:type="dxa"/>
            <w:tcBorders>
              <w:bottom w:val="single" w:sz="4" w:space="0" w:color="275D3A"/>
            </w:tcBorders>
            <w:shd w:val="clear" w:color="auto" w:fill="275D3A"/>
          </w:tcPr>
          <w:p w14:paraId="475A8538" w14:textId="77777777" w:rsidR="008A1304" w:rsidRPr="00CC19C2" w:rsidRDefault="008A1304" w:rsidP="005C15E8">
            <w:pPr>
              <w:spacing w:before="120" w:after="120"/>
            </w:pPr>
            <w:r w:rsidRPr="00CC19C2">
              <w:t>2026–27</w:t>
            </w:r>
          </w:p>
        </w:tc>
      </w:tr>
      <w:tr w:rsidR="00CC19C2" w:rsidRPr="00CC19C2" w14:paraId="1035A8C6" w14:textId="77777777" w:rsidTr="00CC19C2">
        <w:trPr>
          <w:trHeight w:val="1413"/>
        </w:trPr>
        <w:tc>
          <w:tcPr>
            <w:tcW w:w="1134" w:type="dxa"/>
            <w:tcBorders>
              <w:top w:val="single" w:sz="4" w:space="0" w:color="275D3A"/>
              <w:bottom w:val="single" w:sz="4" w:space="0" w:color="275D3A"/>
            </w:tcBorders>
          </w:tcPr>
          <w:p w14:paraId="57CFAED2" w14:textId="086671FD" w:rsidR="008A1304" w:rsidRPr="00CC19C2" w:rsidRDefault="008A1304" w:rsidP="005C15E8">
            <w:pPr>
              <w:spacing w:before="120" w:after="120"/>
            </w:pPr>
            <w:r w:rsidRPr="00CC19C2">
              <w:t>1.2</w:t>
            </w:r>
          </w:p>
        </w:tc>
        <w:tc>
          <w:tcPr>
            <w:tcW w:w="3324" w:type="dxa"/>
            <w:tcBorders>
              <w:top w:val="single" w:sz="4" w:space="0" w:color="275D3A"/>
              <w:bottom w:val="single" w:sz="4" w:space="0" w:color="275D3A"/>
            </w:tcBorders>
          </w:tcPr>
          <w:p w14:paraId="45384543" w14:textId="4BA5465D" w:rsidR="00470E23" w:rsidRPr="00CC19C2" w:rsidRDefault="008A1304" w:rsidP="005C15E8">
            <w:pPr>
              <w:spacing w:before="120" w:after="120"/>
            </w:pPr>
            <w:r w:rsidRPr="00CC19C2">
              <w:t xml:space="preserve">Baseline data </w:t>
            </w:r>
            <w:r w:rsidR="00470E23" w:rsidRPr="00CC19C2">
              <w:t>–</w:t>
            </w:r>
          </w:p>
          <w:p w14:paraId="2C6B4301" w14:textId="4586F1A7" w:rsidR="008A1304" w:rsidRPr="00CC19C2" w:rsidRDefault="008A1304" w:rsidP="005C15E8">
            <w:pPr>
              <w:spacing w:before="120" w:after="120"/>
            </w:pPr>
            <w:r w:rsidRPr="00CC19C2">
              <w:t># of registration revocations</w:t>
            </w:r>
          </w:p>
          <w:p w14:paraId="29F6460C" w14:textId="78C324EA" w:rsidR="008A1304" w:rsidRPr="00CC19C2" w:rsidRDefault="008A1304" w:rsidP="005C15E8">
            <w:pPr>
              <w:spacing w:before="120" w:after="120"/>
            </w:pPr>
            <w:r w:rsidRPr="00CC19C2">
              <w:t># of registrations refused</w:t>
            </w:r>
          </w:p>
          <w:p w14:paraId="67E9F52D" w14:textId="77777777" w:rsidR="008A1304" w:rsidRPr="00CC19C2" w:rsidRDefault="008A1304" w:rsidP="005C15E8">
            <w:pPr>
              <w:spacing w:before="120" w:after="120"/>
            </w:pPr>
            <w:r w:rsidRPr="00CC19C2">
              <w:t># banning orders</w:t>
            </w:r>
          </w:p>
        </w:tc>
        <w:tc>
          <w:tcPr>
            <w:tcW w:w="1093" w:type="dxa"/>
            <w:tcBorders>
              <w:top w:val="single" w:sz="4" w:space="0" w:color="275D3A"/>
              <w:bottom w:val="single" w:sz="4" w:space="0" w:color="275D3A"/>
            </w:tcBorders>
          </w:tcPr>
          <w:p w14:paraId="156FAFBE" w14:textId="0289A748" w:rsidR="008A1304" w:rsidRPr="00CC19C2" w:rsidRDefault="008A1304" w:rsidP="005C15E8">
            <w:pPr>
              <w:spacing w:before="120" w:after="120"/>
            </w:pPr>
            <w:r w:rsidRPr="00CC19C2">
              <w:t>&gt;</w:t>
            </w:r>
            <w:r w:rsidR="000E71A5" w:rsidRPr="00CC19C2">
              <w:t xml:space="preserve"> </w:t>
            </w:r>
            <w:r w:rsidRPr="00CC19C2">
              <w:t>baseline data</w:t>
            </w:r>
          </w:p>
        </w:tc>
        <w:tc>
          <w:tcPr>
            <w:tcW w:w="1093" w:type="dxa"/>
            <w:tcBorders>
              <w:top w:val="single" w:sz="4" w:space="0" w:color="275D3A"/>
              <w:bottom w:val="single" w:sz="4" w:space="0" w:color="275D3A"/>
            </w:tcBorders>
          </w:tcPr>
          <w:p w14:paraId="78B5D12E" w14:textId="4225653D" w:rsidR="008A1304" w:rsidRPr="00CC19C2" w:rsidRDefault="008A1304" w:rsidP="005C15E8">
            <w:pPr>
              <w:spacing w:before="120" w:after="120"/>
            </w:pPr>
            <w:r w:rsidRPr="00CC19C2">
              <w:t>&gt;</w:t>
            </w:r>
            <w:r w:rsidR="000E71A5" w:rsidRPr="00CC19C2">
              <w:t xml:space="preserve"> </w:t>
            </w:r>
            <w:r w:rsidRPr="00CC19C2">
              <w:t>baseline data</w:t>
            </w:r>
          </w:p>
        </w:tc>
        <w:tc>
          <w:tcPr>
            <w:tcW w:w="1093" w:type="dxa"/>
            <w:tcBorders>
              <w:top w:val="single" w:sz="4" w:space="0" w:color="275D3A"/>
              <w:bottom w:val="single" w:sz="4" w:space="0" w:color="275D3A"/>
            </w:tcBorders>
          </w:tcPr>
          <w:p w14:paraId="7226C4A6" w14:textId="47B111F2" w:rsidR="008A1304" w:rsidRPr="00CC19C2" w:rsidRDefault="008A1304" w:rsidP="005C15E8">
            <w:pPr>
              <w:spacing w:before="120" w:after="120"/>
            </w:pPr>
            <w:r w:rsidRPr="00CC19C2">
              <w:t>&gt;</w:t>
            </w:r>
            <w:r w:rsidR="000E71A5" w:rsidRPr="00CC19C2">
              <w:t xml:space="preserve"> </w:t>
            </w:r>
            <w:r w:rsidRPr="00CC19C2">
              <w:t>baseline data</w:t>
            </w:r>
          </w:p>
        </w:tc>
        <w:tc>
          <w:tcPr>
            <w:tcW w:w="1093" w:type="dxa"/>
            <w:tcBorders>
              <w:top w:val="single" w:sz="4" w:space="0" w:color="275D3A"/>
              <w:bottom w:val="single" w:sz="4" w:space="0" w:color="275D3A"/>
            </w:tcBorders>
          </w:tcPr>
          <w:p w14:paraId="545306B8" w14:textId="07ED28A4" w:rsidR="008A1304" w:rsidRPr="00CC19C2" w:rsidRDefault="008A1304" w:rsidP="005C15E8">
            <w:pPr>
              <w:spacing w:before="120" w:after="120"/>
            </w:pPr>
            <w:r w:rsidRPr="00CC19C2">
              <w:t>&gt;</w:t>
            </w:r>
            <w:r w:rsidR="000E71A5" w:rsidRPr="00CC19C2">
              <w:t xml:space="preserve"> </w:t>
            </w:r>
            <w:r w:rsidRPr="00CC19C2">
              <w:t>baseline data</w:t>
            </w:r>
          </w:p>
        </w:tc>
      </w:tr>
      <w:tr w:rsidR="008A1304" w:rsidRPr="00CC19C2" w14:paraId="74782A77" w14:textId="77777777" w:rsidTr="00CC19C2">
        <w:trPr>
          <w:trHeight w:val="936"/>
        </w:trPr>
        <w:tc>
          <w:tcPr>
            <w:tcW w:w="1134" w:type="dxa"/>
            <w:tcBorders>
              <w:top w:val="single" w:sz="4" w:space="0" w:color="275D3A"/>
              <w:bottom w:val="single" w:sz="4" w:space="0" w:color="275D3A"/>
            </w:tcBorders>
          </w:tcPr>
          <w:p w14:paraId="252813CF" w14:textId="3C7AFC40" w:rsidR="008A1304" w:rsidRPr="00CC19C2" w:rsidRDefault="008A1304" w:rsidP="005C15E8">
            <w:pPr>
              <w:spacing w:before="120" w:after="120"/>
            </w:pPr>
            <w:r w:rsidRPr="00CC19C2">
              <w:t>1.2</w:t>
            </w:r>
          </w:p>
        </w:tc>
        <w:tc>
          <w:tcPr>
            <w:tcW w:w="3324" w:type="dxa"/>
            <w:tcBorders>
              <w:top w:val="single" w:sz="4" w:space="0" w:color="275D3A"/>
              <w:bottom w:val="single" w:sz="4" w:space="0" w:color="275D3A"/>
            </w:tcBorders>
          </w:tcPr>
          <w:p w14:paraId="759864EE" w14:textId="16776704" w:rsidR="008A1304" w:rsidRPr="00CC19C2" w:rsidRDefault="008A1304" w:rsidP="005C15E8">
            <w:pPr>
              <w:spacing w:before="120" w:after="120"/>
            </w:pPr>
            <w:r w:rsidRPr="00CC19C2">
              <w:t>Changes from</w:t>
            </w:r>
            <w:r w:rsidR="00220B35" w:rsidRPr="00CC19C2">
              <w:t xml:space="preserve"> </w:t>
            </w:r>
            <w:r w:rsidRPr="00CC19C2">
              <w:t>Qualitative analysis</w:t>
            </w:r>
          </w:p>
        </w:tc>
        <w:tc>
          <w:tcPr>
            <w:tcW w:w="1093" w:type="dxa"/>
            <w:tcBorders>
              <w:top w:val="single" w:sz="4" w:space="0" w:color="275D3A"/>
              <w:bottom w:val="single" w:sz="4" w:space="0" w:color="275D3A"/>
            </w:tcBorders>
          </w:tcPr>
          <w:p w14:paraId="7264F6B8" w14:textId="77777777" w:rsidR="008A1304" w:rsidRPr="00CC19C2" w:rsidRDefault="008A1304" w:rsidP="005C15E8">
            <w:pPr>
              <w:spacing w:before="120" w:after="120"/>
            </w:pPr>
            <w:r w:rsidRPr="00CC19C2">
              <w:t>Qualitative analysis</w:t>
            </w:r>
          </w:p>
        </w:tc>
        <w:tc>
          <w:tcPr>
            <w:tcW w:w="1093" w:type="dxa"/>
            <w:tcBorders>
              <w:top w:val="single" w:sz="4" w:space="0" w:color="275D3A"/>
              <w:bottom w:val="single" w:sz="4" w:space="0" w:color="275D3A"/>
            </w:tcBorders>
          </w:tcPr>
          <w:p w14:paraId="2659DF37" w14:textId="77777777" w:rsidR="008A1304" w:rsidRPr="00CC19C2" w:rsidRDefault="008A1304" w:rsidP="005C15E8">
            <w:pPr>
              <w:spacing w:before="120" w:after="120"/>
            </w:pPr>
            <w:r w:rsidRPr="00CC19C2">
              <w:t>Qualitative analysis</w:t>
            </w:r>
          </w:p>
        </w:tc>
        <w:tc>
          <w:tcPr>
            <w:tcW w:w="1093" w:type="dxa"/>
            <w:tcBorders>
              <w:top w:val="single" w:sz="4" w:space="0" w:color="275D3A"/>
              <w:bottom w:val="single" w:sz="4" w:space="0" w:color="275D3A"/>
            </w:tcBorders>
          </w:tcPr>
          <w:p w14:paraId="60D509E2" w14:textId="77777777" w:rsidR="008A1304" w:rsidRPr="00CC19C2" w:rsidRDefault="008A1304" w:rsidP="005C15E8">
            <w:pPr>
              <w:spacing w:before="120" w:after="120"/>
            </w:pPr>
            <w:r w:rsidRPr="00CC19C2">
              <w:t>Qualitative analysis</w:t>
            </w:r>
          </w:p>
        </w:tc>
        <w:tc>
          <w:tcPr>
            <w:tcW w:w="1093" w:type="dxa"/>
            <w:tcBorders>
              <w:top w:val="single" w:sz="4" w:space="0" w:color="275D3A"/>
              <w:bottom w:val="single" w:sz="4" w:space="0" w:color="275D3A"/>
            </w:tcBorders>
          </w:tcPr>
          <w:p w14:paraId="67E91930" w14:textId="77777777" w:rsidR="008A1304" w:rsidRPr="00CC19C2" w:rsidRDefault="008A1304" w:rsidP="005C15E8">
            <w:pPr>
              <w:spacing w:before="120" w:after="120"/>
            </w:pPr>
            <w:r w:rsidRPr="00CC19C2">
              <w:t>Qualitative analysis</w:t>
            </w:r>
          </w:p>
        </w:tc>
      </w:tr>
    </w:tbl>
    <w:p w14:paraId="2C37AF9E" w14:textId="77777777" w:rsidR="00485292" w:rsidRDefault="00485292" w:rsidP="00485292">
      <w:pPr>
        <w:suppressAutoHyphens w:val="0"/>
        <w:spacing w:before="120" w:after="120" w:line="240" w:lineRule="auto"/>
      </w:pPr>
      <w:r>
        <w:br w:type="page"/>
      </w:r>
    </w:p>
    <w:p w14:paraId="62FC489D" w14:textId="77777777" w:rsidR="006D2670" w:rsidRDefault="006D2670" w:rsidP="0028213F">
      <w:pPr>
        <w:suppressAutoHyphens w:val="0"/>
        <w:spacing w:before="120" w:after="120" w:line="240" w:lineRule="auto"/>
        <w:sectPr w:rsidR="006D2670" w:rsidSect="005C15E8">
          <w:type w:val="continuous"/>
          <w:pgSz w:w="11906" w:h="16838" w:code="9"/>
          <w:pgMar w:top="1134" w:right="1440" w:bottom="1440" w:left="1440" w:header="284" w:footer="397" w:gutter="0"/>
          <w:cols w:space="340"/>
          <w:titlePg/>
          <w:docGrid w:linePitch="360"/>
        </w:sectPr>
      </w:pPr>
    </w:p>
    <w:p w14:paraId="3D2C38DC" w14:textId="181AF447" w:rsidR="00760E07" w:rsidRDefault="00760E07" w:rsidP="00E72703">
      <w:pPr>
        <w:pStyle w:val="Heading1"/>
      </w:pPr>
      <w:bookmarkStart w:id="98" w:name="_Toc144222454"/>
      <w:bookmarkStart w:id="99" w:name="_Toc144287962"/>
      <w:bookmarkStart w:id="100" w:name="_Toc144302615"/>
      <w:r>
        <w:lastRenderedPageBreak/>
        <w:t>Appendices</w:t>
      </w:r>
      <w:bookmarkEnd w:id="98"/>
      <w:bookmarkEnd w:id="99"/>
      <w:bookmarkEnd w:id="100"/>
    </w:p>
    <w:p w14:paraId="4197669F" w14:textId="025FD6DC" w:rsidR="00D20C13" w:rsidRPr="00E72703" w:rsidRDefault="00D20C13" w:rsidP="00C0412B">
      <w:pPr>
        <w:pStyle w:val="Heading2"/>
      </w:pPr>
      <w:bookmarkStart w:id="101" w:name="_Toc144302616"/>
      <w:r w:rsidRPr="00E72703">
        <w:t>Appendix A: Commonwealth Performance Framework: NDIS Commission 202</w:t>
      </w:r>
      <w:r w:rsidR="000E71A5">
        <w:t>3</w:t>
      </w:r>
      <w:r w:rsidRPr="00E72703">
        <w:t>–2</w:t>
      </w:r>
      <w:r w:rsidR="000E71A5">
        <w:t>4</w:t>
      </w:r>
      <w:bookmarkEnd w:id="101"/>
      <w:r w:rsidR="00DF14A8">
        <w:t xml:space="preserve"> </w:t>
      </w:r>
    </w:p>
    <w:p w14:paraId="6848B89A" w14:textId="77777777" w:rsidR="00D20C13" w:rsidRPr="00D20C13" w:rsidRDefault="00D20C13" w:rsidP="00D20C13">
      <w:pPr>
        <w:suppressAutoHyphens w:val="0"/>
        <w:spacing w:before="120" w:after="120" w:line="240" w:lineRule="auto"/>
      </w:pPr>
      <w:r w:rsidRPr="00D20C13">
        <w:t>The Commonwealth Performance Framework requires that entities’ performance planning and reporting should provide meaningful performance information with a clear line of sight between planned and actual performance.</w:t>
      </w:r>
    </w:p>
    <w:p w14:paraId="48DED9CA" w14:textId="5D9A1576" w:rsidR="00D20C13" w:rsidRPr="00D20C13" w:rsidRDefault="00D20C13" w:rsidP="00C0412B">
      <w:pPr>
        <w:pStyle w:val="Heading3"/>
        <w:spacing w:after="120"/>
        <w:rPr>
          <w:lang w:val="en-US"/>
        </w:rPr>
      </w:pPr>
      <w:bookmarkStart w:id="102" w:name="_Toc112642134"/>
      <w:r w:rsidRPr="00D20C13">
        <w:rPr>
          <w:lang w:val="en-US"/>
        </w:rPr>
        <w:t>Portfolio Budget Statements 202</w:t>
      </w:r>
      <w:r w:rsidR="000E71A5">
        <w:rPr>
          <w:lang w:val="en-US"/>
        </w:rPr>
        <w:t>3</w:t>
      </w:r>
      <w:r w:rsidRPr="00D20C13">
        <w:rPr>
          <w:lang w:val="en-US"/>
        </w:rPr>
        <w:t>–2</w:t>
      </w:r>
      <w:r w:rsidR="000E71A5">
        <w:rPr>
          <w:lang w:val="en-US"/>
        </w:rPr>
        <w:t>4</w:t>
      </w:r>
      <w:bookmarkEnd w:id="102"/>
    </w:p>
    <w:p w14:paraId="2855FF2A" w14:textId="77777777" w:rsidR="00D20C13" w:rsidRPr="00D20C13" w:rsidRDefault="00D20C13" w:rsidP="00C0412B">
      <w:pPr>
        <w:pStyle w:val="Heading4"/>
        <w:spacing w:before="240"/>
        <w:rPr>
          <w:lang w:val="en-US"/>
        </w:rPr>
      </w:pPr>
      <w:bookmarkStart w:id="103" w:name="_Toc112642135"/>
      <w:r w:rsidRPr="00D20C13">
        <w:rPr>
          <w:lang w:val="en-US"/>
        </w:rPr>
        <w:t>Outcome 1:</w:t>
      </w:r>
      <w:bookmarkEnd w:id="103"/>
      <w:r w:rsidRPr="00D20C13">
        <w:rPr>
          <w:lang w:val="en-US"/>
        </w:rPr>
        <w:t xml:space="preserve"> </w:t>
      </w:r>
    </w:p>
    <w:p w14:paraId="062AAD80" w14:textId="77777777" w:rsidR="00D20C13" w:rsidRPr="00C0412B" w:rsidRDefault="00D20C13" w:rsidP="00C0412B">
      <w:r w:rsidRPr="00C0412B">
        <w:t>Promote the delivery of quality supports and services to people with disability under the National Disability Insurance Scheme and other prescribed supports and services, including through nationally consistent and responsive regulation, policy development, advice and education.</w:t>
      </w:r>
    </w:p>
    <w:p w14:paraId="2E4EC6AA" w14:textId="77777777" w:rsidR="00D20C13" w:rsidRPr="00D20C13" w:rsidRDefault="00D20C13" w:rsidP="00C0412B">
      <w:pPr>
        <w:pStyle w:val="Bullet1"/>
      </w:pPr>
      <w:r w:rsidRPr="00D20C13">
        <w:rPr>
          <w:rFonts w:cs="FS Me"/>
          <w:color w:val="5E2065"/>
        </w:rPr>
        <w:t xml:space="preserve">Program 1.1 – Support for National Disability Insurance Scheme providers in relation to registration – </w:t>
      </w:r>
      <w:r w:rsidRPr="00D20C13">
        <w:t>Support for NDIS providers with the costs of obtaining registration and to support the provision of education and training for providers, workers and auditors.</w:t>
      </w:r>
    </w:p>
    <w:p w14:paraId="1F284652" w14:textId="77777777" w:rsidR="00D20C13" w:rsidRPr="00D20C13" w:rsidRDefault="00D20C13" w:rsidP="00C0412B">
      <w:pPr>
        <w:pStyle w:val="Bullet1"/>
      </w:pPr>
      <w:r w:rsidRPr="00D20C13">
        <w:rPr>
          <w:rFonts w:cs="FS Me"/>
          <w:color w:val="5E2065"/>
        </w:rPr>
        <w:t xml:space="preserve">Program 1.2 – Program Support for the NDIS Quality and Safeguards Commission – </w:t>
      </w:r>
      <w:r w:rsidRPr="00D20C13">
        <w:t>To provide departmental funding for the annual operating costs of the NDIS Commission to enable the NDIS Commission to achieve its outcomes.</w:t>
      </w:r>
    </w:p>
    <w:p w14:paraId="671E741B" w14:textId="77777777" w:rsidR="00D20C13" w:rsidRPr="00D20C13" w:rsidRDefault="00D20C13" w:rsidP="00C0412B">
      <w:pPr>
        <w:pStyle w:val="Heading3"/>
        <w:spacing w:before="240"/>
        <w:rPr>
          <w:lang w:val="en-US"/>
        </w:rPr>
      </w:pPr>
      <w:bookmarkStart w:id="104" w:name="_Toc112642136"/>
      <w:r w:rsidRPr="00D20C13">
        <w:rPr>
          <w:lang w:val="en-US"/>
        </w:rPr>
        <w:t>Risk Management</w:t>
      </w:r>
      <w:bookmarkEnd w:id="104"/>
    </w:p>
    <w:p w14:paraId="1659121E" w14:textId="77777777" w:rsidR="00D20C13" w:rsidRPr="00D20C13" w:rsidRDefault="00D20C13" w:rsidP="00C0412B">
      <w:pPr>
        <w:pStyle w:val="Heading3"/>
        <w:spacing w:before="240"/>
        <w:rPr>
          <w:lang w:val="en-US"/>
        </w:rPr>
      </w:pPr>
      <w:bookmarkStart w:id="105" w:name="_Toc112642137"/>
      <w:r w:rsidRPr="00D20C13">
        <w:rPr>
          <w:lang w:val="en-US"/>
        </w:rPr>
        <w:t>Strategic Work</w:t>
      </w:r>
      <w:bookmarkEnd w:id="105"/>
    </w:p>
    <w:p w14:paraId="7218C85C" w14:textId="77777777" w:rsidR="00D20C13" w:rsidRPr="00D20C13" w:rsidRDefault="00D20C13" w:rsidP="00C0412B">
      <w:pPr>
        <w:pStyle w:val="Heading4"/>
        <w:spacing w:before="240"/>
        <w:rPr>
          <w:lang w:val="en-US"/>
        </w:rPr>
      </w:pPr>
      <w:bookmarkStart w:id="106" w:name="_Toc112642138"/>
      <w:r w:rsidRPr="00D20C13">
        <w:rPr>
          <w:lang w:val="en-US"/>
        </w:rPr>
        <w:t>Impact areas 2022–27</w:t>
      </w:r>
    </w:p>
    <w:bookmarkEnd w:id="106"/>
    <w:p w14:paraId="3BCB6BDB" w14:textId="77777777" w:rsidR="00D20C13" w:rsidRPr="00D20C13" w:rsidRDefault="00D20C13" w:rsidP="00C0412B">
      <w:pPr>
        <w:pStyle w:val="Bullet1"/>
      </w:pPr>
      <w:r w:rsidRPr="00D20C13">
        <w:t xml:space="preserve">The rights of people with disability </w:t>
      </w:r>
    </w:p>
    <w:p w14:paraId="05F582E9" w14:textId="77777777" w:rsidR="00D20C13" w:rsidRPr="00D20C13" w:rsidRDefault="00D20C13" w:rsidP="00C0412B">
      <w:pPr>
        <w:pStyle w:val="Bullet1"/>
      </w:pPr>
      <w:r w:rsidRPr="00D20C13">
        <w:t xml:space="preserve">Quality providers and workers </w:t>
      </w:r>
    </w:p>
    <w:p w14:paraId="26DF9E48" w14:textId="77777777" w:rsidR="00C0412B" w:rsidRPr="00C0412B" w:rsidRDefault="00D20C13" w:rsidP="00C0412B">
      <w:pPr>
        <w:pStyle w:val="Bullet1"/>
        <w:rPr>
          <w:rFonts w:asciiTheme="majorHAnsi" w:eastAsiaTheme="majorEastAsia" w:hAnsiTheme="majorHAnsi" w:cstheme="majorBidi"/>
          <w:b/>
          <w:color w:val="5F2E74" w:themeColor="text2"/>
          <w:sz w:val="26"/>
          <w:szCs w:val="24"/>
          <w:lang w:val="en-US"/>
        </w:rPr>
      </w:pPr>
      <w:r w:rsidRPr="00673C87">
        <w:rPr>
          <w:rFonts w:cs="FS Me Light"/>
          <w:color w:val="auto"/>
          <w:szCs w:val="22"/>
        </w:rPr>
        <w:t>Thriving, di</w:t>
      </w:r>
      <w:r w:rsidR="00673C87" w:rsidRPr="00673C87">
        <w:rPr>
          <w:rFonts w:cs="FS Me Light"/>
          <w:color w:val="auto"/>
          <w:szCs w:val="22"/>
        </w:rPr>
        <w:t>v</w:t>
      </w:r>
      <w:r w:rsidRPr="00673C87">
        <w:rPr>
          <w:rFonts w:cs="FS Me Light"/>
          <w:color w:val="auto"/>
          <w:szCs w:val="22"/>
        </w:rPr>
        <w:t xml:space="preserve">erse markets </w:t>
      </w:r>
      <w:bookmarkStart w:id="107" w:name="_Toc112642139"/>
    </w:p>
    <w:p w14:paraId="776427E4" w14:textId="1169E76B" w:rsidR="00D20C13" w:rsidRPr="00C0412B" w:rsidRDefault="00D20C13" w:rsidP="00C0412B">
      <w:pPr>
        <w:pStyle w:val="Heading4"/>
        <w:spacing w:before="240"/>
        <w:rPr>
          <w:lang w:val="en-US"/>
        </w:rPr>
      </w:pPr>
      <w:r w:rsidRPr="00C0412B">
        <w:t>Priorities</w:t>
      </w:r>
      <w:r w:rsidRPr="00C0412B">
        <w:rPr>
          <w:lang w:val="en-US"/>
        </w:rPr>
        <w:t xml:space="preserve"> 2023–2</w:t>
      </w:r>
      <w:bookmarkEnd w:id="107"/>
      <w:r w:rsidRPr="00C0412B">
        <w:rPr>
          <w:lang w:val="en-US"/>
        </w:rPr>
        <w:t xml:space="preserve">4 </w:t>
      </w:r>
    </w:p>
    <w:p w14:paraId="18A1CCB7" w14:textId="2FFA3AED" w:rsidR="00DB1AFB" w:rsidRPr="00DB1AFB" w:rsidRDefault="00DB1AFB" w:rsidP="00C0412B">
      <w:pPr>
        <w:pStyle w:val="Bullet1"/>
      </w:pPr>
      <w:r w:rsidRPr="00DB1AFB">
        <w:t>Amplifying participant voices</w:t>
      </w:r>
    </w:p>
    <w:p w14:paraId="2DB364EC" w14:textId="2CD244E2" w:rsidR="00DB1AFB" w:rsidRPr="00DB1AFB" w:rsidRDefault="00DB1AFB" w:rsidP="00C0412B">
      <w:pPr>
        <w:pStyle w:val="Bullet1"/>
      </w:pPr>
      <w:r w:rsidRPr="00DB1AFB">
        <w:t>Accelerating regulatory impact</w:t>
      </w:r>
    </w:p>
    <w:p w14:paraId="2550616D" w14:textId="19A95CCF" w:rsidR="00DB1AFB" w:rsidRPr="00DB1AFB" w:rsidRDefault="00DB1AFB" w:rsidP="00C0412B">
      <w:pPr>
        <w:pStyle w:val="Bullet1"/>
      </w:pPr>
      <w:r w:rsidRPr="00DB1AFB">
        <w:t xml:space="preserve">Improving </w:t>
      </w:r>
      <w:r w:rsidR="000156D3">
        <w:t>q</w:t>
      </w:r>
      <w:r w:rsidRPr="00DB1AFB">
        <w:t>uality</w:t>
      </w:r>
    </w:p>
    <w:p w14:paraId="4B0A2ED3" w14:textId="195CB344" w:rsidR="00DB1AFB" w:rsidRPr="00DB1AFB" w:rsidRDefault="00DB1AFB" w:rsidP="00C0412B">
      <w:pPr>
        <w:pStyle w:val="Bullet1"/>
      </w:pPr>
      <w:r w:rsidRPr="00DB1AFB">
        <w:t xml:space="preserve">Our </w:t>
      </w:r>
      <w:r w:rsidR="009B15A6">
        <w:t>p</w:t>
      </w:r>
      <w:r w:rsidRPr="00DB1AFB">
        <w:t>eople</w:t>
      </w:r>
    </w:p>
    <w:p w14:paraId="0889A905" w14:textId="34DDE054" w:rsidR="00DB1AFB" w:rsidRPr="00DB1AFB" w:rsidRDefault="009B15A6" w:rsidP="00C0412B">
      <w:pPr>
        <w:pStyle w:val="Bullet1"/>
      </w:pPr>
      <w:r>
        <w:t>Integrated c</w:t>
      </w:r>
      <w:r w:rsidR="00383468">
        <w:t>apability</w:t>
      </w:r>
    </w:p>
    <w:p w14:paraId="4D691ACA" w14:textId="78971404" w:rsidR="00D20C13" w:rsidRPr="00D20C13" w:rsidRDefault="00D20C13" w:rsidP="00C0412B">
      <w:pPr>
        <w:pStyle w:val="Heading3"/>
      </w:pPr>
      <w:bookmarkStart w:id="108" w:name="_Toc112642140"/>
      <w:r w:rsidRPr="00D20C13">
        <w:lastRenderedPageBreak/>
        <w:t>Corporate Plan 202</w:t>
      </w:r>
      <w:r w:rsidR="000156D3">
        <w:t>3</w:t>
      </w:r>
      <w:r w:rsidRPr="00D20C13">
        <w:t>–2</w:t>
      </w:r>
      <w:r w:rsidR="000156D3">
        <w:t>4</w:t>
      </w:r>
      <w:bookmarkEnd w:id="108"/>
    </w:p>
    <w:p w14:paraId="543598F0" w14:textId="77777777" w:rsidR="00D20C13" w:rsidRPr="00D20C13" w:rsidRDefault="00D20C13" w:rsidP="00C0412B">
      <w:pPr>
        <w:pStyle w:val="Heading4"/>
        <w:rPr>
          <w:lang w:val="en-US"/>
        </w:rPr>
      </w:pPr>
      <w:bookmarkStart w:id="109" w:name="_Toc112642141"/>
      <w:r w:rsidRPr="00D20C13">
        <w:rPr>
          <w:lang w:val="en-US"/>
        </w:rPr>
        <w:t>Purpose</w:t>
      </w:r>
      <w:bookmarkEnd w:id="109"/>
    </w:p>
    <w:p w14:paraId="27391C0F" w14:textId="77777777" w:rsidR="00D20C13" w:rsidRPr="00D20C13" w:rsidRDefault="00D20C13" w:rsidP="00C0412B">
      <w:pPr>
        <w:rPr>
          <w:rFonts w:ascii="Calibri" w:hAnsi="Calibri"/>
          <w:szCs w:val="22"/>
          <w:lang w:val="en-US"/>
        </w:rPr>
      </w:pPr>
      <w:r w:rsidRPr="00D20C13">
        <w:rPr>
          <w:rFonts w:ascii="Calibri" w:hAnsi="Calibri"/>
          <w:szCs w:val="22"/>
          <w:lang w:val="en-US"/>
        </w:rPr>
        <w:t xml:space="preserve">To uphold the rights of NDIS participants, to elevate quality and safety, and enable consumer </w:t>
      </w:r>
      <w:r w:rsidRPr="00C0412B">
        <w:t>independence</w:t>
      </w:r>
      <w:r w:rsidRPr="00D20C13">
        <w:rPr>
          <w:rFonts w:ascii="Calibri" w:hAnsi="Calibri"/>
          <w:szCs w:val="22"/>
          <w:lang w:val="en-US"/>
        </w:rPr>
        <w:t xml:space="preserve"> </w:t>
      </w:r>
    </w:p>
    <w:p w14:paraId="54F6425D" w14:textId="77777777" w:rsidR="00D20C13" w:rsidRPr="00D20C13" w:rsidRDefault="00D20C13" w:rsidP="00C0412B">
      <w:pPr>
        <w:pStyle w:val="Heading4"/>
        <w:rPr>
          <w:lang w:val="en-US"/>
        </w:rPr>
      </w:pPr>
      <w:bookmarkStart w:id="110" w:name="_Toc112642142"/>
      <w:r w:rsidRPr="00D20C13">
        <w:rPr>
          <w:lang w:val="en-US"/>
        </w:rPr>
        <w:t>Performance Metrics</w:t>
      </w:r>
      <w:bookmarkEnd w:id="110"/>
    </w:p>
    <w:p w14:paraId="065CDE9A" w14:textId="1CD273C0" w:rsidR="00D20C13" w:rsidRPr="00D20C13" w:rsidRDefault="00D20C13" w:rsidP="00D20C13">
      <w:pPr>
        <w:rPr>
          <w:lang w:val="en-US"/>
        </w:rPr>
      </w:pPr>
      <w:r w:rsidRPr="00D20C13">
        <w:rPr>
          <w:lang w:val="en-US"/>
        </w:rPr>
        <w:t>Measures and targets for the 202</w:t>
      </w:r>
      <w:r w:rsidR="000156D3">
        <w:rPr>
          <w:lang w:val="en-US"/>
        </w:rPr>
        <w:t>3</w:t>
      </w:r>
      <w:r w:rsidRPr="00D20C13">
        <w:rPr>
          <w:lang w:val="en-US"/>
        </w:rPr>
        <w:t>–2</w:t>
      </w:r>
      <w:r w:rsidR="000156D3">
        <w:rPr>
          <w:lang w:val="en-US"/>
        </w:rPr>
        <w:t>4</w:t>
      </w:r>
      <w:r w:rsidRPr="00D20C13">
        <w:rPr>
          <w:lang w:val="en-US"/>
        </w:rPr>
        <w:t xml:space="preserve"> year and four years forward, mapped to our Impact areas and our Strategic Plan 202–27</w:t>
      </w:r>
    </w:p>
    <w:p w14:paraId="33D4743E" w14:textId="77777777" w:rsidR="00D20C13" w:rsidRPr="00D20C13" w:rsidRDefault="00D20C13" w:rsidP="00C0412B">
      <w:pPr>
        <w:pStyle w:val="Heading3"/>
      </w:pPr>
      <w:bookmarkStart w:id="111" w:name="_Toc112642143"/>
      <w:r w:rsidRPr="00D20C13">
        <w:t>Annual Performance Statements</w:t>
      </w:r>
    </w:p>
    <w:bookmarkEnd w:id="111"/>
    <w:p w14:paraId="787C2E22" w14:textId="50AF5EA6" w:rsidR="00D20C13" w:rsidRPr="00D20C13" w:rsidRDefault="00D20C13" w:rsidP="00C0412B">
      <w:pPr>
        <w:rPr>
          <w:rFonts w:cs="FS Me"/>
          <w:b/>
          <w:color w:val="000000"/>
          <w:szCs w:val="22"/>
        </w:rPr>
      </w:pPr>
      <w:r w:rsidRPr="00D20C13">
        <w:rPr>
          <w:rFonts w:ascii="Calibri" w:hAnsi="Calibri"/>
          <w:szCs w:val="22"/>
          <w:lang w:val="en-US"/>
        </w:rPr>
        <w:t xml:space="preserve">(to be </w:t>
      </w:r>
      <w:r w:rsidRPr="00C0412B">
        <w:t>published</w:t>
      </w:r>
      <w:r w:rsidRPr="00D20C13">
        <w:rPr>
          <w:rFonts w:ascii="Calibri" w:hAnsi="Calibri"/>
          <w:szCs w:val="22"/>
          <w:lang w:val="en-US"/>
        </w:rPr>
        <w:t xml:space="preserve"> in </w:t>
      </w:r>
      <w:r w:rsidR="000156D3">
        <w:rPr>
          <w:rFonts w:ascii="Calibri" w:hAnsi="Calibri"/>
          <w:szCs w:val="22"/>
          <w:lang w:val="en-US"/>
        </w:rPr>
        <w:t xml:space="preserve">NDIS Commission </w:t>
      </w:r>
      <w:r w:rsidRPr="00D20C13">
        <w:rPr>
          <w:rFonts w:ascii="Calibri" w:hAnsi="Calibri"/>
          <w:szCs w:val="22"/>
          <w:lang w:val="en-US"/>
        </w:rPr>
        <w:t xml:space="preserve">Annual Report </w:t>
      </w:r>
      <w:r w:rsidRPr="00D20C13">
        <w:rPr>
          <w:lang w:val="en-US"/>
        </w:rPr>
        <w:t>2022–23)</w:t>
      </w:r>
    </w:p>
    <w:p w14:paraId="4F02D6B8" w14:textId="77777777" w:rsidR="00D20C13" w:rsidRPr="00D20C13" w:rsidRDefault="00D20C13" w:rsidP="00C0412B">
      <w:pPr>
        <w:pStyle w:val="Heading4"/>
        <w:rPr>
          <w:lang w:val="en-US"/>
        </w:rPr>
      </w:pPr>
      <w:bookmarkStart w:id="112" w:name="_Toc112642144"/>
      <w:r w:rsidRPr="00D20C13">
        <w:rPr>
          <w:lang w:val="en-US"/>
        </w:rPr>
        <w:t>Results against performance metrics</w:t>
      </w:r>
      <w:bookmarkEnd w:id="112"/>
    </w:p>
    <w:p w14:paraId="3AF44129" w14:textId="45CE38ED" w:rsidR="00D20C13" w:rsidRPr="00D20C13" w:rsidRDefault="00D20C13" w:rsidP="00D20C13">
      <w:pPr>
        <w:rPr>
          <w:lang w:val="en-US"/>
        </w:rPr>
      </w:pPr>
      <w:r w:rsidRPr="00D20C13">
        <w:rPr>
          <w:lang w:val="en-US"/>
        </w:rPr>
        <w:t>A balance of quantitative and qualitative information in response to the performance measures and targets presented in the Corporate Plan 202</w:t>
      </w:r>
      <w:r w:rsidR="000156D3">
        <w:rPr>
          <w:lang w:val="en-US"/>
        </w:rPr>
        <w:t>3</w:t>
      </w:r>
      <w:r w:rsidRPr="00D20C13">
        <w:rPr>
          <w:lang w:val="en-US"/>
        </w:rPr>
        <w:t>–2</w:t>
      </w:r>
      <w:r w:rsidR="000156D3">
        <w:rPr>
          <w:lang w:val="en-US"/>
        </w:rPr>
        <w:t>4</w:t>
      </w:r>
      <w:r w:rsidRPr="00D20C13">
        <w:rPr>
          <w:lang w:val="en-US"/>
        </w:rPr>
        <w:t xml:space="preserve">, showing the progress of the </w:t>
      </w:r>
      <w:r w:rsidR="0076271C">
        <w:rPr>
          <w:lang w:val="en-US"/>
        </w:rPr>
        <w:t xml:space="preserve">NDIS </w:t>
      </w:r>
      <w:r w:rsidRPr="00D20C13">
        <w:rPr>
          <w:lang w:val="en-US"/>
        </w:rPr>
        <w:t xml:space="preserve">Commission against its operational and aspirational objectives, identifying challenges and </w:t>
      </w:r>
      <w:r w:rsidR="00AF0991" w:rsidRPr="00D20C13">
        <w:rPr>
          <w:lang w:val="en-US"/>
        </w:rPr>
        <w:t>anal</w:t>
      </w:r>
      <w:r w:rsidR="00AF0991">
        <w:rPr>
          <w:lang w:val="en-US"/>
        </w:rPr>
        <w:t>ys</w:t>
      </w:r>
      <w:r w:rsidR="00AF0991" w:rsidRPr="00D20C13">
        <w:rPr>
          <w:lang w:val="en-US"/>
        </w:rPr>
        <w:t>ing</w:t>
      </w:r>
      <w:r w:rsidRPr="00D20C13">
        <w:rPr>
          <w:lang w:val="en-US"/>
        </w:rPr>
        <w:t xml:space="preserve"> outcomes.</w:t>
      </w:r>
    </w:p>
    <w:p w14:paraId="4774A673" w14:textId="77777777" w:rsidR="00D20C13" w:rsidRPr="00D20C13" w:rsidRDefault="00D20C13" w:rsidP="00D20C13">
      <w:pPr>
        <w:suppressAutoHyphens w:val="0"/>
        <w:spacing w:before="120" w:after="120" w:line="240" w:lineRule="auto"/>
      </w:pPr>
    </w:p>
    <w:p w14:paraId="1997C833" w14:textId="27EC761A" w:rsidR="00D20C13" w:rsidRDefault="00D20C13" w:rsidP="00D20C13">
      <w:pPr>
        <w:suppressAutoHyphens w:val="0"/>
        <w:spacing w:before="120" w:after="120" w:line="240" w:lineRule="auto"/>
      </w:pPr>
      <w:r w:rsidRPr="00D20C13">
        <w:br w:type="page"/>
      </w:r>
    </w:p>
    <w:p w14:paraId="6D79E539" w14:textId="77777777" w:rsidR="0011126D" w:rsidRPr="00995ABE" w:rsidRDefault="0011126D" w:rsidP="00C0412B">
      <w:pPr>
        <w:pStyle w:val="Heading2"/>
      </w:pPr>
      <w:bookmarkStart w:id="113" w:name="_Toc144302617"/>
      <w:r w:rsidRPr="00E0365C">
        <w:lastRenderedPageBreak/>
        <w:t>Appendix B</w:t>
      </w:r>
      <w:r>
        <w:t xml:space="preserve">: Minister’s Letter </w:t>
      </w:r>
      <w:r w:rsidRPr="00E0365C">
        <w:t>Statement of Expectations</w:t>
      </w:r>
      <w:r>
        <w:t xml:space="preserve"> – December 2022</w:t>
      </w:r>
      <w:r w:rsidRPr="00E0365C">
        <w:t xml:space="preserve"> and the </w:t>
      </w:r>
      <w:r>
        <w:t xml:space="preserve">NDIS </w:t>
      </w:r>
      <w:r w:rsidRPr="00E0365C">
        <w:t xml:space="preserve">Statement of Intent </w:t>
      </w:r>
      <w:r>
        <w:t>– March 2023</w:t>
      </w:r>
      <w:bookmarkEnd w:id="113"/>
    </w:p>
    <w:p w14:paraId="24A517D6" w14:textId="7D1B2EF2" w:rsidR="00F16D1A" w:rsidRDefault="00B45257" w:rsidP="00F16D1A">
      <w:hyperlink r:id="rId28" w:anchor="paragraph-id-6802" w:history="1">
        <w:r w:rsidR="00F16D1A" w:rsidRPr="0011126D">
          <w:rPr>
            <w:rStyle w:val="Hyperlink"/>
          </w:rPr>
          <w:t xml:space="preserve"> </w:t>
        </w:r>
        <w:r w:rsidR="0011126D" w:rsidRPr="0011126D">
          <w:rPr>
            <w:rStyle w:val="Hyperlink"/>
          </w:rPr>
          <w:t>https://www.ndiscommission.gov.au/about/corporate-documents#paragraph-id-6802</w:t>
        </w:r>
      </w:hyperlink>
    </w:p>
    <w:p w14:paraId="64EEC7D1" w14:textId="66B2E15E" w:rsidR="00EA458C" w:rsidRPr="00995ABE" w:rsidRDefault="00F16D1A" w:rsidP="00C0412B">
      <w:pPr>
        <w:pStyle w:val="Heading2"/>
      </w:pPr>
      <w:bookmarkStart w:id="114" w:name="_Toc144302618"/>
      <w:r w:rsidRPr="00E0365C">
        <w:t>A</w:t>
      </w:r>
      <w:r w:rsidR="001A1CAB" w:rsidRPr="00E0365C">
        <w:t xml:space="preserve">ppendix </w:t>
      </w:r>
      <w:r w:rsidR="000A34C0" w:rsidRPr="00E0365C">
        <w:t>C</w:t>
      </w:r>
      <w:r w:rsidR="00E55829">
        <w:t>:</w:t>
      </w:r>
      <w:r w:rsidR="00EA458C" w:rsidRPr="00E0365C">
        <w:t xml:space="preserve"> </w:t>
      </w:r>
      <w:r w:rsidR="000F15D3">
        <w:t>C</w:t>
      </w:r>
      <w:r w:rsidR="00EA458C" w:rsidRPr="00E0365C">
        <w:t xml:space="preserve">ore </w:t>
      </w:r>
      <w:r w:rsidR="000F15D3">
        <w:t>F</w:t>
      </w:r>
      <w:r w:rsidR="00EA458C" w:rsidRPr="00E0365C">
        <w:t>unctions</w:t>
      </w:r>
      <w:bookmarkEnd w:id="114"/>
    </w:p>
    <w:p w14:paraId="37748740" w14:textId="5F8C5386" w:rsidR="00EA458C" w:rsidRDefault="00EA458C" w:rsidP="00EA458C">
      <w:pPr>
        <w:suppressAutoHyphens w:val="0"/>
        <w:spacing w:before="120" w:after="120" w:line="240" w:lineRule="auto"/>
      </w:pPr>
      <w:r>
        <w:t xml:space="preserve">The NDIS Commission is fundamentally guided by the responsibilities assigned under the NDIS Act. </w:t>
      </w:r>
      <w:r w:rsidR="008725B9">
        <w:br/>
      </w:r>
      <w:r>
        <w:t>In particular, the Commissioner’s core functions:</w:t>
      </w:r>
    </w:p>
    <w:p w14:paraId="0C75726D" w14:textId="77777777" w:rsidR="00EA458C" w:rsidRDefault="00EA458C" w:rsidP="00DB1AFB">
      <w:pPr>
        <w:pStyle w:val="List1Numbered1"/>
        <w:numPr>
          <w:ilvl w:val="0"/>
          <w:numId w:val="11"/>
        </w:numPr>
      </w:pPr>
      <w:r>
        <w:t>To uphold the rights of, and promote the health, safety and wellbeing of, people with disability receiving supports or services, including those received under the National Disability Insurance Scheme.</w:t>
      </w:r>
    </w:p>
    <w:p w14:paraId="10B380B7" w14:textId="77777777" w:rsidR="00EA458C" w:rsidRDefault="00EA458C" w:rsidP="00DB1AFB">
      <w:pPr>
        <w:pStyle w:val="List1Numbered1"/>
        <w:numPr>
          <w:ilvl w:val="0"/>
          <w:numId w:val="11"/>
        </w:numPr>
      </w:pPr>
      <w:r>
        <w:t>To develop a nationally consistent approach to managing quality and safeguards for people with disability receiving supports or services, including those received under the National Disability Insurance Scheme.</w:t>
      </w:r>
    </w:p>
    <w:p w14:paraId="515D9A09" w14:textId="77777777" w:rsidR="00EA458C" w:rsidRDefault="00EA458C" w:rsidP="00DB1AFB">
      <w:pPr>
        <w:pStyle w:val="List1Numbered1"/>
        <w:numPr>
          <w:ilvl w:val="0"/>
          <w:numId w:val="11"/>
        </w:numPr>
      </w:pPr>
      <w:r>
        <w:t>To promote the provision of advice, information, education and training to NDIS providers and people with disability.</w:t>
      </w:r>
    </w:p>
    <w:p w14:paraId="0EEB35E5" w14:textId="77777777" w:rsidR="00EA458C" w:rsidRDefault="00EA458C" w:rsidP="00DB1AFB">
      <w:pPr>
        <w:pStyle w:val="List1Numbered1"/>
        <w:numPr>
          <w:ilvl w:val="0"/>
          <w:numId w:val="11"/>
        </w:numPr>
      </w:pPr>
      <w:r>
        <w:t>To secure compliance with the Act through effective compliance and enforcement arrangements, including through the monitoring and investigation functions conferred on the Commissioner by Division 8 of Part 3A of Chapter 4.</w:t>
      </w:r>
    </w:p>
    <w:p w14:paraId="707F57DF" w14:textId="7149594F" w:rsidR="00EA458C" w:rsidRDefault="00EA458C" w:rsidP="00DB1AFB">
      <w:pPr>
        <w:pStyle w:val="List1Numbered1"/>
        <w:numPr>
          <w:ilvl w:val="0"/>
          <w:numId w:val="11"/>
        </w:numPr>
      </w:pPr>
      <w:r>
        <w:t>To promote continuous improvement amongst NDIS providers and the delivery of progressively high</w:t>
      </w:r>
      <w:r w:rsidR="00451C14">
        <w:t>er</w:t>
      </w:r>
      <w:r>
        <w:t xml:space="preserve"> standards of supports and services to people with disability.</w:t>
      </w:r>
    </w:p>
    <w:p w14:paraId="605B035D" w14:textId="77777777" w:rsidR="00EA458C" w:rsidRDefault="00EA458C" w:rsidP="00DB1AFB">
      <w:pPr>
        <w:pStyle w:val="List1Numbered1"/>
        <w:numPr>
          <w:ilvl w:val="0"/>
          <w:numId w:val="11"/>
        </w:numPr>
      </w:pPr>
      <w:r>
        <w:t>To develop and oversee the broad policy design for a nationally consistent framework relating to the screening of workers involved in the provision of supports and services to people with disability.</w:t>
      </w:r>
    </w:p>
    <w:p w14:paraId="1E9D02A5" w14:textId="77777777" w:rsidR="00EA458C" w:rsidRDefault="00EA458C" w:rsidP="00DB1AFB">
      <w:pPr>
        <w:pStyle w:val="List1Numbered1"/>
        <w:numPr>
          <w:ilvl w:val="0"/>
          <w:numId w:val="11"/>
        </w:numPr>
      </w:pPr>
      <w:r>
        <w:t>To provide advice or recommendations to the Agency or the Board in relation to the performance of the Agency’s functions.</w:t>
      </w:r>
    </w:p>
    <w:p w14:paraId="087B3116" w14:textId="77777777" w:rsidR="00A54967" w:rsidRDefault="00EA458C" w:rsidP="00DB1AFB">
      <w:pPr>
        <w:pStyle w:val="List1Numbered1"/>
        <w:numPr>
          <w:ilvl w:val="0"/>
          <w:numId w:val="11"/>
        </w:numPr>
      </w:pPr>
      <w:r>
        <w:t>To engage in, promote and coordinate the sharing of information to achieve the objects of the Act.</w:t>
      </w:r>
    </w:p>
    <w:p w14:paraId="7916D4DB" w14:textId="77777777" w:rsidR="00EA458C" w:rsidRDefault="00EA458C" w:rsidP="00DB1AFB">
      <w:pPr>
        <w:pStyle w:val="List1Numbered1"/>
        <w:numPr>
          <w:ilvl w:val="0"/>
          <w:numId w:val="11"/>
        </w:numPr>
      </w:pPr>
      <w:r>
        <w:t>To provide NDIS market oversight, including:</w:t>
      </w:r>
    </w:p>
    <w:p w14:paraId="7BF0DAC7" w14:textId="77777777" w:rsidR="00EA458C" w:rsidRDefault="00EA458C" w:rsidP="00DB1AFB">
      <w:pPr>
        <w:pStyle w:val="List1Numbered2"/>
        <w:numPr>
          <w:ilvl w:val="1"/>
          <w:numId w:val="12"/>
        </w:numPr>
        <w:ind w:left="709"/>
      </w:pPr>
      <w:r>
        <w:t>By monitoring changes in the NDIS market with may indicate emerging risk, and</w:t>
      </w:r>
    </w:p>
    <w:p w14:paraId="620602FF" w14:textId="77777777" w:rsidR="00EA458C" w:rsidRDefault="00EA458C" w:rsidP="00DB1AFB">
      <w:pPr>
        <w:pStyle w:val="List1Numbered2"/>
        <w:numPr>
          <w:ilvl w:val="1"/>
          <w:numId w:val="12"/>
        </w:numPr>
        <w:ind w:left="709"/>
      </w:pPr>
      <w:r>
        <w:t>By monitoring and mitigating the risks of unplanned service withdrawal.</w:t>
      </w:r>
    </w:p>
    <w:p w14:paraId="1BADD079" w14:textId="77777777" w:rsidR="00EA458C" w:rsidRDefault="00EA458C" w:rsidP="00A54967">
      <w:pPr>
        <w:suppressAutoHyphens w:val="0"/>
        <w:spacing w:before="360" w:after="120" w:line="240" w:lineRule="auto"/>
      </w:pPr>
      <w:r>
        <w:t>The other functions of the Commissioner are also set out in the NDIS Act:</w:t>
      </w:r>
    </w:p>
    <w:p w14:paraId="762371A5" w14:textId="77777777" w:rsidR="00EA458C" w:rsidRPr="00C0412B" w:rsidRDefault="00EA458C" w:rsidP="00C0412B">
      <w:pPr>
        <w:pStyle w:val="Bullet1"/>
      </w:pPr>
      <w:r>
        <w:t xml:space="preserve">181F: the </w:t>
      </w:r>
      <w:r w:rsidRPr="00C0412B">
        <w:t>Commissioner’s Registration and reportable incidents functions</w:t>
      </w:r>
    </w:p>
    <w:p w14:paraId="48CBAFEA" w14:textId="77777777" w:rsidR="00EA458C" w:rsidRPr="00C0412B" w:rsidRDefault="00EA458C" w:rsidP="00C0412B">
      <w:pPr>
        <w:pStyle w:val="Bullet1"/>
      </w:pPr>
      <w:r w:rsidRPr="00C0412B">
        <w:t>181G: the Commissioner’s Complaints functions</w:t>
      </w:r>
    </w:p>
    <w:p w14:paraId="49289047" w14:textId="77777777" w:rsidR="00EA458C" w:rsidRPr="00C0412B" w:rsidRDefault="00EA458C" w:rsidP="00C0412B">
      <w:pPr>
        <w:pStyle w:val="Bullet1"/>
      </w:pPr>
      <w:r w:rsidRPr="00C0412B">
        <w:t>181H: the Commissioner’s Behaviour support function.</w:t>
      </w:r>
    </w:p>
    <w:p w14:paraId="0419B62B" w14:textId="56C4138E" w:rsidR="00D20C13" w:rsidRPr="00E0365C" w:rsidRDefault="000A34C0" w:rsidP="00C0412B">
      <w:pPr>
        <w:pStyle w:val="Heading2"/>
      </w:pPr>
      <w:bookmarkStart w:id="115" w:name="_Toc144302619"/>
      <w:r w:rsidRPr="00E0365C">
        <w:lastRenderedPageBreak/>
        <w:t>Appendix D</w:t>
      </w:r>
      <w:r w:rsidR="00D20C13" w:rsidRPr="00E0365C">
        <w:t>: Compliance</w:t>
      </w:r>
      <w:bookmarkEnd w:id="115"/>
    </w:p>
    <w:p w14:paraId="2F3BD202" w14:textId="77777777" w:rsidR="00EA458C" w:rsidRDefault="00EA458C" w:rsidP="00C0412B">
      <w:r>
        <w:t xml:space="preserve">This Plan has been prepared in </w:t>
      </w:r>
      <w:r w:rsidRPr="00C0412B">
        <w:t>accordance</w:t>
      </w:r>
      <w:r>
        <w:t xml:space="preserve"> with the requirements and guidance of:</w:t>
      </w:r>
    </w:p>
    <w:p w14:paraId="24F47510" w14:textId="77777777" w:rsidR="00EA458C" w:rsidRPr="00C0412B" w:rsidRDefault="00EA458C" w:rsidP="00C0412B">
      <w:pPr>
        <w:pStyle w:val="Bullet1"/>
      </w:pPr>
      <w:r>
        <w:t>subsection 35(1</w:t>
      </w:r>
      <w:r w:rsidRPr="00C0412B">
        <w:t>) of the PGPA Act</w:t>
      </w:r>
    </w:p>
    <w:p w14:paraId="513BB496" w14:textId="77777777" w:rsidR="00EA458C" w:rsidRPr="00C0412B" w:rsidRDefault="00EA458C" w:rsidP="00C0412B">
      <w:pPr>
        <w:pStyle w:val="Bullet1"/>
      </w:pPr>
      <w:r w:rsidRPr="00C0412B">
        <w:t>the PGPA Rule</w:t>
      </w:r>
    </w:p>
    <w:p w14:paraId="7A8BCD28" w14:textId="77777777" w:rsidR="00EA458C" w:rsidRPr="00C0412B" w:rsidRDefault="00EA458C" w:rsidP="00C0412B">
      <w:pPr>
        <w:pStyle w:val="Bullet1"/>
      </w:pPr>
      <w:r w:rsidRPr="00C0412B">
        <w:t>Resource Management Guide 132 (Corporate Plans for Commonwealth entities).</w:t>
      </w:r>
    </w:p>
    <w:p w14:paraId="604A8299" w14:textId="77777777" w:rsidR="00EA458C" w:rsidRDefault="00EA458C" w:rsidP="00C0412B">
      <w:pPr>
        <w:pStyle w:val="Bullet1"/>
      </w:pPr>
      <w:r w:rsidRPr="00C0412B">
        <w:t>Regulator Performance</w:t>
      </w:r>
      <w:r>
        <w:t xml:space="preserve"> Guide 2021</w:t>
      </w:r>
    </w:p>
    <w:p w14:paraId="25810638" w14:textId="7EBC150B" w:rsidR="00EA458C" w:rsidRDefault="00EA458C" w:rsidP="005C15E8">
      <w:pPr>
        <w:suppressAutoHyphens w:val="0"/>
        <w:spacing w:before="120" w:after="120" w:line="240" w:lineRule="auto"/>
      </w:pPr>
      <w:r>
        <w:t xml:space="preserve">The table below details the requirements as set </w:t>
      </w:r>
      <w:r w:rsidRPr="00C0412B">
        <w:t>out in the table at subsection 16E(2) of the PGPA Rule, and provides page references for where each</w:t>
      </w:r>
      <w:r>
        <w:t xml:space="preserve"> has been met by the NDIS Commission in this Corporate Plan.</w:t>
      </w:r>
      <w:r w:rsidR="00DF14A8">
        <w:t xml:space="preserve"> </w:t>
      </w:r>
    </w:p>
    <w:tbl>
      <w:tblPr>
        <w:tblStyle w:val="ListTable4-Accent11"/>
        <w:tblW w:w="8789" w:type="dxa"/>
        <w:tblInd w:w="-5"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ayout w:type="fixed"/>
        <w:tblLook w:val="0620" w:firstRow="1" w:lastRow="0" w:firstColumn="0" w:lastColumn="0" w:noHBand="1" w:noVBand="1"/>
      </w:tblPr>
      <w:tblGrid>
        <w:gridCol w:w="6237"/>
        <w:gridCol w:w="2552"/>
      </w:tblGrid>
      <w:tr w:rsidR="00F445AD" w:rsidRPr="00C0412B" w14:paraId="69E6AFAF" w14:textId="77777777" w:rsidTr="004C6DFF">
        <w:trPr>
          <w:cnfStyle w:val="100000000000" w:firstRow="1" w:lastRow="0" w:firstColumn="0" w:lastColumn="0" w:oddVBand="0" w:evenVBand="0" w:oddHBand="0" w:evenHBand="0" w:firstRowFirstColumn="0" w:firstRowLastColumn="0" w:lastRowFirstColumn="0" w:lastRowLastColumn="0"/>
          <w:trHeight w:val="546"/>
        </w:trPr>
        <w:tc>
          <w:tcPr>
            <w:tcW w:w="6237" w:type="dxa"/>
            <w:tcBorders>
              <w:top w:val="none" w:sz="0" w:space="0" w:color="auto"/>
              <w:left w:val="none" w:sz="0" w:space="0" w:color="auto"/>
              <w:bottom w:val="none" w:sz="0" w:space="0" w:color="auto"/>
            </w:tcBorders>
          </w:tcPr>
          <w:p w14:paraId="61D855A1" w14:textId="77777777" w:rsidR="00F445AD" w:rsidRPr="00C0412B" w:rsidRDefault="00F445AD" w:rsidP="005C15E8">
            <w:pPr>
              <w:spacing w:before="120" w:after="120"/>
            </w:pPr>
            <w:r w:rsidRPr="00C0412B">
              <w:t>Requirements</w:t>
            </w:r>
          </w:p>
        </w:tc>
        <w:tc>
          <w:tcPr>
            <w:tcW w:w="2552" w:type="dxa"/>
            <w:tcBorders>
              <w:top w:val="none" w:sz="0" w:space="0" w:color="auto"/>
              <w:bottom w:val="none" w:sz="0" w:space="0" w:color="auto"/>
              <w:right w:val="none" w:sz="0" w:space="0" w:color="auto"/>
            </w:tcBorders>
          </w:tcPr>
          <w:p w14:paraId="4359DFAC" w14:textId="28494771" w:rsidR="00F445AD" w:rsidRPr="00C0412B" w:rsidRDefault="00F445AD" w:rsidP="005C15E8">
            <w:pPr>
              <w:spacing w:before="120" w:after="120"/>
            </w:pPr>
            <w:r w:rsidRPr="00C0412B">
              <w:t>Page(s)</w:t>
            </w:r>
          </w:p>
        </w:tc>
      </w:tr>
      <w:tr w:rsidR="00F445AD" w:rsidRPr="00C0412B" w14:paraId="3A8B44D7" w14:textId="77777777" w:rsidTr="005C15E8">
        <w:trPr>
          <w:trHeight w:val="800"/>
        </w:trPr>
        <w:tc>
          <w:tcPr>
            <w:tcW w:w="6237" w:type="dxa"/>
          </w:tcPr>
          <w:p w14:paraId="51EEC37C" w14:textId="7C4D42FA" w:rsidR="00DB1054" w:rsidRPr="00C0412B" w:rsidRDefault="00B45257" w:rsidP="005C15E8">
            <w:pPr>
              <w:spacing w:before="120" w:after="120"/>
            </w:pPr>
            <w:hyperlink w:anchor="_Introduction" w:tooltip="Introduction" w:history="1">
              <w:r w:rsidR="00DB1054" w:rsidRPr="00C0412B">
                <w:rPr>
                  <w:rStyle w:val="Hyperlink"/>
                </w:rPr>
                <w:t>Introduction</w:t>
              </w:r>
            </w:hyperlink>
          </w:p>
          <w:p w14:paraId="4FCE5000" w14:textId="77777777" w:rsidR="00DB1054" w:rsidRPr="00C0412B" w:rsidRDefault="00DB1054" w:rsidP="005C15E8">
            <w:pPr>
              <w:pStyle w:val="Bullet1"/>
            </w:pPr>
            <w:r w:rsidRPr="00C0412B">
              <w:t>Statement of preparation</w:t>
            </w:r>
          </w:p>
          <w:p w14:paraId="38DFF5AE" w14:textId="77777777" w:rsidR="00DB1054" w:rsidRPr="00C0412B" w:rsidRDefault="00DB1054" w:rsidP="005C15E8">
            <w:pPr>
              <w:pStyle w:val="Bullet1"/>
            </w:pPr>
            <w:r w:rsidRPr="00C0412B">
              <w:t>The reporting period for which the plan is prepared</w:t>
            </w:r>
          </w:p>
          <w:p w14:paraId="02E0DA59" w14:textId="77777777" w:rsidR="00F445AD" w:rsidRPr="00C0412B" w:rsidRDefault="00DB1054" w:rsidP="005C15E8">
            <w:pPr>
              <w:pStyle w:val="Bullet1"/>
            </w:pPr>
            <w:r w:rsidRPr="00C0412B">
              <w:t>The reporting periods covered by the plan</w:t>
            </w:r>
          </w:p>
        </w:tc>
        <w:tc>
          <w:tcPr>
            <w:tcW w:w="2552" w:type="dxa"/>
          </w:tcPr>
          <w:p w14:paraId="07253C69" w14:textId="755B9D1A" w:rsidR="00F445AD" w:rsidRPr="00C0412B" w:rsidRDefault="00B45257" w:rsidP="005C15E8">
            <w:pPr>
              <w:spacing w:before="120" w:after="120"/>
            </w:pPr>
            <w:hyperlink w:anchor="_Introduction" w:tooltip="Introduction page 3" w:history="1">
              <w:r w:rsidR="00A40642" w:rsidRPr="00C0412B">
                <w:rPr>
                  <w:rStyle w:val="Hyperlink"/>
                </w:rPr>
                <w:t>3</w:t>
              </w:r>
            </w:hyperlink>
          </w:p>
        </w:tc>
      </w:tr>
      <w:tr w:rsidR="00F445AD" w:rsidRPr="00C0412B" w14:paraId="1FD841E5" w14:textId="77777777" w:rsidTr="005C15E8">
        <w:trPr>
          <w:trHeight w:val="249"/>
        </w:trPr>
        <w:tc>
          <w:tcPr>
            <w:tcW w:w="6237" w:type="dxa"/>
          </w:tcPr>
          <w:p w14:paraId="0BDCBB86" w14:textId="7F9B07F2" w:rsidR="00F445AD" w:rsidRPr="00C0412B" w:rsidRDefault="00B45257" w:rsidP="005C15E8">
            <w:pPr>
              <w:spacing w:before="120" w:after="120"/>
            </w:pPr>
            <w:hyperlink w:anchor="_Our_purpose" w:tooltip="Our purpose" w:history="1">
              <w:r w:rsidR="00DB1054" w:rsidRPr="00C0412B">
                <w:rPr>
                  <w:rStyle w:val="Hyperlink"/>
                </w:rPr>
                <w:t>Purpose</w:t>
              </w:r>
            </w:hyperlink>
          </w:p>
        </w:tc>
        <w:tc>
          <w:tcPr>
            <w:tcW w:w="2552" w:type="dxa"/>
          </w:tcPr>
          <w:p w14:paraId="2E12BC8D" w14:textId="7CA750AF" w:rsidR="00F445AD" w:rsidRPr="00C0412B" w:rsidRDefault="00B45257" w:rsidP="005C15E8">
            <w:pPr>
              <w:spacing w:before="120" w:after="120"/>
            </w:pPr>
            <w:hyperlink w:anchor="_Our_purpose" w:tooltip="Our purpose, page 7" w:history="1">
              <w:r w:rsidR="003E1AB2" w:rsidRPr="00C0412B">
                <w:rPr>
                  <w:rStyle w:val="Hyperlink"/>
                </w:rPr>
                <w:t>7</w:t>
              </w:r>
            </w:hyperlink>
          </w:p>
        </w:tc>
      </w:tr>
      <w:tr w:rsidR="00F445AD" w:rsidRPr="00C0412B" w14:paraId="5B8980EC" w14:textId="77777777" w:rsidTr="004C6DFF">
        <w:trPr>
          <w:trHeight w:val="389"/>
        </w:trPr>
        <w:tc>
          <w:tcPr>
            <w:tcW w:w="6237" w:type="dxa"/>
          </w:tcPr>
          <w:p w14:paraId="4664AB68" w14:textId="4C33141F" w:rsidR="00F445AD" w:rsidRPr="00C0412B" w:rsidRDefault="00B45257" w:rsidP="005C15E8">
            <w:pPr>
              <w:spacing w:before="120" w:after="120"/>
            </w:pPr>
            <w:hyperlink w:anchor="_Our_priorities_and_1" w:tooltip="Key activities" w:history="1">
              <w:r w:rsidR="00DB1054" w:rsidRPr="00C0412B">
                <w:rPr>
                  <w:rStyle w:val="Hyperlink"/>
                </w:rPr>
                <w:t>Key activities</w:t>
              </w:r>
            </w:hyperlink>
          </w:p>
        </w:tc>
        <w:tc>
          <w:tcPr>
            <w:tcW w:w="2552" w:type="dxa"/>
          </w:tcPr>
          <w:p w14:paraId="1F109DFC" w14:textId="047D9C1B" w:rsidR="00F445AD" w:rsidRPr="00C0412B" w:rsidRDefault="00B45257" w:rsidP="005C15E8">
            <w:pPr>
              <w:spacing w:before="120" w:after="120"/>
            </w:pPr>
            <w:hyperlink w:anchor="_Our_priorities_and_1" w:tooltip="Key activities, pages 15-16" w:history="1">
              <w:r w:rsidR="00E92CC2">
                <w:rPr>
                  <w:rStyle w:val="Hyperlink"/>
                </w:rPr>
                <w:t>11-13</w:t>
              </w:r>
            </w:hyperlink>
          </w:p>
        </w:tc>
      </w:tr>
      <w:tr w:rsidR="00F445AD" w:rsidRPr="00C0412B" w14:paraId="65BEC828" w14:textId="77777777" w:rsidTr="004C6DFF">
        <w:trPr>
          <w:trHeight w:val="1400"/>
        </w:trPr>
        <w:tc>
          <w:tcPr>
            <w:tcW w:w="6237" w:type="dxa"/>
          </w:tcPr>
          <w:p w14:paraId="4523B64D" w14:textId="6C13BA74" w:rsidR="00DB1054" w:rsidRPr="00C0412B" w:rsidRDefault="00B477AF" w:rsidP="005C15E8">
            <w:pPr>
              <w:spacing w:before="120" w:after="120"/>
              <w:rPr>
                <w:rStyle w:val="Hyperlink"/>
              </w:rPr>
            </w:pPr>
            <w:r w:rsidRPr="00C0412B">
              <w:fldChar w:fldCharType="begin"/>
            </w:r>
            <w:r w:rsidR="00E92CC2">
              <w:instrText>HYPERLINK  \l "_Our_operating_context_1"</w:instrText>
            </w:r>
            <w:r w:rsidRPr="00C0412B">
              <w:fldChar w:fldCharType="separate"/>
            </w:r>
            <w:r w:rsidR="00DB1054" w:rsidRPr="00C0412B">
              <w:rPr>
                <w:rStyle w:val="Hyperlink"/>
              </w:rPr>
              <w:t>Operating context</w:t>
            </w:r>
          </w:p>
          <w:p w14:paraId="06157647" w14:textId="067AC550" w:rsidR="00DB1054" w:rsidRPr="00C0412B" w:rsidRDefault="00B477AF" w:rsidP="005C15E8">
            <w:pPr>
              <w:pStyle w:val="Bullet1"/>
            </w:pPr>
            <w:r w:rsidRPr="00C0412B">
              <w:fldChar w:fldCharType="end"/>
            </w:r>
            <w:r w:rsidR="00DB1054" w:rsidRPr="00C0412B">
              <w:t>Environment</w:t>
            </w:r>
          </w:p>
          <w:p w14:paraId="00672E28" w14:textId="77777777" w:rsidR="00DB1054" w:rsidRPr="00C0412B" w:rsidRDefault="00DB1054" w:rsidP="005C15E8">
            <w:pPr>
              <w:pStyle w:val="Bullet1"/>
            </w:pPr>
            <w:r w:rsidRPr="00C0412B">
              <w:t>Capability</w:t>
            </w:r>
          </w:p>
          <w:p w14:paraId="645C790D" w14:textId="17CBF520" w:rsidR="00DB1054" w:rsidRPr="00C0412B" w:rsidRDefault="00DB1054" w:rsidP="005C15E8">
            <w:pPr>
              <w:pStyle w:val="Bullet1"/>
            </w:pPr>
            <w:r w:rsidRPr="00C0412B">
              <w:t>Co</w:t>
            </w:r>
            <w:r w:rsidR="00E0365C" w:rsidRPr="00C0412B">
              <w:t>llaboration</w:t>
            </w:r>
          </w:p>
          <w:p w14:paraId="4A9CD22D" w14:textId="240BA93B" w:rsidR="00F445AD" w:rsidRPr="00C0412B" w:rsidRDefault="004E1C8E" w:rsidP="005C15E8">
            <w:pPr>
              <w:pStyle w:val="Bullet1"/>
            </w:pPr>
            <w:r w:rsidRPr="00C0412B">
              <w:t xml:space="preserve">Risk </w:t>
            </w:r>
            <w:r w:rsidR="00E0365C" w:rsidRPr="00C0412B">
              <w:t>M</w:t>
            </w:r>
            <w:r w:rsidRPr="00C0412B">
              <w:t>anagement</w:t>
            </w:r>
          </w:p>
        </w:tc>
        <w:tc>
          <w:tcPr>
            <w:tcW w:w="2552" w:type="dxa"/>
          </w:tcPr>
          <w:p w14:paraId="7D37EE52" w14:textId="797ECBC2" w:rsidR="00F445AD" w:rsidRPr="00C0412B" w:rsidRDefault="00B45257" w:rsidP="005C15E8">
            <w:pPr>
              <w:spacing w:before="120" w:after="120"/>
            </w:pPr>
            <w:hyperlink w:anchor="_Our_operating_context_1" w:history="1">
              <w:r w:rsidR="00E92CC2">
                <w:rPr>
                  <w:rStyle w:val="Hyperlink"/>
                </w:rPr>
                <w:t>14-22</w:t>
              </w:r>
            </w:hyperlink>
          </w:p>
        </w:tc>
      </w:tr>
      <w:tr w:rsidR="00F445AD" w:rsidRPr="00C0412B" w14:paraId="3281F003" w14:textId="77777777" w:rsidTr="004C6DFF">
        <w:trPr>
          <w:trHeight w:val="1178"/>
        </w:trPr>
        <w:tc>
          <w:tcPr>
            <w:tcW w:w="6237" w:type="dxa"/>
          </w:tcPr>
          <w:p w14:paraId="798EC79E" w14:textId="382C9437" w:rsidR="004C6DFF" w:rsidRPr="00C0412B" w:rsidRDefault="00B45257" w:rsidP="005C15E8">
            <w:pPr>
              <w:spacing w:before="120" w:after="120"/>
            </w:pPr>
            <w:hyperlink w:anchor="_Performance_1" w:tooltip="Performance " w:history="1">
              <w:r w:rsidR="004C6DFF" w:rsidRPr="00C0412B">
                <w:rPr>
                  <w:rStyle w:val="Hyperlink"/>
                </w:rPr>
                <w:t xml:space="preserve">Performance </w:t>
              </w:r>
            </w:hyperlink>
          </w:p>
          <w:p w14:paraId="758D0316" w14:textId="77777777" w:rsidR="004C6DFF" w:rsidRPr="00C0412B" w:rsidRDefault="004C6DFF" w:rsidP="005C15E8">
            <w:pPr>
              <w:pStyle w:val="Bullet1"/>
            </w:pPr>
            <w:r w:rsidRPr="00C0412B">
              <w:t xml:space="preserve">Performance measures </w:t>
            </w:r>
          </w:p>
          <w:p w14:paraId="7420B7F4" w14:textId="3DBC6B96" w:rsidR="00F445AD" w:rsidRPr="00C0412B" w:rsidRDefault="004C6DFF" w:rsidP="005C15E8">
            <w:pPr>
              <w:pStyle w:val="Bullet1"/>
            </w:pPr>
            <w:r w:rsidRPr="00C0412B">
              <w:t>Targets for each performance measures (if reasonably practicable to set a target)</w:t>
            </w:r>
          </w:p>
        </w:tc>
        <w:tc>
          <w:tcPr>
            <w:tcW w:w="2552" w:type="dxa"/>
          </w:tcPr>
          <w:p w14:paraId="263DF8E3" w14:textId="3C14C5F5" w:rsidR="00F445AD" w:rsidRPr="00C0412B" w:rsidRDefault="00B45257" w:rsidP="005C15E8">
            <w:pPr>
              <w:spacing w:before="120" w:after="120"/>
            </w:pPr>
            <w:hyperlink w:anchor="_Performance_1" w:history="1">
              <w:r w:rsidR="003E1AB2" w:rsidRPr="00C0412B">
                <w:rPr>
                  <w:rStyle w:val="Hyperlink"/>
                </w:rPr>
                <w:t>2</w:t>
              </w:r>
              <w:r w:rsidR="00E92CC2">
                <w:rPr>
                  <w:rStyle w:val="Hyperlink"/>
                </w:rPr>
                <w:t>3-26</w:t>
              </w:r>
            </w:hyperlink>
          </w:p>
        </w:tc>
      </w:tr>
    </w:tbl>
    <w:p w14:paraId="0BCDC74E" w14:textId="77777777" w:rsidR="00DB1054" w:rsidRDefault="00DB1054">
      <w:pPr>
        <w:suppressAutoHyphens w:val="0"/>
        <w:spacing w:before="120" w:after="120" w:line="240" w:lineRule="auto"/>
      </w:pPr>
      <w:r>
        <w:br w:type="page"/>
      </w:r>
    </w:p>
    <w:p w14:paraId="7063AA17" w14:textId="77777777" w:rsidR="00EA458C" w:rsidRDefault="00EA458C" w:rsidP="00DB1054">
      <w:pPr>
        <w:pStyle w:val="Heading1"/>
      </w:pPr>
      <w:bookmarkStart w:id="116" w:name="_Toc144222455"/>
      <w:bookmarkStart w:id="117" w:name="_Toc144287963"/>
      <w:bookmarkStart w:id="118" w:name="_Toc144302620"/>
      <w:r>
        <w:lastRenderedPageBreak/>
        <w:t>Glossary</w:t>
      </w:r>
      <w:bookmarkEnd w:id="116"/>
      <w:bookmarkEnd w:id="117"/>
      <w:bookmarkEnd w:id="118"/>
    </w:p>
    <w:tbl>
      <w:tblPr>
        <w:tblStyle w:val="ListTable4-Accent11"/>
        <w:tblW w:w="8898" w:type="dxa"/>
        <w:tblInd w:w="-5" w:type="dxa"/>
        <w:tblBorders>
          <w:top w:val="none" w:sz="0" w:space="0" w:color="auto"/>
          <w:left w:val="none" w:sz="0" w:space="0" w:color="auto"/>
          <w:bottom w:val="single" w:sz="4" w:space="0" w:color="5F2E74" w:themeColor="text2"/>
          <w:right w:val="none" w:sz="0" w:space="0" w:color="auto"/>
          <w:insideH w:val="single" w:sz="4" w:space="0" w:color="5F2E74" w:themeColor="text2"/>
        </w:tblBorders>
        <w:tblLayout w:type="fixed"/>
        <w:tblLook w:val="0620" w:firstRow="1" w:lastRow="0" w:firstColumn="0" w:lastColumn="0" w:noHBand="1" w:noVBand="1"/>
      </w:tblPr>
      <w:tblGrid>
        <w:gridCol w:w="2520"/>
        <w:gridCol w:w="6378"/>
      </w:tblGrid>
      <w:tr w:rsidR="00B14FC8" w:rsidRPr="004C6DFF" w14:paraId="0BBD2028" w14:textId="77777777" w:rsidTr="005C15E8">
        <w:trPr>
          <w:cnfStyle w:val="100000000000" w:firstRow="1" w:lastRow="0" w:firstColumn="0" w:lastColumn="0" w:oddVBand="0" w:evenVBand="0" w:oddHBand="0" w:evenHBand="0" w:firstRowFirstColumn="0" w:firstRowLastColumn="0" w:lastRowFirstColumn="0" w:lastRowLastColumn="0"/>
        </w:trPr>
        <w:tc>
          <w:tcPr>
            <w:tcW w:w="2520" w:type="dxa"/>
            <w:tcBorders>
              <w:top w:val="none" w:sz="0" w:space="0" w:color="auto"/>
              <w:left w:val="none" w:sz="0" w:space="0" w:color="auto"/>
              <w:bottom w:val="none" w:sz="0" w:space="0" w:color="auto"/>
            </w:tcBorders>
          </w:tcPr>
          <w:p w14:paraId="06044F27" w14:textId="77777777" w:rsidR="00B14FC8" w:rsidRPr="004C6DFF" w:rsidRDefault="00B14FC8" w:rsidP="005C15E8">
            <w:pPr>
              <w:spacing w:before="120" w:after="120"/>
            </w:pPr>
            <w:bookmarkStart w:id="119" w:name="ColumnTitle_15"/>
            <w:r w:rsidRPr="004C6DFF">
              <w:t>Term</w:t>
            </w:r>
          </w:p>
        </w:tc>
        <w:tc>
          <w:tcPr>
            <w:tcW w:w="6378" w:type="dxa"/>
            <w:tcBorders>
              <w:top w:val="none" w:sz="0" w:space="0" w:color="auto"/>
              <w:bottom w:val="none" w:sz="0" w:space="0" w:color="auto"/>
              <w:right w:val="none" w:sz="0" w:space="0" w:color="auto"/>
            </w:tcBorders>
          </w:tcPr>
          <w:p w14:paraId="6E5D48C2" w14:textId="77777777" w:rsidR="00B14FC8" w:rsidRPr="004C6DFF" w:rsidRDefault="00B14FC8" w:rsidP="005C15E8">
            <w:pPr>
              <w:spacing w:before="120" w:after="120"/>
            </w:pPr>
            <w:r w:rsidRPr="004C6DFF">
              <w:t>Definition</w:t>
            </w:r>
          </w:p>
        </w:tc>
      </w:tr>
      <w:bookmarkEnd w:id="119"/>
      <w:tr w:rsidR="00B14FC8" w:rsidRPr="004C6DFF" w14:paraId="4AE0D31C" w14:textId="77777777" w:rsidTr="005C15E8">
        <w:tc>
          <w:tcPr>
            <w:tcW w:w="2520" w:type="dxa"/>
          </w:tcPr>
          <w:p w14:paraId="718764BD" w14:textId="77777777" w:rsidR="00B14FC8" w:rsidRPr="004C6DFF" w:rsidRDefault="00B14FC8" w:rsidP="005C15E8">
            <w:pPr>
              <w:spacing w:before="120" w:after="120"/>
            </w:pPr>
            <w:r w:rsidRPr="004C6DFF">
              <w:t>Agency</w:t>
            </w:r>
          </w:p>
        </w:tc>
        <w:tc>
          <w:tcPr>
            <w:tcW w:w="6378" w:type="dxa"/>
          </w:tcPr>
          <w:p w14:paraId="72308810" w14:textId="1F2970B0" w:rsidR="00B14FC8" w:rsidRPr="004C6DFF" w:rsidRDefault="00B14FC8" w:rsidP="005C15E8">
            <w:pPr>
              <w:spacing w:before="120" w:after="120"/>
            </w:pPr>
            <w:r w:rsidRPr="004C6DFF">
              <w:t>The National Disability Insurance Agency (NDIA)</w:t>
            </w:r>
          </w:p>
        </w:tc>
      </w:tr>
      <w:tr w:rsidR="008846F9" w:rsidRPr="004C6DFF" w14:paraId="395C195C" w14:textId="77777777" w:rsidTr="005C15E8">
        <w:tc>
          <w:tcPr>
            <w:tcW w:w="2520" w:type="dxa"/>
          </w:tcPr>
          <w:p w14:paraId="2E0FB868" w14:textId="77777777" w:rsidR="008846F9" w:rsidRPr="004C6DFF" w:rsidRDefault="008846F9" w:rsidP="005C15E8">
            <w:pPr>
              <w:spacing w:before="120" w:after="120"/>
            </w:pPr>
            <w:r w:rsidRPr="004C6DFF">
              <w:t>Board</w:t>
            </w:r>
          </w:p>
        </w:tc>
        <w:tc>
          <w:tcPr>
            <w:tcW w:w="6378" w:type="dxa"/>
          </w:tcPr>
          <w:p w14:paraId="2C224274" w14:textId="13D4CE0E" w:rsidR="008846F9" w:rsidRPr="004C6DFF" w:rsidRDefault="008846F9" w:rsidP="005C15E8">
            <w:pPr>
              <w:spacing w:before="120" w:after="120"/>
            </w:pPr>
            <w:r w:rsidRPr="004C6DFF">
              <w:t>The Board of the National Disability Insurance Agency (NDIA)</w:t>
            </w:r>
          </w:p>
        </w:tc>
      </w:tr>
      <w:tr w:rsidR="008846F9" w:rsidRPr="004C6DFF" w14:paraId="5527B40B" w14:textId="77777777" w:rsidTr="005C15E8">
        <w:tc>
          <w:tcPr>
            <w:tcW w:w="2520" w:type="dxa"/>
          </w:tcPr>
          <w:p w14:paraId="1D45A143" w14:textId="77777777" w:rsidR="008846F9" w:rsidRPr="004C6DFF" w:rsidRDefault="008846F9" w:rsidP="005C15E8">
            <w:pPr>
              <w:spacing w:before="120" w:after="120"/>
            </w:pPr>
            <w:r w:rsidRPr="004C6DFF">
              <w:t>Commissioner</w:t>
            </w:r>
          </w:p>
        </w:tc>
        <w:tc>
          <w:tcPr>
            <w:tcW w:w="6378" w:type="dxa"/>
          </w:tcPr>
          <w:p w14:paraId="13483BB8" w14:textId="7821C65B" w:rsidR="008846F9" w:rsidRPr="004C6DFF" w:rsidRDefault="008846F9" w:rsidP="005C15E8">
            <w:pPr>
              <w:spacing w:before="120" w:after="120"/>
            </w:pPr>
            <w:r w:rsidRPr="004C6DFF">
              <w:t>The NDIS Quality and Safeguards Commissioner</w:t>
            </w:r>
          </w:p>
        </w:tc>
      </w:tr>
      <w:tr w:rsidR="008846F9" w:rsidRPr="004C6DFF" w14:paraId="7D026575" w14:textId="77777777" w:rsidTr="005C15E8">
        <w:tc>
          <w:tcPr>
            <w:tcW w:w="2520" w:type="dxa"/>
          </w:tcPr>
          <w:p w14:paraId="083B88D5" w14:textId="77072820" w:rsidR="008846F9" w:rsidRPr="004C6DFF" w:rsidRDefault="008846F9" w:rsidP="005C15E8">
            <w:pPr>
              <w:spacing w:before="120" w:after="120"/>
            </w:pPr>
            <w:r w:rsidRPr="004C6DFF">
              <w:t>Disability Royal Commission</w:t>
            </w:r>
          </w:p>
        </w:tc>
        <w:tc>
          <w:tcPr>
            <w:tcW w:w="6378" w:type="dxa"/>
          </w:tcPr>
          <w:p w14:paraId="6EFD0DAC" w14:textId="689B419E" w:rsidR="008846F9" w:rsidRPr="004C6DFF" w:rsidRDefault="008846F9" w:rsidP="005C15E8">
            <w:pPr>
              <w:spacing w:before="120" w:after="120"/>
            </w:pPr>
            <w:r w:rsidRPr="004C6DFF">
              <w:t>The Royal Commission into Violence, Abuse, Neglect and Exploitation of People with Disability</w:t>
            </w:r>
          </w:p>
        </w:tc>
      </w:tr>
      <w:tr w:rsidR="008846F9" w:rsidRPr="004C6DFF" w14:paraId="2EC1C785" w14:textId="77777777" w:rsidTr="005C15E8">
        <w:tc>
          <w:tcPr>
            <w:tcW w:w="2520" w:type="dxa"/>
          </w:tcPr>
          <w:p w14:paraId="1D00E79F" w14:textId="307F5D9A" w:rsidR="008846F9" w:rsidRPr="004C6DFF" w:rsidRDefault="008846F9" w:rsidP="005C15E8">
            <w:pPr>
              <w:spacing w:before="120" w:after="120"/>
            </w:pPr>
            <w:r w:rsidRPr="004C6DFF">
              <w:t>Disability Sector Consultative Committee</w:t>
            </w:r>
          </w:p>
        </w:tc>
        <w:tc>
          <w:tcPr>
            <w:tcW w:w="6378" w:type="dxa"/>
          </w:tcPr>
          <w:p w14:paraId="46C28053" w14:textId="2136B8A9" w:rsidR="008846F9" w:rsidRPr="004C6DFF" w:rsidRDefault="008846F9" w:rsidP="005C15E8">
            <w:pPr>
              <w:spacing w:before="120" w:after="120"/>
            </w:pPr>
            <w:r w:rsidRPr="004C6DFF">
              <w:t>Brings together key stakeholders from the disability sector to represent the interests, and encompass the different perspectives, of NDIS participants and their support networks where they exist</w:t>
            </w:r>
          </w:p>
        </w:tc>
      </w:tr>
      <w:tr w:rsidR="00470E23" w:rsidRPr="004C6DFF" w14:paraId="7065B0FE" w14:textId="77777777" w:rsidTr="005C15E8">
        <w:tc>
          <w:tcPr>
            <w:tcW w:w="2520" w:type="dxa"/>
          </w:tcPr>
          <w:p w14:paraId="5E6FAB3F" w14:textId="7F8B7F06" w:rsidR="00470E23" w:rsidRPr="004C6DFF" w:rsidRDefault="00470E23" w:rsidP="005C15E8">
            <w:pPr>
              <w:spacing w:before="120" w:after="120"/>
            </w:pPr>
            <w:r w:rsidRPr="004C6DFF">
              <w:t>NDIS</w:t>
            </w:r>
          </w:p>
        </w:tc>
        <w:tc>
          <w:tcPr>
            <w:tcW w:w="6378" w:type="dxa"/>
          </w:tcPr>
          <w:p w14:paraId="7D097F4D" w14:textId="68BE5877" w:rsidR="00470E23" w:rsidRPr="004C6DFF" w:rsidRDefault="00470E23" w:rsidP="005C15E8">
            <w:pPr>
              <w:spacing w:before="120" w:after="120"/>
            </w:pPr>
            <w:r w:rsidRPr="004C6DFF">
              <w:t>The National Disability Insurance Scheme</w:t>
            </w:r>
          </w:p>
        </w:tc>
      </w:tr>
      <w:tr w:rsidR="008846F9" w:rsidRPr="004C6DFF" w14:paraId="182082C2" w14:textId="77777777" w:rsidTr="005C15E8">
        <w:tc>
          <w:tcPr>
            <w:tcW w:w="2520" w:type="dxa"/>
          </w:tcPr>
          <w:p w14:paraId="6F32FEA8" w14:textId="77777777" w:rsidR="008846F9" w:rsidRPr="004C6DFF" w:rsidRDefault="008846F9" w:rsidP="005C15E8">
            <w:pPr>
              <w:spacing w:before="120" w:after="120"/>
            </w:pPr>
            <w:r w:rsidRPr="004C6DFF">
              <w:t>NDIS Act</w:t>
            </w:r>
          </w:p>
        </w:tc>
        <w:tc>
          <w:tcPr>
            <w:tcW w:w="6378" w:type="dxa"/>
          </w:tcPr>
          <w:p w14:paraId="12606C1E" w14:textId="579B1214" w:rsidR="008846F9" w:rsidRPr="003628CB" w:rsidRDefault="008846F9" w:rsidP="005C15E8">
            <w:pPr>
              <w:spacing w:before="120" w:after="120"/>
              <w:rPr>
                <w:i/>
                <w:iCs/>
              </w:rPr>
            </w:pPr>
            <w:r w:rsidRPr="003628CB">
              <w:rPr>
                <w:i/>
                <w:iCs/>
              </w:rPr>
              <w:t xml:space="preserve">The National Disability Insurance Scheme Act 2013 </w:t>
            </w:r>
          </w:p>
        </w:tc>
      </w:tr>
      <w:tr w:rsidR="008846F9" w:rsidRPr="004C6DFF" w14:paraId="1F3F9AA1" w14:textId="77777777" w:rsidTr="005C15E8">
        <w:tc>
          <w:tcPr>
            <w:tcW w:w="2520" w:type="dxa"/>
          </w:tcPr>
          <w:p w14:paraId="3245075F" w14:textId="79ABBBA6" w:rsidR="008846F9" w:rsidRPr="004C6DFF" w:rsidRDefault="008846F9" w:rsidP="005C15E8">
            <w:pPr>
              <w:spacing w:before="120" w:after="120"/>
            </w:pPr>
            <w:r w:rsidRPr="004C6DFF">
              <w:t xml:space="preserve">NDIS Commission </w:t>
            </w:r>
          </w:p>
        </w:tc>
        <w:tc>
          <w:tcPr>
            <w:tcW w:w="6378" w:type="dxa"/>
          </w:tcPr>
          <w:p w14:paraId="1D389883" w14:textId="77777777" w:rsidR="008846F9" w:rsidRPr="004C6DFF" w:rsidRDefault="008846F9" w:rsidP="005C15E8">
            <w:pPr>
              <w:spacing w:before="120" w:after="120"/>
            </w:pPr>
            <w:r w:rsidRPr="004C6DFF">
              <w:t>The NDIS Quality and Safeguards Commission</w:t>
            </w:r>
          </w:p>
        </w:tc>
      </w:tr>
      <w:tr w:rsidR="008846F9" w:rsidRPr="004C6DFF" w14:paraId="3183170C" w14:textId="77777777" w:rsidTr="005C15E8">
        <w:tc>
          <w:tcPr>
            <w:tcW w:w="2520" w:type="dxa"/>
          </w:tcPr>
          <w:p w14:paraId="3CC97FE4" w14:textId="65F1B8D0" w:rsidR="008846F9" w:rsidRPr="004C6DFF" w:rsidRDefault="008846F9" w:rsidP="005C15E8">
            <w:pPr>
              <w:spacing w:before="120" w:after="120"/>
            </w:pPr>
            <w:r w:rsidRPr="004C6DFF">
              <w:t>NDIS Code of Conduct</w:t>
            </w:r>
          </w:p>
        </w:tc>
        <w:tc>
          <w:tcPr>
            <w:tcW w:w="6378" w:type="dxa"/>
          </w:tcPr>
          <w:p w14:paraId="193C1876" w14:textId="79D51770" w:rsidR="008846F9" w:rsidRPr="004C6DFF" w:rsidRDefault="008846F9" w:rsidP="005C15E8">
            <w:pPr>
              <w:spacing w:before="120" w:after="120"/>
            </w:pPr>
            <w:r w:rsidRPr="004C6DFF">
              <w:t>Promotes safe and ethical service delivery by setting out expectations for the conduct of both NDIS providers and workers</w:t>
            </w:r>
          </w:p>
        </w:tc>
      </w:tr>
      <w:tr w:rsidR="008846F9" w:rsidRPr="004C6DFF" w14:paraId="0A010FFF" w14:textId="77777777" w:rsidTr="005C15E8">
        <w:tc>
          <w:tcPr>
            <w:tcW w:w="2520" w:type="dxa"/>
          </w:tcPr>
          <w:p w14:paraId="3C9213B8" w14:textId="7B68F9DB" w:rsidR="008846F9" w:rsidRPr="004C6DFF" w:rsidRDefault="008846F9" w:rsidP="005C15E8">
            <w:pPr>
              <w:spacing w:before="120" w:after="120"/>
            </w:pPr>
            <w:r w:rsidRPr="004C6DFF">
              <w:t>NDIS Practice Standards</w:t>
            </w:r>
          </w:p>
        </w:tc>
        <w:tc>
          <w:tcPr>
            <w:tcW w:w="6378" w:type="dxa"/>
          </w:tcPr>
          <w:p w14:paraId="4B0B4273" w14:textId="05464498" w:rsidR="008846F9" w:rsidRPr="004C6DFF" w:rsidRDefault="008846F9" w:rsidP="005C15E8">
            <w:pPr>
              <w:spacing w:before="120" w:after="120"/>
            </w:pPr>
            <w:r w:rsidRPr="004C6DFF">
              <w:t>Specify the quality standards registered NDIS providers must meet to provide supports and services to NDIS participants. They also build NDIS participants’ awareness of what quality service provision they should expect from registered NDIS providers</w:t>
            </w:r>
          </w:p>
        </w:tc>
      </w:tr>
      <w:tr w:rsidR="008846F9" w:rsidRPr="004C6DFF" w14:paraId="7F3AE0DA" w14:textId="77777777" w:rsidTr="005C15E8">
        <w:tc>
          <w:tcPr>
            <w:tcW w:w="2520" w:type="dxa"/>
          </w:tcPr>
          <w:p w14:paraId="541C889F" w14:textId="02CD4C6A" w:rsidR="008846F9" w:rsidRPr="004C6DFF" w:rsidRDefault="008846F9" w:rsidP="005C15E8">
            <w:pPr>
              <w:spacing w:before="120" w:after="120"/>
            </w:pPr>
            <w:r w:rsidRPr="004C6DFF">
              <w:t>NDIS provider, or provider</w:t>
            </w:r>
          </w:p>
        </w:tc>
        <w:tc>
          <w:tcPr>
            <w:tcW w:w="6378" w:type="dxa"/>
          </w:tcPr>
          <w:p w14:paraId="65B22B7A" w14:textId="18F92E9D" w:rsidR="008846F9" w:rsidRPr="004C6DFF" w:rsidRDefault="008846F9" w:rsidP="005C15E8">
            <w:pPr>
              <w:spacing w:before="120" w:after="120"/>
            </w:pPr>
            <w:r w:rsidRPr="004C6DFF">
              <w:t>A person or legal entity who is an NDIS provider as defined in the NDIS Act</w:t>
            </w:r>
          </w:p>
        </w:tc>
      </w:tr>
      <w:tr w:rsidR="008846F9" w:rsidRPr="004C6DFF" w14:paraId="7E97F9A1" w14:textId="77777777" w:rsidTr="005C15E8">
        <w:tc>
          <w:tcPr>
            <w:tcW w:w="2520" w:type="dxa"/>
          </w:tcPr>
          <w:p w14:paraId="661BDF70" w14:textId="77777777" w:rsidR="008846F9" w:rsidRPr="004C6DFF" w:rsidRDefault="008846F9" w:rsidP="005C15E8">
            <w:pPr>
              <w:spacing w:before="120" w:after="120"/>
            </w:pPr>
            <w:r w:rsidRPr="004C6DFF">
              <w:t>NDIS Provider Register</w:t>
            </w:r>
          </w:p>
        </w:tc>
        <w:tc>
          <w:tcPr>
            <w:tcW w:w="6378" w:type="dxa"/>
          </w:tcPr>
          <w:p w14:paraId="5657BA6E" w14:textId="77777777" w:rsidR="008846F9" w:rsidRPr="004C6DFF" w:rsidRDefault="008846F9" w:rsidP="005C15E8">
            <w:pPr>
              <w:spacing w:before="120" w:after="120"/>
            </w:pPr>
            <w:r w:rsidRPr="004C6DFF">
              <w:t>The register maintained under section 73ZS of the NDIS Act</w:t>
            </w:r>
          </w:p>
        </w:tc>
      </w:tr>
      <w:tr w:rsidR="008846F9" w:rsidRPr="004C6DFF" w14:paraId="37267ADD" w14:textId="77777777" w:rsidTr="005C15E8">
        <w:tc>
          <w:tcPr>
            <w:tcW w:w="2520" w:type="dxa"/>
          </w:tcPr>
          <w:p w14:paraId="2750965E" w14:textId="77777777" w:rsidR="008846F9" w:rsidRPr="004C6DFF" w:rsidRDefault="008846F9" w:rsidP="005C15E8">
            <w:pPr>
              <w:spacing w:before="120" w:after="120"/>
            </w:pPr>
            <w:r w:rsidRPr="004C6DFF">
              <w:t>NDIS Worker Screening Check</w:t>
            </w:r>
          </w:p>
        </w:tc>
        <w:tc>
          <w:tcPr>
            <w:tcW w:w="6378" w:type="dxa"/>
          </w:tcPr>
          <w:p w14:paraId="59A557CF" w14:textId="55C68EA9" w:rsidR="008846F9" w:rsidRPr="004C6DFF" w:rsidRDefault="008846F9" w:rsidP="005C15E8">
            <w:pPr>
              <w:spacing w:before="120" w:after="120"/>
            </w:pPr>
            <w:r w:rsidRPr="004C6DFF">
              <w:t>The NDIS Worker Screening Check is an assessment that determines whether a person who works, or seeks to work, with people with disability poses a risk to them. Workers are either cleared or excluded from working in certain roles with people with disability. Worker screening units conduct the checks under state</w:t>
            </w:r>
            <w:r w:rsidR="00470E23" w:rsidRPr="004C6DFF">
              <w:t xml:space="preserve"> and </w:t>
            </w:r>
            <w:r w:rsidRPr="004C6DFF">
              <w:t>territory law. The units are contained within state or territory government departments</w:t>
            </w:r>
            <w:r w:rsidR="00470E23" w:rsidRPr="004C6DFF">
              <w:t xml:space="preserve"> or </w:t>
            </w:r>
            <w:r w:rsidRPr="004C6DFF">
              <w:t>authorities</w:t>
            </w:r>
          </w:p>
        </w:tc>
      </w:tr>
      <w:tr w:rsidR="008846F9" w:rsidRPr="004C6DFF" w14:paraId="2BCAE007" w14:textId="77777777" w:rsidTr="005C15E8">
        <w:tc>
          <w:tcPr>
            <w:tcW w:w="2520" w:type="dxa"/>
          </w:tcPr>
          <w:p w14:paraId="5A4441E1" w14:textId="77777777" w:rsidR="008846F9" w:rsidRPr="004C6DFF" w:rsidRDefault="008846F9" w:rsidP="005C15E8">
            <w:pPr>
              <w:spacing w:before="120" w:after="120"/>
            </w:pPr>
            <w:r w:rsidRPr="004C6DFF">
              <w:t>NDIS Worker Screening Database</w:t>
            </w:r>
          </w:p>
        </w:tc>
        <w:tc>
          <w:tcPr>
            <w:tcW w:w="6378" w:type="dxa"/>
          </w:tcPr>
          <w:p w14:paraId="07A04D87" w14:textId="77777777" w:rsidR="008846F9" w:rsidRPr="004C6DFF" w:rsidRDefault="008846F9" w:rsidP="005C15E8">
            <w:pPr>
              <w:spacing w:before="120" w:after="120"/>
            </w:pPr>
            <w:r w:rsidRPr="004C6DFF">
              <w:t>A register of NDIS workers from all states and territories who have undertaken the NDIS Worker Screening Check: it shows their cleared or excluded status</w:t>
            </w:r>
          </w:p>
        </w:tc>
      </w:tr>
      <w:tr w:rsidR="008846F9" w:rsidRPr="004C6DFF" w14:paraId="7AD354EB" w14:textId="77777777" w:rsidTr="005C15E8">
        <w:tc>
          <w:tcPr>
            <w:tcW w:w="2520" w:type="dxa"/>
          </w:tcPr>
          <w:p w14:paraId="210137EC" w14:textId="77777777" w:rsidR="008846F9" w:rsidRPr="004C6DFF" w:rsidRDefault="008846F9" w:rsidP="005C15E8">
            <w:pPr>
              <w:spacing w:before="120" w:after="120"/>
            </w:pPr>
            <w:r w:rsidRPr="004C6DFF">
              <w:t>Participant or NDIS participant</w:t>
            </w:r>
          </w:p>
        </w:tc>
        <w:tc>
          <w:tcPr>
            <w:tcW w:w="6378" w:type="dxa"/>
          </w:tcPr>
          <w:p w14:paraId="46CB283C" w14:textId="77777777" w:rsidR="008846F9" w:rsidRPr="004C6DFF" w:rsidRDefault="008846F9" w:rsidP="005C15E8">
            <w:pPr>
              <w:spacing w:before="120" w:after="120"/>
            </w:pPr>
            <w:r w:rsidRPr="004C6DFF">
              <w:t>A person who is a participant in the NDIS as defined in the NDIS Act, sections 28–30</w:t>
            </w:r>
          </w:p>
        </w:tc>
      </w:tr>
      <w:tr w:rsidR="008846F9" w:rsidRPr="004C6DFF" w14:paraId="7D2840A3" w14:textId="77777777" w:rsidTr="005C15E8">
        <w:tc>
          <w:tcPr>
            <w:tcW w:w="2520" w:type="dxa"/>
          </w:tcPr>
          <w:p w14:paraId="1D3E1709" w14:textId="6904EB74" w:rsidR="008846F9" w:rsidRPr="004C6DFF" w:rsidRDefault="008846F9" w:rsidP="005C15E8">
            <w:pPr>
              <w:spacing w:before="120" w:after="120"/>
            </w:pPr>
            <w:r w:rsidRPr="004C6DFF">
              <w:lastRenderedPageBreak/>
              <w:t>PGPA Act</w:t>
            </w:r>
          </w:p>
        </w:tc>
        <w:tc>
          <w:tcPr>
            <w:tcW w:w="6378" w:type="dxa"/>
          </w:tcPr>
          <w:p w14:paraId="720677A1" w14:textId="7CC9B6D9" w:rsidR="008846F9" w:rsidRPr="004C6DFF" w:rsidRDefault="008846F9" w:rsidP="005C15E8">
            <w:pPr>
              <w:spacing w:before="120" w:after="120"/>
            </w:pPr>
            <w:r w:rsidRPr="004C6DFF">
              <w:t xml:space="preserve">The </w:t>
            </w:r>
            <w:r w:rsidRPr="003628CB">
              <w:rPr>
                <w:i/>
                <w:iCs/>
              </w:rPr>
              <w:t>Public Governance, Performance and Accountability Act 2013</w:t>
            </w:r>
            <w:r w:rsidRPr="004C6DFF">
              <w:t xml:space="preserve"> applies to all officials of Commonwealth entities and establishes rules for financial management as well as the broader governance, performance and accountability for the Commonwealth public sector</w:t>
            </w:r>
          </w:p>
        </w:tc>
      </w:tr>
      <w:tr w:rsidR="008846F9" w:rsidRPr="004C6DFF" w14:paraId="41E73051" w14:textId="77777777" w:rsidTr="005C15E8">
        <w:tc>
          <w:tcPr>
            <w:tcW w:w="2520" w:type="dxa"/>
          </w:tcPr>
          <w:p w14:paraId="3AAE13E6" w14:textId="77777777" w:rsidR="008846F9" w:rsidRPr="004C6DFF" w:rsidRDefault="008846F9" w:rsidP="005C15E8">
            <w:pPr>
              <w:spacing w:before="120" w:after="120"/>
            </w:pPr>
            <w:r w:rsidRPr="004C6DFF">
              <w:t>Registered NDIS provider</w:t>
            </w:r>
          </w:p>
        </w:tc>
        <w:tc>
          <w:tcPr>
            <w:tcW w:w="6378" w:type="dxa"/>
          </w:tcPr>
          <w:p w14:paraId="433E2390" w14:textId="77777777" w:rsidR="008846F9" w:rsidRPr="004C6DFF" w:rsidRDefault="008846F9" w:rsidP="005C15E8">
            <w:pPr>
              <w:spacing w:before="120" w:after="120"/>
            </w:pPr>
            <w:r w:rsidRPr="004C6DFF">
              <w:t>A person or entity who is registered with the NDIS Quality and Safeguards Commission under section 73E of the NDIS Act</w:t>
            </w:r>
          </w:p>
        </w:tc>
      </w:tr>
      <w:tr w:rsidR="008846F9" w:rsidRPr="004C6DFF" w14:paraId="6A1DA881" w14:textId="77777777" w:rsidTr="005C15E8">
        <w:tc>
          <w:tcPr>
            <w:tcW w:w="2520" w:type="dxa"/>
          </w:tcPr>
          <w:p w14:paraId="56182C3A" w14:textId="0F87744C" w:rsidR="008846F9" w:rsidRPr="004C6DFF" w:rsidRDefault="008846F9" w:rsidP="005C15E8">
            <w:pPr>
              <w:spacing w:before="120" w:after="120"/>
            </w:pPr>
            <w:r w:rsidRPr="004C6DFF">
              <w:t>Regulator Performance Framework</w:t>
            </w:r>
          </w:p>
        </w:tc>
        <w:tc>
          <w:tcPr>
            <w:tcW w:w="6378" w:type="dxa"/>
          </w:tcPr>
          <w:p w14:paraId="786587F5" w14:textId="054BF994" w:rsidR="008846F9" w:rsidRPr="004C6DFF" w:rsidRDefault="008846F9" w:rsidP="005C15E8">
            <w:pPr>
              <w:spacing w:before="120" w:after="120"/>
            </w:pPr>
            <w:r w:rsidRPr="004C6DFF">
              <w:t>Aimed to improve regulator performance and assist an efficient, accountable and effective regulatory environment. Superseded by the Regulator Performance Guide 2021</w:t>
            </w:r>
          </w:p>
        </w:tc>
      </w:tr>
      <w:tr w:rsidR="008846F9" w:rsidRPr="004C6DFF" w14:paraId="13471B94" w14:textId="77777777" w:rsidTr="005C15E8">
        <w:tc>
          <w:tcPr>
            <w:tcW w:w="2520" w:type="dxa"/>
          </w:tcPr>
          <w:p w14:paraId="5D356792" w14:textId="77777777" w:rsidR="008846F9" w:rsidRPr="004C6DFF" w:rsidRDefault="008846F9" w:rsidP="005C15E8">
            <w:pPr>
              <w:spacing w:before="120" w:after="120"/>
            </w:pPr>
            <w:r w:rsidRPr="004C6DFF">
              <w:t>Reportable incidents</w:t>
            </w:r>
          </w:p>
        </w:tc>
        <w:tc>
          <w:tcPr>
            <w:tcW w:w="6378" w:type="dxa"/>
          </w:tcPr>
          <w:p w14:paraId="64D32534" w14:textId="0A459246" w:rsidR="008846F9" w:rsidRPr="004C6DFF" w:rsidRDefault="008846F9" w:rsidP="005C15E8">
            <w:pPr>
              <w:spacing w:before="120" w:after="120"/>
            </w:pPr>
            <w:r w:rsidRPr="004C6DFF">
              <w:t>Serious, or alleged, incidents which result in harm to an NDIS participant and have occurred in connection with NDIS supports and services</w:t>
            </w:r>
          </w:p>
        </w:tc>
      </w:tr>
      <w:tr w:rsidR="008846F9" w:rsidRPr="004C6DFF" w14:paraId="6DEC3011" w14:textId="77777777" w:rsidTr="005C15E8">
        <w:tc>
          <w:tcPr>
            <w:tcW w:w="2520" w:type="dxa"/>
          </w:tcPr>
          <w:p w14:paraId="29F9AE85" w14:textId="77777777" w:rsidR="008846F9" w:rsidRPr="004C6DFF" w:rsidRDefault="008846F9" w:rsidP="005C15E8">
            <w:pPr>
              <w:spacing w:before="120" w:after="120"/>
            </w:pPr>
            <w:r w:rsidRPr="004C6DFF">
              <w:t>Restrictive practices</w:t>
            </w:r>
          </w:p>
        </w:tc>
        <w:tc>
          <w:tcPr>
            <w:tcW w:w="6378" w:type="dxa"/>
          </w:tcPr>
          <w:p w14:paraId="6AA8EF2B" w14:textId="77777777" w:rsidR="008846F9" w:rsidRPr="004C6DFF" w:rsidRDefault="008846F9" w:rsidP="005C15E8">
            <w:pPr>
              <w:spacing w:before="120" w:after="120"/>
            </w:pPr>
            <w:r w:rsidRPr="004C6DFF">
              <w:t>Practices that have the effect of restricting rights or freedom of movement of a person with disability</w:t>
            </w:r>
          </w:p>
        </w:tc>
      </w:tr>
      <w:tr w:rsidR="008846F9" w:rsidRPr="004C6DFF" w14:paraId="1E9D1D96" w14:textId="77777777" w:rsidTr="005C15E8">
        <w:tc>
          <w:tcPr>
            <w:tcW w:w="2520" w:type="dxa"/>
          </w:tcPr>
          <w:p w14:paraId="7C06C4A3" w14:textId="77777777" w:rsidR="008846F9" w:rsidRPr="004C6DFF" w:rsidRDefault="008846F9" w:rsidP="005C15E8">
            <w:pPr>
              <w:spacing w:before="120" w:after="120"/>
            </w:pPr>
            <w:r w:rsidRPr="004C6DFF">
              <w:t>Supports, or supports and services</w:t>
            </w:r>
          </w:p>
        </w:tc>
        <w:tc>
          <w:tcPr>
            <w:tcW w:w="6378" w:type="dxa"/>
          </w:tcPr>
          <w:p w14:paraId="2AB28B77" w14:textId="77777777" w:rsidR="008846F9" w:rsidRPr="004C6DFF" w:rsidRDefault="008846F9" w:rsidP="005C15E8">
            <w:pPr>
              <w:spacing w:before="120" w:after="120"/>
            </w:pPr>
            <w:r w:rsidRPr="004C6DFF">
              <w:t>A range of products and services which may include education, employment, social participation, independence, living arrangements, and health and wellbeing</w:t>
            </w:r>
          </w:p>
        </w:tc>
      </w:tr>
      <w:tr w:rsidR="008846F9" w:rsidRPr="004C6DFF" w14:paraId="367E4558" w14:textId="77777777" w:rsidTr="005C15E8">
        <w:tc>
          <w:tcPr>
            <w:tcW w:w="2520" w:type="dxa"/>
          </w:tcPr>
          <w:p w14:paraId="0C84D6AB" w14:textId="77777777" w:rsidR="008846F9" w:rsidRPr="004C6DFF" w:rsidRDefault="008846F9" w:rsidP="005C15E8">
            <w:pPr>
              <w:spacing w:before="120" w:after="120"/>
            </w:pPr>
            <w:r w:rsidRPr="004C6DFF">
              <w:t>Worker, or NDIS worker</w:t>
            </w:r>
          </w:p>
        </w:tc>
        <w:tc>
          <w:tcPr>
            <w:tcW w:w="6378" w:type="dxa"/>
          </w:tcPr>
          <w:p w14:paraId="5F2C030F" w14:textId="77777777" w:rsidR="008846F9" w:rsidRPr="004C6DFF" w:rsidRDefault="008846F9" w:rsidP="005C15E8">
            <w:pPr>
              <w:spacing w:before="120" w:after="120"/>
            </w:pPr>
            <w:r w:rsidRPr="004C6DFF">
              <w:t>A person employed or engaged by an NDIS provider</w:t>
            </w:r>
          </w:p>
        </w:tc>
      </w:tr>
    </w:tbl>
    <w:p w14:paraId="1FCA7ADF" w14:textId="109835FA" w:rsidR="008C5D49" w:rsidRDefault="008C5D49" w:rsidP="00C12F6E">
      <w:pPr>
        <w:suppressAutoHyphens w:val="0"/>
        <w:spacing w:before="120" w:after="6000" w:line="240" w:lineRule="auto"/>
        <w:jc w:val="center"/>
      </w:pPr>
      <w:r>
        <w:br w:type="page"/>
      </w:r>
    </w:p>
    <w:p w14:paraId="3A5B7C15" w14:textId="77777777" w:rsidR="00C12F6E" w:rsidRDefault="00C12F6E" w:rsidP="00C12F6E">
      <w:pPr>
        <w:suppressAutoHyphens w:val="0"/>
        <w:spacing w:before="120" w:after="6000" w:line="240" w:lineRule="auto"/>
        <w:jc w:val="center"/>
      </w:pPr>
    </w:p>
    <w:p w14:paraId="6DBDCBCE" w14:textId="77777777" w:rsidR="00EA458C" w:rsidRDefault="00EA458C" w:rsidP="003E1347">
      <w:pPr>
        <w:suppressAutoHyphens w:val="0"/>
        <w:spacing w:before="120" w:after="120" w:line="240" w:lineRule="auto"/>
        <w:jc w:val="center"/>
      </w:pPr>
      <w:r>
        <w:t>For more information about this report, please contact</w:t>
      </w:r>
    </w:p>
    <w:p w14:paraId="2540A1F0" w14:textId="77777777" w:rsidR="00EA458C" w:rsidRDefault="00EA458C" w:rsidP="003E1347">
      <w:pPr>
        <w:suppressAutoHyphens w:val="0"/>
        <w:spacing w:before="120" w:after="120" w:line="240" w:lineRule="auto"/>
        <w:jc w:val="center"/>
      </w:pPr>
    </w:p>
    <w:p w14:paraId="3B9130A8" w14:textId="77777777" w:rsidR="00C12F6E" w:rsidRDefault="00EA458C" w:rsidP="003E1347">
      <w:pPr>
        <w:suppressAutoHyphens w:val="0"/>
        <w:spacing w:before="120" w:after="120" w:line="240" w:lineRule="auto"/>
        <w:jc w:val="center"/>
      </w:pPr>
      <w:r>
        <w:t xml:space="preserve">NDIS Quality and Safeguards Commission </w:t>
      </w:r>
    </w:p>
    <w:p w14:paraId="4C0466E9" w14:textId="77777777" w:rsidR="00EA458C" w:rsidRDefault="00EA458C" w:rsidP="003E1347">
      <w:pPr>
        <w:suppressAutoHyphens w:val="0"/>
        <w:spacing w:before="120" w:after="120" w:line="240" w:lineRule="auto"/>
        <w:jc w:val="center"/>
      </w:pPr>
      <w:r>
        <w:t>Telephone: 1800 035 544</w:t>
      </w:r>
    </w:p>
    <w:p w14:paraId="5FECD63A" w14:textId="77777777" w:rsidR="00C12F6E" w:rsidRDefault="00EA458C" w:rsidP="003E1347">
      <w:pPr>
        <w:suppressAutoHyphens w:val="0"/>
        <w:spacing w:before="120" w:after="120" w:line="240" w:lineRule="auto"/>
        <w:jc w:val="center"/>
      </w:pPr>
      <w:r>
        <w:t xml:space="preserve">For people with hearing or speech loss TTY: 133 677 </w:t>
      </w:r>
    </w:p>
    <w:p w14:paraId="1BE36A41" w14:textId="77777777" w:rsidR="00EA458C" w:rsidRDefault="00EA458C" w:rsidP="003E1347">
      <w:pPr>
        <w:suppressAutoHyphens w:val="0"/>
        <w:spacing w:before="120" w:after="120" w:line="240" w:lineRule="auto"/>
        <w:jc w:val="center"/>
      </w:pPr>
      <w:r>
        <w:t>Speak and Listen: 1800 555 727</w:t>
      </w:r>
    </w:p>
    <w:p w14:paraId="7E700AC3" w14:textId="77777777" w:rsidR="00E26583" w:rsidRPr="00455AAF" w:rsidRDefault="00EA458C" w:rsidP="003E1347">
      <w:pPr>
        <w:suppressAutoHyphens w:val="0"/>
        <w:spacing w:before="120" w:after="120" w:line="240" w:lineRule="auto"/>
        <w:jc w:val="center"/>
      </w:pPr>
      <w:r>
        <w:t>For people who need help in English TIS: 131 45</w:t>
      </w:r>
    </w:p>
    <w:sectPr w:rsidR="00E26583" w:rsidRPr="00455AAF" w:rsidSect="005C15E8">
      <w:pgSz w:w="11906" w:h="16838" w:code="9"/>
      <w:pgMar w:top="1134"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1591F" w14:textId="77777777" w:rsidR="00BD580D" w:rsidRDefault="00BD580D" w:rsidP="008E21DE">
      <w:pPr>
        <w:spacing w:before="0" w:after="0"/>
      </w:pPr>
      <w:r>
        <w:separator/>
      </w:r>
    </w:p>
  </w:endnote>
  <w:endnote w:type="continuationSeparator" w:id="0">
    <w:p w14:paraId="41E25054" w14:textId="77777777" w:rsidR="00BD580D" w:rsidRDefault="00BD580D"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Franklin Gothic Medium Cond"/>
    <w:panose1 w:val="00000000000000000000"/>
    <w:charset w:val="00"/>
    <w:family w:val="auto"/>
    <w:notTrueType/>
    <w:pitch w:val="variable"/>
    <w:sig w:usb0="A000002F" w:usb1="5000606A" w:usb2="00000000" w:usb3="00000000" w:csb0="00000093" w:csb1="00000000"/>
  </w:font>
  <w:font w:name="FS Me">
    <w:altName w:val="FS Me"/>
    <w:panose1 w:val="00000000000000000000"/>
    <w:charset w:val="00"/>
    <w:family w:val="auto"/>
    <w:notTrueType/>
    <w:pitch w:val="variable"/>
    <w:sig w:usb0="A000002F" w:usb1="5000606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0885" w14:textId="77777777" w:rsidR="00EC2FC2" w:rsidRDefault="00EC2FC2" w:rsidP="00362AB6">
    <w:pPr>
      <w:pStyle w:val="Footer"/>
    </w:pPr>
    <w:r>
      <w:rPr>
        <w:b/>
        <w:bCs/>
        <w:noProof/>
        <w:lang w:eastAsia="en-AU"/>
      </w:rPr>
      <mc:AlternateContent>
        <mc:Choice Requires="wps">
          <w:drawing>
            <wp:inline distT="0" distB="0" distL="0" distR="0" wp14:anchorId="18FC5834" wp14:editId="23D07911">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4D0AC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" fillcolor="#539250 [3207]" stroked="f" strokeweight="1pt">
              <v:fill color2="#83b14c [3208]" angle="90" colors="0 #539250;.5 #83b14c" focus="100%" type="gradient">
                <o:fill v:ext="view" type="gradientUnscaled"/>
              </v:fill>
              <w10:anchorlock/>
            </v:rect>
          </w:pict>
        </mc:Fallback>
      </mc:AlternateContent>
    </w:r>
  </w:p>
  <w:p w14:paraId="3228A84A" w14:textId="15F436AD" w:rsidR="00EC2FC2" w:rsidRPr="00080615" w:rsidRDefault="00EC2FC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B45257">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E19D" w14:textId="77777777" w:rsidR="00EC2FC2" w:rsidRPr="00080615" w:rsidRDefault="00EC2FC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0CCE" w14:textId="77777777" w:rsidR="00EC2FC2" w:rsidRDefault="00EC2FC2" w:rsidP="00080615">
    <w:pPr>
      <w:pStyle w:val="Footer"/>
      <w:rPr>
        <w:sz w:val="18"/>
        <w:szCs w:val="18"/>
      </w:rPr>
    </w:pPr>
    <w:r>
      <w:rPr>
        <w:b/>
        <w:bCs/>
        <w:noProof/>
        <w:lang w:eastAsia="en-AU"/>
      </w:rPr>
      <mc:AlternateContent>
        <mc:Choice Requires="wps">
          <w:drawing>
            <wp:inline distT="0" distB="0" distL="0" distR="0" wp14:anchorId="69CAF616" wp14:editId="2A4FAA0C">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2ECDDC"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7253A4A" w14:textId="5C297C41" w:rsidR="00EC2FC2" w:rsidRPr="00080615" w:rsidRDefault="00EC2FC2"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B45257">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D0A13" w14:textId="77777777" w:rsidR="00BD580D" w:rsidRDefault="00BD580D" w:rsidP="008E21DE">
      <w:pPr>
        <w:spacing w:before="0" w:after="0"/>
      </w:pPr>
      <w:r>
        <w:separator/>
      </w:r>
    </w:p>
  </w:footnote>
  <w:footnote w:type="continuationSeparator" w:id="0">
    <w:p w14:paraId="6D55354A" w14:textId="77777777" w:rsidR="00BD580D" w:rsidRDefault="00BD580D" w:rsidP="008E21DE">
      <w:pPr>
        <w:spacing w:before="0" w:after="0"/>
      </w:pPr>
      <w:r>
        <w:continuationSeparator/>
      </w:r>
    </w:p>
  </w:footnote>
  <w:footnote w:id="1">
    <w:p w14:paraId="7A345E18" w14:textId="3BFA6238" w:rsidR="00EC2FC2" w:rsidRDefault="00EC2FC2">
      <w:pPr>
        <w:pStyle w:val="FootnoteText"/>
      </w:pPr>
      <w:r>
        <w:rPr>
          <w:rStyle w:val="FootnoteReference"/>
        </w:rPr>
        <w:footnoteRef/>
      </w:r>
      <w:r>
        <w:t xml:space="preserve"> All the baseline data mentioned under “Performance” section will be available in the NDIS Commission’s Annual Report 2022-23.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DDC5" w14:textId="67A125C5" w:rsidR="00EC2FC2" w:rsidRDefault="00EC2FC2">
    <w:pPr>
      <w:pStyle w:val="Header"/>
    </w:pPr>
  </w:p>
  <w:p w14:paraId="71A796F2" w14:textId="77777777" w:rsidR="00EC2FC2" w:rsidRDefault="00EC2FC2">
    <w:pPr>
      <w:pStyle w:val="Header"/>
    </w:pPr>
    <w:r>
      <w:rPr>
        <w:b w:val="0"/>
        <w:bCs/>
        <w:noProof/>
        <w:lang w:eastAsia="en-AU"/>
      </w:rPr>
      <mc:AlternateContent>
        <mc:Choice Requires="wps">
          <w:drawing>
            <wp:inline distT="0" distB="0" distL="0" distR="0" wp14:anchorId="004A10C6" wp14:editId="34721E2C">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B5218" w14:textId="77777777" w:rsidR="00EC2FC2" w:rsidRDefault="00EC2FC2" w:rsidP="00960207">
                          <w:pPr>
                            <w:suppressAutoHyphens w:val="0"/>
                            <w:spacing w:before="120" w:after="120" w:line="240" w:lineRule="auto"/>
                          </w:pPr>
                          <w:r>
                            <w:t>Corporate Plan 2022–23</w:t>
                          </w:r>
                        </w:p>
                        <w:p w14:paraId="77C94459" w14:textId="77777777" w:rsidR="00EC2FC2" w:rsidRDefault="00EC2FC2" w:rsidP="009602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4A10C6"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" fillcolor="#612c69" stroked="f" strokeweight="1pt">
              <v:textbox>
                <w:txbxContent>
                  <w:p w14:paraId="4D3B5218" w14:textId="77777777" w:rsidR="00EC2FC2" w:rsidRDefault="00EC2FC2" w:rsidP="00960207">
                    <w:pPr>
                      <w:suppressAutoHyphens w:val="0"/>
                      <w:spacing w:before="120" w:after="120" w:line="240" w:lineRule="auto"/>
                    </w:pPr>
                    <w:r>
                      <w:t>Corporate Plan 2022–23</w:t>
                    </w:r>
                  </w:p>
                  <w:p w14:paraId="77C94459" w14:textId="77777777" w:rsidR="00EC2FC2" w:rsidRDefault="00EC2FC2" w:rsidP="00960207">
                    <w:pPr>
                      <w:jc w:val="center"/>
                    </w:pP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F5C3" w14:textId="50CBD520" w:rsidR="00EC2FC2" w:rsidRDefault="00EC2FC2">
    <w:pPr>
      <w:pStyle w:val="Header"/>
    </w:pPr>
    <w:r>
      <w:rPr>
        <w:noProof/>
        <w:lang w:eastAsia="en-AU"/>
      </w:rPr>
      <mc:AlternateContent>
        <mc:Choice Requires="wps">
          <w:drawing>
            <wp:anchor distT="0" distB="0" distL="114300" distR="114300" simplePos="0" relativeHeight="251659264" behindDoc="1" locked="0" layoutInCell="1" allowOverlap="1" wp14:anchorId="0FC1412B" wp14:editId="6A2B17DE">
              <wp:simplePos x="0" y="0"/>
              <wp:positionH relativeFrom="margin">
                <wp:posOffset>-1515745</wp:posOffset>
              </wp:positionH>
              <wp:positionV relativeFrom="paragraph">
                <wp:posOffset>-380365</wp:posOffset>
              </wp:positionV>
              <wp:extent cx="12192000" cy="12620625"/>
              <wp:effectExtent l="0" t="0" r="0" b="9525"/>
              <wp:wrapNone/>
              <wp:docPr id="4" name="Rectangle 3">
                <a:extLst xmlns:a="http://schemas.openxmlformats.org/drawingml/2006/main">
                  <a:ext uri="{FF2B5EF4-FFF2-40B4-BE49-F238E27FC236}">
                    <a16:creationId xmlns:a16="http://schemas.microsoft.com/office/drawing/2014/main" id="{123A4C72-35F1-4FD8-97EE-9C874F6EC622}"/>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0E2726" id="Rectangle 3" o:spid="_x0000_s1026" alt="&quot;&quot;" style="position:absolute;margin-left:-119.35pt;margin-top:-29.95pt;width:960pt;height:993.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" fillcolor="#5f2e74 [3204]" stroked="f" strokeweight="1pt">
              <w10:wrap anchorx="margin"/>
            </v:rect>
          </w:pict>
        </mc:Fallback>
      </mc:AlternateContent>
    </w:r>
    <w:r>
      <w:rPr>
        <w:noProof/>
        <w:lang w:eastAsia="en-AU"/>
      </w:rPr>
      <w:drawing>
        <wp:inline distT="0" distB="0" distL="0" distR="0" wp14:anchorId="53EE42BC" wp14:editId="15817314">
          <wp:extent cx="3572510" cy="1109345"/>
          <wp:effectExtent l="0" t="0" r="0" b="0"/>
          <wp:docPr id="1" name="Picture 1" descr="Australian Government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015E" w14:textId="36DBFBA6" w:rsidR="00EC2FC2" w:rsidRDefault="00EC2F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AC67" w14:textId="3051E506" w:rsidR="00EC2FC2" w:rsidRDefault="00EC2FC2">
    <w:pPr>
      <w:pStyle w:val="Header"/>
    </w:pPr>
    <w:r>
      <w:rPr>
        <w:b w:val="0"/>
        <w:bCs/>
        <w:noProof/>
        <w:lang w:eastAsia="en-AU"/>
      </w:rPr>
      <mc:AlternateContent>
        <mc:Choice Requires="wps">
          <w:drawing>
            <wp:inline distT="0" distB="0" distL="0" distR="0" wp14:anchorId="6CC21571" wp14:editId="71E14AC5">
              <wp:extent cx="5724000" cy="79200"/>
              <wp:effectExtent l="0" t="0" r="0" b="0"/>
              <wp:docPr id="6"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7026E" w14:textId="77777777" w:rsidR="00EC2FC2" w:rsidRDefault="00EC2FC2" w:rsidP="005C15E8">
                          <w:pPr>
                            <w:suppressAutoHyphens w:val="0"/>
                            <w:spacing w:before="0" w:after="120" w:line="240" w:lineRule="auto"/>
                          </w:pPr>
                          <w:r>
                            <w:t>Corporate Plan 2022–23</w:t>
                          </w:r>
                        </w:p>
                        <w:p w14:paraId="2A0510DA" w14:textId="77777777" w:rsidR="00EC2FC2" w:rsidRDefault="00EC2FC2" w:rsidP="005C15E8">
                          <w:pPr>
                            <w:spacing w:befor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C21571" id="Rectangle 6" o:spid="_x0000_s1027"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" fillcolor="#612c69" stroked="f" strokeweight="1pt">
              <v:textbox>
                <w:txbxContent>
                  <w:p w14:paraId="4957026E" w14:textId="77777777" w:rsidR="00EC2FC2" w:rsidRDefault="00EC2FC2" w:rsidP="005C15E8">
                    <w:pPr>
                      <w:suppressAutoHyphens w:val="0"/>
                      <w:spacing w:before="0" w:after="120" w:line="240" w:lineRule="auto"/>
                    </w:pPr>
                    <w:r>
                      <w:t>Corporate Plan 2022–23</w:t>
                    </w:r>
                  </w:p>
                  <w:p w14:paraId="2A0510DA" w14:textId="77777777" w:rsidR="00EC2FC2" w:rsidRDefault="00EC2FC2" w:rsidP="005C15E8">
                    <w:pPr>
                      <w:spacing w:before="0"/>
                      <w:jc w:val="center"/>
                    </w:pPr>
                  </w:p>
                </w:txbxContent>
              </v:textbox>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EBF0" w14:textId="2C32E084" w:rsidR="00EC2FC2" w:rsidRDefault="00EC2FC2">
    <w:pPr>
      <w:pStyle w:val="Header"/>
    </w:pPr>
    <w:r>
      <w:rPr>
        <w:noProof/>
        <w:lang w:eastAsia="en-AU"/>
      </w:rPr>
      <w:drawing>
        <wp:inline distT="0" distB="0" distL="0" distR="0" wp14:anchorId="1C8BFAAA" wp14:editId="411BFD23">
          <wp:extent cx="3497386" cy="1350335"/>
          <wp:effectExtent l="0" t="0" r="8255" b="0"/>
          <wp:docPr id="1922625036" name="Picture 192262503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0730"/>
    <w:multiLevelType w:val="multilevel"/>
    <w:tmpl w:val="EBB2C170"/>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AEE6383"/>
    <w:multiLevelType w:val="hybridMultilevel"/>
    <w:tmpl w:val="10723786"/>
    <w:lvl w:ilvl="0" w:tplc="746242B6">
      <w:start w:val="1"/>
      <w:numFmt w:val="decimal"/>
      <w:pStyle w:val="BackgroundPara"/>
      <w:lvlText w:val="%1."/>
      <w:lvlJc w:val="left"/>
      <w:pPr>
        <w:ind w:left="360" w:hanging="360"/>
      </w:pPr>
    </w:lvl>
    <w:lvl w:ilvl="1" w:tplc="C6FC4DEA">
      <w:start w:val="1"/>
      <w:numFmt w:val="lowerLetter"/>
      <w:lvlText w:val="%2."/>
      <w:lvlJc w:val="left"/>
      <w:pPr>
        <w:ind w:left="1080" w:hanging="360"/>
      </w:pPr>
    </w:lvl>
    <w:lvl w:ilvl="2" w:tplc="9DE857B4">
      <w:start w:val="1"/>
      <w:numFmt w:val="lowerRoman"/>
      <w:lvlText w:val="%3."/>
      <w:lvlJc w:val="right"/>
      <w:pPr>
        <w:ind w:left="1800" w:hanging="180"/>
      </w:pPr>
    </w:lvl>
    <w:lvl w:ilvl="3" w:tplc="EA6AA8B4">
      <w:start w:val="1"/>
      <w:numFmt w:val="decimal"/>
      <w:lvlText w:val="%4."/>
      <w:lvlJc w:val="left"/>
      <w:pPr>
        <w:ind w:left="2520" w:hanging="360"/>
      </w:pPr>
    </w:lvl>
    <w:lvl w:ilvl="4" w:tplc="70FC0CBE">
      <w:start w:val="1"/>
      <w:numFmt w:val="lowerLetter"/>
      <w:lvlText w:val="%5."/>
      <w:lvlJc w:val="left"/>
      <w:pPr>
        <w:ind w:left="3240" w:hanging="360"/>
      </w:pPr>
    </w:lvl>
    <w:lvl w:ilvl="5" w:tplc="20EC6B4A">
      <w:start w:val="1"/>
      <w:numFmt w:val="lowerRoman"/>
      <w:lvlText w:val="%6."/>
      <w:lvlJc w:val="right"/>
      <w:pPr>
        <w:ind w:left="3960" w:hanging="180"/>
      </w:pPr>
    </w:lvl>
    <w:lvl w:ilvl="6" w:tplc="7F7A141A">
      <w:start w:val="1"/>
      <w:numFmt w:val="decimal"/>
      <w:lvlText w:val="%7."/>
      <w:lvlJc w:val="left"/>
      <w:pPr>
        <w:ind w:left="4680" w:hanging="360"/>
      </w:pPr>
    </w:lvl>
    <w:lvl w:ilvl="7" w:tplc="782EF00E">
      <w:start w:val="1"/>
      <w:numFmt w:val="lowerLetter"/>
      <w:lvlText w:val="%8."/>
      <w:lvlJc w:val="left"/>
      <w:pPr>
        <w:ind w:left="5400" w:hanging="360"/>
      </w:pPr>
    </w:lvl>
    <w:lvl w:ilvl="8" w:tplc="12A0E7C8">
      <w:start w:val="1"/>
      <w:numFmt w:val="lowerRoman"/>
      <w:lvlText w:val="%9."/>
      <w:lvlJc w:val="right"/>
      <w:pPr>
        <w:ind w:left="6120" w:hanging="180"/>
      </w:p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CB6E5C"/>
    <w:multiLevelType w:val="hybridMultilevel"/>
    <w:tmpl w:val="08668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749713B"/>
    <w:multiLevelType w:val="multilevel"/>
    <w:tmpl w:val="887EDDEE"/>
    <w:lvl w:ilvl="0">
      <w:start w:val="1"/>
      <w:numFmt w:val="lowerLetter"/>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4DB56261"/>
    <w:multiLevelType w:val="multilevel"/>
    <w:tmpl w:val="F458906E"/>
    <w:lvl w:ilvl="0">
      <w:start w:val="1"/>
      <w:numFmt w:val="decimal"/>
      <w:lvlText w:val="%1."/>
      <w:lvlJc w:val="left"/>
      <w:pPr>
        <w:ind w:left="284" w:hanging="284"/>
      </w:pPr>
      <w:rPr>
        <w:rFonts w:hint="default"/>
        <w:b w:val="0"/>
        <w:i w:val="0"/>
        <w:color w:val="auto"/>
      </w:rPr>
    </w:lvl>
    <w:lvl w:ilvl="1">
      <w:start w:val="1"/>
      <w:numFmt w:val="lowerRoman"/>
      <w:lvlText w:val="%2."/>
      <w:lvlJc w:val="righ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F401152"/>
    <w:multiLevelType w:val="hybridMultilevel"/>
    <w:tmpl w:val="5D6A4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4586957"/>
    <w:multiLevelType w:val="multilevel"/>
    <w:tmpl w:val="E0B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615703"/>
    <w:multiLevelType w:val="multilevel"/>
    <w:tmpl w:val="803CF862"/>
    <w:numStyleLink w:val="List1Numbered"/>
  </w:abstractNum>
  <w:abstractNum w:abstractNumId="15" w15:restartNumberingAfterBreak="0">
    <w:nsid w:val="6C636471"/>
    <w:multiLevelType w:val="hybridMultilevel"/>
    <w:tmpl w:val="FE7E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F423B"/>
    <w:multiLevelType w:val="multilevel"/>
    <w:tmpl w:val="4A7CCC2C"/>
    <w:numStyleLink w:val="DefaultBullets"/>
  </w:abstractNum>
  <w:abstractNum w:abstractNumId="1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8360A44"/>
    <w:multiLevelType w:val="multilevel"/>
    <w:tmpl w:val="FE688822"/>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78C20EDF"/>
    <w:multiLevelType w:val="multilevel"/>
    <w:tmpl w:val="4D6C8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560DA0"/>
    <w:multiLevelType w:val="hybridMultilevel"/>
    <w:tmpl w:val="C602D818"/>
    <w:lvl w:ilvl="0" w:tplc="B2702214">
      <w:start w:val="1"/>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1"/>
  </w:num>
  <w:num w:numId="2">
    <w:abstractNumId w:val="11"/>
  </w:num>
  <w:num w:numId="3">
    <w:abstractNumId w:val="7"/>
  </w:num>
  <w:num w:numId="4">
    <w:abstractNumId w:val="4"/>
  </w:num>
  <w:num w:numId="5">
    <w:abstractNumId w:val="2"/>
  </w:num>
  <w:num w:numId="6">
    <w:abstractNumId w:val="14"/>
  </w:num>
  <w:num w:numId="7">
    <w:abstractNumId w:val="13"/>
  </w:num>
  <w:num w:numId="8">
    <w:abstractNumId w:val="5"/>
  </w:num>
  <w:num w:numId="9">
    <w:abstractNumId w:val="17"/>
  </w:num>
  <w:num w:numId="10">
    <w:abstractNumId w:val="1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1">
    <w:abstractNumId w:val="8"/>
  </w:num>
  <w:num w:numId="12">
    <w:abstractNumId w:val="9"/>
  </w:num>
  <w:num w:numId="13">
    <w:abstractNumId w:val="1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4">
    <w:abstractNumId w:val="1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0"/>
  </w:num>
  <w:num w:numId="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D0"/>
    <w:rsid w:val="000002BC"/>
    <w:rsid w:val="000014BC"/>
    <w:rsid w:val="0000362D"/>
    <w:rsid w:val="00005699"/>
    <w:rsid w:val="00006B6F"/>
    <w:rsid w:val="00012C67"/>
    <w:rsid w:val="000156D3"/>
    <w:rsid w:val="000167E2"/>
    <w:rsid w:val="00021CD6"/>
    <w:rsid w:val="00023DD7"/>
    <w:rsid w:val="000302BC"/>
    <w:rsid w:val="0003131A"/>
    <w:rsid w:val="00031B8B"/>
    <w:rsid w:val="00042CB4"/>
    <w:rsid w:val="00050BEB"/>
    <w:rsid w:val="00054491"/>
    <w:rsid w:val="000559FB"/>
    <w:rsid w:val="00055C90"/>
    <w:rsid w:val="0005633B"/>
    <w:rsid w:val="00057064"/>
    <w:rsid w:val="00057E42"/>
    <w:rsid w:val="00064AF3"/>
    <w:rsid w:val="00067886"/>
    <w:rsid w:val="000729EC"/>
    <w:rsid w:val="00072FC5"/>
    <w:rsid w:val="00073337"/>
    <w:rsid w:val="00073E53"/>
    <w:rsid w:val="00075B93"/>
    <w:rsid w:val="00080615"/>
    <w:rsid w:val="000823A7"/>
    <w:rsid w:val="0008322F"/>
    <w:rsid w:val="00090161"/>
    <w:rsid w:val="0009076C"/>
    <w:rsid w:val="000929E5"/>
    <w:rsid w:val="00093308"/>
    <w:rsid w:val="000943B9"/>
    <w:rsid w:val="00094DAD"/>
    <w:rsid w:val="00096425"/>
    <w:rsid w:val="00097934"/>
    <w:rsid w:val="000A34C0"/>
    <w:rsid w:val="000A5088"/>
    <w:rsid w:val="000A7F81"/>
    <w:rsid w:val="000B13F7"/>
    <w:rsid w:val="000B31FA"/>
    <w:rsid w:val="000B4F22"/>
    <w:rsid w:val="000B5B55"/>
    <w:rsid w:val="000C19F6"/>
    <w:rsid w:val="000C252F"/>
    <w:rsid w:val="000C5FAE"/>
    <w:rsid w:val="000C6227"/>
    <w:rsid w:val="000C6ACE"/>
    <w:rsid w:val="000C7502"/>
    <w:rsid w:val="000C7B29"/>
    <w:rsid w:val="000D1E6B"/>
    <w:rsid w:val="000D3F95"/>
    <w:rsid w:val="000D427C"/>
    <w:rsid w:val="000D607F"/>
    <w:rsid w:val="000D68CA"/>
    <w:rsid w:val="000D6C6A"/>
    <w:rsid w:val="000E05BE"/>
    <w:rsid w:val="000E3DC2"/>
    <w:rsid w:val="000E60E4"/>
    <w:rsid w:val="000E71A5"/>
    <w:rsid w:val="000F06B2"/>
    <w:rsid w:val="000F15D3"/>
    <w:rsid w:val="000F23AD"/>
    <w:rsid w:val="000F3262"/>
    <w:rsid w:val="000F332B"/>
    <w:rsid w:val="000F3A54"/>
    <w:rsid w:val="000F48FC"/>
    <w:rsid w:val="000F49B7"/>
    <w:rsid w:val="000F646C"/>
    <w:rsid w:val="00103A23"/>
    <w:rsid w:val="00103E0B"/>
    <w:rsid w:val="00105D88"/>
    <w:rsid w:val="001067DF"/>
    <w:rsid w:val="0011126D"/>
    <w:rsid w:val="00111415"/>
    <w:rsid w:val="00113534"/>
    <w:rsid w:val="0011439F"/>
    <w:rsid w:val="00115D9A"/>
    <w:rsid w:val="00120862"/>
    <w:rsid w:val="00121AA9"/>
    <w:rsid w:val="00123CAD"/>
    <w:rsid w:val="0012432F"/>
    <w:rsid w:val="00132AC2"/>
    <w:rsid w:val="00133CA8"/>
    <w:rsid w:val="001431C3"/>
    <w:rsid w:val="001471B4"/>
    <w:rsid w:val="00154763"/>
    <w:rsid w:val="00161ED0"/>
    <w:rsid w:val="00162E47"/>
    <w:rsid w:val="0016364A"/>
    <w:rsid w:val="00163B55"/>
    <w:rsid w:val="00167C2F"/>
    <w:rsid w:val="00171347"/>
    <w:rsid w:val="00171C8E"/>
    <w:rsid w:val="00172E75"/>
    <w:rsid w:val="00174326"/>
    <w:rsid w:val="001743D1"/>
    <w:rsid w:val="00175C80"/>
    <w:rsid w:val="001761E5"/>
    <w:rsid w:val="00177AF2"/>
    <w:rsid w:val="00182835"/>
    <w:rsid w:val="0018425B"/>
    <w:rsid w:val="00184BB3"/>
    <w:rsid w:val="001869E3"/>
    <w:rsid w:val="0018778E"/>
    <w:rsid w:val="0019201F"/>
    <w:rsid w:val="00194042"/>
    <w:rsid w:val="001963A9"/>
    <w:rsid w:val="001A1CAB"/>
    <w:rsid w:val="001A4D7A"/>
    <w:rsid w:val="001A55EF"/>
    <w:rsid w:val="001A5829"/>
    <w:rsid w:val="001B3525"/>
    <w:rsid w:val="001B4887"/>
    <w:rsid w:val="001B7058"/>
    <w:rsid w:val="001C0DA8"/>
    <w:rsid w:val="001D022B"/>
    <w:rsid w:val="001D0230"/>
    <w:rsid w:val="001D285D"/>
    <w:rsid w:val="001D3B21"/>
    <w:rsid w:val="001D7DFF"/>
    <w:rsid w:val="001E0E48"/>
    <w:rsid w:val="001E2642"/>
    <w:rsid w:val="001E3EE6"/>
    <w:rsid w:val="001E473B"/>
    <w:rsid w:val="001E47FB"/>
    <w:rsid w:val="001E5E81"/>
    <w:rsid w:val="001F0C9C"/>
    <w:rsid w:val="001F0FFE"/>
    <w:rsid w:val="001F1CDE"/>
    <w:rsid w:val="001F20FC"/>
    <w:rsid w:val="001F37ED"/>
    <w:rsid w:val="001F4A1E"/>
    <w:rsid w:val="001F4C59"/>
    <w:rsid w:val="001F79BA"/>
    <w:rsid w:val="00201052"/>
    <w:rsid w:val="00201158"/>
    <w:rsid w:val="00202EF3"/>
    <w:rsid w:val="00203479"/>
    <w:rsid w:val="00205961"/>
    <w:rsid w:val="0020743D"/>
    <w:rsid w:val="002131EF"/>
    <w:rsid w:val="00215D5D"/>
    <w:rsid w:val="002167BC"/>
    <w:rsid w:val="00220B35"/>
    <w:rsid w:val="00220E96"/>
    <w:rsid w:val="0022275F"/>
    <w:rsid w:val="002246B1"/>
    <w:rsid w:val="00226348"/>
    <w:rsid w:val="00226BD6"/>
    <w:rsid w:val="00227502"/>
    <w:rsid w:val="00230DF1"/>
    <w:rsid w:val="00231AAC"/>
    <w:rsid w:val="00235912"/>
    <w:rsid w:val="002437E6"/>
    <w:rsid w:val="00243EF3"/>
    <w:rsid w:val="00244329"/>
    <w:rsid w:val="00245AAB"/>
    <w:rsid w:val="00246A7B"/>
    <w:rsid w:val="00252C00"/>
    <w:rsid w:val="00255334"/>
    <w:rsid w:val="00256F68"/>
    <w:rsid w:val="0025780C"/>
    <w:rsid w:val="00260356"/>
    <w:rsid w:val="00260CCC"/>
    <w:rsid w:val="00272B37"/>
    <w:rsid w:val="002804D3"/>
    <w:rsid w:val="00280975"/>
    <w:rsid w:val="00280C2C"/>
    <w:rsid w:val="0028213F"/>
    <w:rsid w:val="00282322"/>
    <w:rsid w:val="00285215"/>
    <w:rsid w:val="002859B4"/>
    <w:rsid w:val="002878B9"/>
    <w:rsid w:val="00294014"/>
    <w:rsid w:val="00297DD0"/>
    <w:rsid w:val="002A0BAC"/>
    <w:rsid w:val="002A0D07"/>
    <w:rsid w:val="002A2F21"/>
    <w:rsid w:val="002A6691"/>
    <w:rsid w:val="002B0C0D"/>
    <w:rsid w:val="002B1FE5"/>
    <w:rsid w:val="002B694C"/>
    <w:rsid w:val="002B7427"/>
    <w:rsid w:val="002C31B5"/>
    <w:rsid w:val="002C4E2B"/>
    <w:rsid w:val="002D1ABF"/>
    <w:rsid w:val="002D6A85"/>
    <w:rsid w:val="002D76E1"/>
    <w:rsid w:val="002E4888"/>
    <w:rsid w:val="002E66EE"/>
    <w:rsid w:val="002E7930"/>
    <w:rsid w:val="002F0E52"/>
    <w:rsid w:val="002F21FA"/>
    <w:rsid w:val="002F3AFC"/>
    <w:rsid w:val="002F3D02"/>
    <w:rsid w:val="002F6FDE"/>
    <w:rsid w:val="00300B6F"/>
    <w:rsid w:val="003023B7"/>
    <w:rsid w:val="00302BC2"/>
    <w:rsid w:val="00303009"/>
    <w:rsid w:val="003039A4"/>
    <w:rsid w:val="003044B1"/>
    <w:rsid w:val="00304664"/>
    <w:rsid w:val="00312561"/>
    <w:rsid w:val="00313CFF"/>
    <w:rsid w:val="003222BD"/>
    <w:rsid w:val="00337CA2"/>
    <w:rsid w:val="00344443"/>
    <w:rsid w:val="003449A0"/>
    <w:rsid w:val="0034655F"/>
    <w:rsid w:val="00347331"/>
    <w:rsid w:val="00350674"/>
    <w:rsid w:val="00351A97"/>
    <w:rsid w:val="003531C2"/>
    <w:rsid w:val="00353208"/>
    <w:rsid w:val="0035624C"/>
    <w:rsid w:val="00360A4F"/>
    <w:rsid w:val="00361D33"/>
    <w:rsid w:val="003628CB"/>
    <w:rsid w:val="00362AB6"/>
    <w:rsid w:val="00362FC5"/>
    <w:rsid w:val="00365C83"/>
    <w:rsid w:val="003734DF"/>
    <w:rsid w:val="00376B0D"/>
    <w:rsid w:val="00377A56"/>
    <w:rsid w:val="00383468"/>
    <w:rsid w:val="00383AC8"/>
    <w:rsid w:val="00383EE5"/>
    <w:rsid w:val="00384FF1"/>
    <w:rsid w:val="00387C36"/>
    <w:rsid w:val="003913B7"/>
    <w:rsid w:val="003922D2"/>
    <w:rsid w:val="00392608"/>
    <w:rsid w:val="003928A3"/>
    <w:rsid w:val="00392CCF"/>
    <w:rsid w:val="003A0BCD"/>
    <w:rsid w:val="003A30D6"/>
    <w:rsid w:val="003A3316"/>
    <w:rsid w:val="003A36F6"/>
    <w:rsid w:val="003A58DC"/>
    <w:rsid w:val="003B0E2C"/>
    <w:rsid w:val="003B6230"/>
    <w:rsid w:val="003B6B77"/>
    <w:rsid w:val="003C0DD9"/>
    <w:rsid w:val="003C0E73"/>
    <w:rsid w:val="003C39DE"/>
    <w:rsid w:val="003C4CDA"/>
    <w:rsid w:val="003C601A"/>
    <w:rsid w:val="003C6653"/>
    <w:rsid w:val="003D1360"/>
    <w:rsid w:val="003D5947"/>
    <w:rsid w:val="003D5977"/>
    <w:rsid w:val="003D6989"/>
    <w:rsid w:val="003D6D71"/>
    <w:rsid w:val="003E1347"/>
    <w:rsid w:val="003E1AB2"/>
    <w:rsid w:val="003E310A"/>
    <w:rsid w:val="003E6873"/>
    <w:rsid w:val="003E6FAA"/>
    <w:rsid w:val="003F29B8"/>
    <w:rsid w:val="003F3D80"/>
    <w:rsid w:val="003F4FE8"/>
    <w:rsid w:val="003F6797"/>
    <w:rsid w:val="004024A5"/>
    <w:rsid w:val="004024FE"/>
    <w:rsid w:val="0040287E"/>
    <w:rsid w:val="00402943"/>
    <w:rsid w:val="00402F5E"/>
    <w:rsid w:val="00405040"/>
    <w:rsid w:val="004070DD"/>
    <w:rsid w:val="00410F78"/>
    <w:rsid w:val="004110FF"/>
    <w:rsid w:val="004149BA"/>
    <w:rsid w:val="004154E2"/>
    <w:rsid w:val="00415AE2"/>
    <w:rsid w:val="00417EB0"/>
    <w:rsid w:val="00424454"/>
    <w:rsid w:val="00426856"/>
    <w:rsid w:val="0043066B"/>
    <w:rsid w:val="00432589"/>
    <w:rsid w:val="004359DF"/>
    <w:rsid w:val="00436539"/>
    <w:rsid w:val="00436DA0"/>
    <w:rsid w:val="00436FB5"/>
    <w:rsid w:val="00437E6E"/>
    <w:rsid w:val="00437E83"/>
    <w:rsid w:val="00444D7B"/>
    <w:rsid w:val="004458FC"/>
    <w:rsid w:val="004476D7"/>
    <w:rsid w:val="00451303"/>
    <w:rsid w:val="00451C14"/>
    <w:rsid w:val="00452215"/>
    <w:rsid w:val="004523A5"/>
    <w:rsid w:val="00452D48"/>
    <w:rsid w:val="004559EC"/>
    <w:rsid w:val="00455AAF"/>
    <w:rsid w:val="00455E1E"/>
    <w:rsid w:val="00457EE9"/>
    <w:rsid w:val="004660E6"/>
    <w:rsid w:val="004676D6"/>
    <w:rsid w:val="00470E23"/>
    <w:rsid w:val="004724C6"/>
    <w:rsid w:val="004809FA"/>
    <w:rsid w:val="004846B5"/>
    <w:rsid w:val="004849AD"/>
    <w:rsid w:val="00484A64"/>
    <w:rsid w:val="00485292"/>
    <w:rsid w:val="00485416"/>
    <w:rsid w:val="00485ABA"/>
    <w:rsid w:val="004867E5"/>
    <w:rsid w:val="00491CBA"/>
    <w:rsid w:val="00495BCF"/>
    <w:rsid w:val="004B492C"/>
    <w:rsid w:val="004B515A"/>
    <w:rsid w:val="004B64B1"/>
    <w:rsid w:val="004B6B03"/>
    <w:rsid w:val="004C0217"/>
    <w:rsid w:val="004C1DD3"/>
    <w:rsid w:val="004C4250"/>
    <w:rsid w:val="004C452C"/>
    <w:rsid w:val="004C6DFF"/>
    <w:rsid w:val="004C77D8"/>
    <w:rsid w:val="004D1A44"/>
    <w:rsid w:val="004D4273"/>
    <w:rsid w:val="004D624C"/>
    <w:rsid w:val="004D79DC"/>
    <w:rsid w:val="004E00E4"/>
    <w:rsid w:val="004E1C8E"/>
    <w:rsid w:val="004E1D7D"/>
    <w:rsid w:val="004E2C3D"/>
    <w:rsid w:val="004F16D3"/>
    <w:rsid w:val="004F19FE"/>
    <w:rsid w:val="004F39A8"/>
    <w:rsid w:val="004F3F6C"/>
    <w:rsid w:val="00500F51"/>
    <w:rsid w:val="005038ED"/>
    <w:rsid w:val="005070D8"/>
    <w:rsid w:val="00507C9A"/>
    <w:rsid w:val="00514A46"/>
    <w:rsid w:val="005161F3"/>
    <w:rsid w:val="005203C8"/>
    <w:rsid w:val="00521956"/>
    <w:rsid w:val="00521BD7"/>
    <w:rsid w:val="005257D1"/>
    <w:rsid w:val="00533B41"/>
    <w:rsid w:val="00534D53"/>
    <w:rsid w:val="0053652A"/>
    <w:rsid w:val="00536C83"/>
    <w:rsid w:val="00536E19"/>
    <w:rsid w:val="0054083F"/>
    <w:rsid w:val="005443FC"/>
    <w:rsid w:val="00544AF8"/>
    <w:rsid w:val="0054672C"/>
    <w:rsid w:val="00552524"/>
    <w:rsid w:val="00553B25"/>
    <w:rsid w:val="00556CF9"/>
    <w:rsid w:val="005579B6"/>
    <w:rsid w:val="005606E0"/>
    <w:rsid w:val="005617C1"/>
    <w:rsid w:val="00567AFE"/>
    <w:rsid w:val="00571EF0"/>
    <w:rsid w:val="0057280E"/>
    <w:rsid w:val="005746AC"/>
    <w:rsid w:val="005769ED"/>
    <w:rsid w:val="005770BF"/>
    <w:rsid w:val="00581215"/>
    <w:rsid w:val="0058173F"/>
    <w:rsid w:val="00582A32"/>
    <w:rsid w:val="0058597C"/>
    <w:rsid w:val="00585BD4"/>
    <w:rsid w:val="0059094F"/>
    <w:rsid w:val="00591D29"/>
    <w:rsid w:val="00596319"/>
    <w:rsid w:val="005973C4"/>
    <w:rsid w:val="005A2BF8"/>
    <w:rsid w:val="005A52E5"/>
    <w:rsid w:val="005A5619"/>
    <w:rsid w:val="005B00B9"/>
    <w:rsid w:val="005B2B55"/>
    <w:rsid w:val="005B31B4"/>
    <w:rsid w:val="005B3200"/>
    <w:rsid w:val="005B3591"/>
    <w:rsid w:val="005B3A3E"/>
    <w:rsid w:val="005B5711"/>
    <w:rsid w:val="005B60B2"/>
    <w:rsid w:val="005B6171"/>
    <w:rsid w:val="005B7F81"/>
    <w:rsid w:val="005C0520"/>
    <w:rsid w:val="005C15E8"/>
    <w:rsid w:val="005C3C2E"/>
    <w:rsid w:val="005D17CD"/>
    <w:rsid w:val="005D24FA"/>
    <w:rsid w:val="005D44D8"/>
    <w:rsid w:val="005D5898"/>
    <w:rsid w:val="005E02BD"/>
    <w:rsid w:val="005E16A6"/>
    <w:rsid w:val="005E5FF8"/>
    <w:rsid w:val="005E644E"/>
    <w:rsid w:val="005E6783"/>
    <w:rsid w:val="005E6858"/>
    <w:rsid w:val="005F11D0"/>
    <w:rsid w:val="005F2D5A"/>
    <w:rsid w:val="005F3ADE"/>
    <w:rsid w:val="005F3CE1"/>
    <w:rsid w:val="005F6658"/>
    <w:rsid w:val="005F6787"/>
    <w:rsid w:val="006003DD"/>
    <w:rsid w:val="00600AAE"/>
    <w:rsid w:val="0060129B"/>
    <w:rsid w:val="00602FD4"/>
    <w:rsid w:val="00604C8A"/>
    <w:rsid w:val="0061054A"/>
    <w:rsid w:val="00611309"/>
    <w:rsid w:val="00614E49"/>
    <w:rsid w:val="00616DA8"/>
    <w:rsid w:val="00620872"/>
    <w:rsid w:val="0062106C"/>
    <w:rsid w:val="006265DE"/>
    <w:rsid w:val="00627B9F"/>
    <w:rsid w:val="00627D56"/>
    <w:rsid w:val="00633621"/>
    <w:rsid w:val="00633908"/>
    <w:rsid w:val="00634931"/>
    <w:rsid w:val="0063516D"/>
    <w:rsid w:val="00636FC3"/>
    <w:rsid w:val="006452DD"/>
    <w:rsid w:val="00645753"/>
    <w:rsid w:val="00646885"/>
    <w:rsid w:val="006473D8"/>
    <w:rsid w:val="00647E01"/>
    <w:rsid w:val="00650E13"/>
    <w:rsid w:val="00653D67"/>
    <w:rsid w:val="006572CA"/>
    <w:rsid w:val="00660E2C"/>
    <w:rsid w:val="00662EB7"/>
    <w:rsid w:val="00664400"/>
    <w:rsid w:val="006654E7"/>
    <w:rsid w:val="00665997"/>
    <w:rsid w:val="0066738A"/>
    <w:rsid w:val="006676D2"/>
    <w:rsid w:val="00671113"/>
    <w:rsid w:val="0067135E"/>
    <w:rsid w:val="006720A6"/>
    <w:rsid w:val="00673253"/>
    <w:rsid w:val="0067343B"/>
    <w:rsid w:val="00673B81"/>
    <w:rsid w:val="00673C87"/>
    <w:rsid w:val="00674944"/>
    <w:rsid w:val="00675965"/>
    <w:rsid w:val="006760AB"/>
    <w:rsid w:val="00680A20"/>
    <w:rsid w:val="00680F04"/>
    <w:rsid w:val="00686753"/>
    <w:rsid w:val="0069109A"/>
    <w:rsid w:val="006956DC"/>
    <w:rsid w:val="006959BD"/>
    <w:rsid w:val="00696B13"/>
    <w:rsid w:val="00696FF6"/>
    <w:rsid w:val="006A0060"/>
    <w:rsid w:val="006A28DB"/>
    <w:rsid w:val="006A4D97"/>
    <w:rsid w:val="006A5FB6"/>
    <w:rsid w:val="006A6EA2"/>
    <w:rsid w:val="006B2DD7"/>
    <w:rsid w:val="006B47BC"/>
    <w:rsid w:val="006B6D8B"/>
    <w:rsid w:val="006D100F"/>
    <w:rsid w:val="006D2670"/>
    <w:rsid w:val="006D2F86"/>
    <w:rsid w:val="006D492D"/>
    <w:rsid w:val="006D533E"/>
    <w:rsid w:val="006D6C1F"/>
    <w:rsid w:val="006D7369"/>
    <w:rsid w:val="006E08EE"/>
    <w:rsid w:val="006E1385"/>
    <w:rsid w:val="006E1AC9"/>
    <w:rsid w:val="006E4D3A"/>
    <w:rsid w:val="006E7575"/>
    <w:rsid w:val="006F07A2"/>
    <w:rsid w:val="006F11CD"/>
    <w:rsid w:val="00701624"/>
    <w:rsid w:val="00702132"/>
    <w:rsid w:val="00704DD4"/>
    <w:rsid w:val="0070660D"/>
    <w:rsid w:val="0071365C"/>
    <w:rsid w:val="00714815"/>
    <w:rsid w:val="00714F40"/>
    <w:rsid w:val="007155F6"/>
    <w:rsid w:val="007235CE"/>
    <w:rsid w:val="00723BBB"/>
    <w:rsid w:val="00724193"/>
    <w:rsid w:val="007268C6"/>
    <w:rsid w:val="00727279"/>
    <w:rsid w:val="00730550"/>
    <w:rsid w:val="007311A8"/>
    <w:rsid w:val="007314A0"/>
    <w:rsid w:val="00731BD4"/>
    <w:rsid w:val="00746AE7"/>
    <w:rsid w:val="00757C7E"/>
    <w:rsid w:val="00760E07"/>
    <w:rsid w:val="0076178C"/>
    <w:rsid w:val="00762706"/>
    <w:rsid w:val="0076271C"/>
    <w:rsid w:val="00764D4E"/>
    <w:rsid w:val="00765985"/>
    <w:rsid w:val="007663D2"/>
    <w:rsid w:val="00766A67"/>
    <w:rsid w:val="007703DE"/>
    <w:rsid w:val="007716CF"/>
    <w:rsid w:val="00777B8A"/>
    <w:rsid w:val="007801AF"/>
    <w:rsid w:val="00781BE1"/>
    <w:rsid w:val="007820B4"/>
    <w:rsid w:val="007850C2"/>
    <w:rsid w:val="0078677B"/>
    <w:rsid w:val="00790D8C"/>
    <w:rsid w:val="0079299E"/>
    <w:rsid w:val="0079387A"/>
    <w:rsid w:val="00795A97"/>
    <w:rsid w:val="007975E6"/>
    <w:rsid w:val="007A085D"/>
    <w:rsid w:val="007A13F0"/>
    <w:rsid w:val="007A24B7"/>
    <w:rsid w:val="007A4666"/>
    <w:rsid w:val="007A6864"/>
    <w:rsid w:val="007A71DB"/>
    <w:rsid w:val="007A7A95"/>
    <w:rsid w:val="007B0B4E"/>
    <w:rsid w:val="007B29EA"/>
    <w:rsid w:val="007B2FF1"/>
    <w:rsid w:val="007B53E8"/>
    <w:rsid w:val="007C26A6"/>
    <w:rsid w:val="007C2B7D"/>
    <w:rsid w:val="007C4220"/>
    <w:rsid w:val="007C647D"/>
    <w:rsid w:val="007D0594"/>
    <w:rsid w:val="007D3885"/>
    <w:rsid w:val="007D38CF"/>
    <w:rsid w:val="007D5B1F"/>
    <w:rsid w:val="007D6085"/>
    <w:rsid w:val="007D65AB"/>
    <w:rsid w:val="007D6B43"/>
    <w:rsid w:val="007D77F6"/>
    <w:rsid w:val="007E0769"/>
    <w:rsid w:val="007E19F4"/>
    <w:rsid w:val="007E2547"/>
    <w:rsid w:val="007E447D"/>
    <w:rsid w:val="007E73C1"/>
    <w:rsid w:val="007F1974"/>
    <w:rsid w:val="007F4D3F"/>
    <w:rsid w:val="007F5D31"/>
    <w:rsid w:val="007F6055"/>
    <w:rsid w:val="00801DC5"/>
    <w:rsid w:val="008023AB"/>
    <w:rsid w:val="00803169"/>
    <w:rsid w:val="00803179"/>
    <w:rsid w:val="00804E8A"/>
    <w:rsid w:val="00806CF6"/>
    <w:rsid w:val="00810FC3"/>
    <w:rsid w:val="0081103A"/>
    <w:rsid w:val="00816F05"/>
    <w:rsid w:val="00820B5A"/>
    <w:rsid w:val="00822628"/>
    <w:rsid w:val="00822812"/>
    <w:rsid w:val="00822D5A"/>
    <w:rsid w:val="0082362C"/>
    <w:rsid w:val="00825AD0"/>
    <w:rsid w:val="008260DA"/>
    <w:rsid w:val="00827F4E"/>
    <w:rsid w:val="00830594"/>
    <w:rsid w:val="00830A10"/>
    <w:rsid w:val="00830BE2"/>
    <w:rsid w:val="008343B1"/>
    <w:rsid w:val="008364DA"/>
    <w:rsid w:val="008418A9"/>
    <w:rsid w:val="00844A06"/>
    <w:rsid w:val="0084629C"/>
    <w:rsid w:val="00846D74"/>
    <w:rsid w:val="00855435"/>
    <w:rsid w:val="0085756D"/>
    <w:rsid w:val="00861DB8"/>
    <w:rsid w:val="008647A4"/>
    <w:rsid w:val="00866F46"/>
    <w:rsid w:val="0087015B"/>
    <w:rsid w:val="00870DED"/>
    <w:rsid w:val="008713CA"/>
    <w:rsid w:val="00871C00"/>
    <w:rsid w:val="008725B9"/>
    <w:rsid w:val="008731CF"/>
    <w:rsid w:val="0087395B"/>
    <w:rsid w:val="00874E0F"/>
    <w:rsid w:val="00875A29"/>
    <w:rsid w:val="00876EB3"/>
    <w:rsid w:val="0087733E"/>
    <w:rsid w:val="0088087E"/>
    <w:rsid w:val="00881801"/>
    <w:rsid w:val="0088287B"/>
    <w:rsid w:val="00882FC0"/>
    <w:rsid w:val="0088364C"/>
    <w:rsid w:val="008846F9"/>
    <w:rsid w:val="00884B38"/>
    <w:rsid w:val="0088544D"/>
    <w:rsid w:val="00885517"/>
    <w:rsid w:val="00892FC0"/>
    <w:rsid w:val="00893553"/>
    <w:rsid w:val="00894640"/>
    <w:rsid w:val="00894889"/>
    <w:rsid w:val="0089710B"/>
    <w:rsid w:val="008A012F"/>
    <w:rsid w:val="008A1304"/>
    <w:rsid w:val="008A649A"/>
    <w:rsid w:val="008A7621"/>
    <w:rsid w:val="008B332D"/>
    <w:rsid w:val="008B490B"/>
    <w:rsid w:val="008C050F"/>
    <w:rsid w:val="008C1B3D"/>
    <w:rsid w:val="008C1BA9"/>
    <w:rsid w:val="008C251A"/>
    <w:rsid w:val="008C254A"/>
    <w:rsid w:val="008C2E73"/>
    <w:rsid w:val="008C40D4"/>
    <w:rsid w:val="008C414C"/>
    <w:rsid w:val="008C441F"/>
    <w:rsid w:val="008C52A9"/>
    <w:rsid w:val="008C5D49"/>
    <w:rsid w:val="008D014F"/>
    <w:rsid w:val="008D1C93"/>
    <w:rsid w:val="008D2122"/>
    <w:rsid w:val="008D432F"/>
    <w:rsid w:val="008D64CD"/>
    <w:rsid w:val="008E0317"/>
    <w:rsid w:val="008E21DE"/>
    <w:rsid w:val="008E2583"/>
    <w:rsid w:val="008E57E3"/>
    <w:rsid w:val="008F3EA6"/>
    <w:rsid w:val="008F4405"/>
    <w:rsid w:val="008F50C9"/>
    <w:rsid w:val="008F75A6"/>
    <w:rsid w:val="009047A9"/>
    <w:rsid w:val="0090517D"/>
    <w:rsid w:val="00906D71"/>
    <w:rsid w:val="00910087"/>
    <w:rsid w:val="00911978"/>
    <w:rsid w:val="009134DF"/>
    <w:rsid w:val="009144F7"/>
    <w:rsid w:val="00914A88"/>
    <w:rsid w:val="009152AD"/>
    <w:rsid w:val="00917C31"/>
    <w:rsid w:val="009217B3"/>
    <w:rsid w:val="009238C5"/>
    <w:rsid w:val="0092679C"/>
    <w:rsid w:val="0092679E"/>
    <w:rsid w:val="009311EF"/>
    <w:rsid w:val="00935E65"/>
    <w:rsid w:val="00936002"/>
    <w:rsid w:val="0093618F"/>
    <w:rsid w:val="00936816"/>
    <w:rsid w:val="00946660"/>
    <w:rsid w:val="00946E60"/>
    <w:rsid w:val="0094789B"/>
    <w:rsid w:val="00960207"/>
    <w:rsid w:val="0096088F"/>
    <w:rsid w:val="00963722"/>
    <w:rsid w:val="00963C56"/>
    <w:rsid w:val="00966629"/>
    <w:rsid w:val="00966C41"/>
    <w:rsid w:val="00970269"/>
    <w:rsid w:val="0097297E"/>
    <w:rsid w:val="00973335"/>
    <w:rsid w:val="0097486A"/>
    <w:rsid w:val="00974A34"/>
    <w:rsid w:val="00975EF6"/>
    <w:rsid w:val="00983BED"/>
    <w:rsid w:val="009859F3"/>
    <w:rsid w:val="009866EC"/>
    <w:rsid w:val="0099051F"/>
    <w:rsid w:val="009942B3"/>
    <w:rsid w:val="00995A11"/>
    <w:rsid w:val="00995ABE"/>
    <w:rsid w:val="00997399"/>
    <w:rsid w:val="009A0FED"/>
    <w:rsid w:val="009A29BF"/>
    <w:rsid w:val="009A4D3A"/>
    <w:rsid w:val="009A7913"/>
    <w:rsid w:val="009B15A6"/>
    <w:rsid w:val="009B3DD4"/>
    <w:rsid w:val="009B58B5"/>
    <w:rsid w:val="009C4C04"/>
    <w:rsid w:val="009C5960"/>
    <w:rsid w:val="009C5F68"/>
    <w:rsid w:val="009C6E6C"/>
    <w:rsid w:val="009C77D5"/>
    <w:rsid w:val="009D0DD2"/>
    <w:rsid w:val="009D61F9"/>
    <w:rsid w:val="009D680A"/>
    <w:rsid w:val="009D7ACE"/>
    <w:rsid w:val="009D7D92"/>
    <w:rsid w:val="009E1A6B"/>
    <w:rsid w:val="009E240C"/>
    <w:rsid w:val="009E2915"/>
    <w:rsid w:val="009E2C5F"/>
    <w:rsid w:val="009E3DCA"/>
    <w:rsid w:val="009E3EF2"/>
    <w:rsid w:val="009E4B86"/>
    <w:rsid w:val="009E4C9D"/>
    <w:rsid w:val="009E6B9D"/>
    <w:rsid w:val="009E7355"/>
    <w:rsid w:val="009F0DD8"/>
    <w:rsid w:val="009F2C62"/>
    <w:rsid w:val="009F380E"/>
    <w:rsid w:val="009F5073"/>
    <w:rsid w:val="009F7159"/>
    <w:rsid w:val="00A07E4A"/>
    <w:rsid w:val="00A11903"/>
    <w:rsid w:val="00A12932"/>
    <w:rsid w:val="00A15EA7"/>
    <w:rsid w:val="00A172A2"/>
    <w:rsid w:val="00A20411"/>
    <w:rsid w:val="00A20557"/>
    <w:rsid w:val="00A24B43"/>
    <w:rsid w:val="00A24FBF"/>
    <w:rsid w:val="00A2602C"/>
    <w:rsid w:val="00A27BD7"/>
    <w:rsid w:val="00A332F7"/>
    <w:rsid w:val="00A3626E"/>
    <w:rsid w:val="00A36F56"/>
    <w:rsid w:val="00A37186"/>
    <w:rsid w:val="00A40642"/>
    <w:rsid w:val="00A432B1"/>
    <w:rsid w:val="00A45D2F"/>
    <w:rsid w:val="00A5211A"/>
    <w:rsid w:val="00A53184"/>
    <w:rsid w:val="00A54587"/>
    <w:rsid w:val="00A54967"/>
    <w:rsid w:val="00A60009"/>
    <w:rsid w:val="00A6054B"/>
    <w:rsid w:val="00A634EA"/>
    <w:rsid w:val="00A6696F"/>
    <w:rsid w:val="00A73B97"/>
    <w:rsid w:val="00A74A0F"/>
    <w:rsid w:val="00A800DA"/>
    <w:rsid w:val="00A8658B"/>
    <w:rsid w:val="00A918D1"/>
    <w:rsid w:val="00A93865"/>
    <w:rsid w:val="00A94C9F"/>
    <w:rsid w:val="00A96B7C"/>
    <w:rsid w:val="00AA00AF"/>
    <w:rsid w:val="00AA094B"/>
    <w:rsid w:val="00AA0A69"/>
    <w:rsid w:val="00AA0BB8"/>
    <w:rsid w:val="00AA4820"/>
    <w:rsid w:val="00AA4C7F"/>
    <w:rsid w:val="00AB12D5"/>
    <w:rsid w:val="00AB43AC"/>
    <w:rsid w:val="00AB45AD"/>
    <w:rsid w:val="00AB6FD0"/>
    <w:rsid w:val="00AC116F"/>
    <w:rsid w:val="00AC1A20"/>
    <w:rsid w:val="00AC2FA8"/>
    <w:rsid w:val="00AC6FEA"/>
    <w:rsid w:val="00AC7C77"/>
    <w:rsid w:val="00AD2C05"/>
    <w:rsid w:val="00AD6580"/>
    <w:rsid w:val="00AD735D"/>
    <w:rsid w:val="00AE0E1A"/>
    <w:rsid w:val="00AE1DF4"/>
    <w:rsid w:val="00AE364E"/>
    <w:rsid w:val="00AE4A80"/>
    <w:rsid w:val="00AE6F93"/>
    <w:rsid w:val="00AF0899"/>
    <w:rsid w:val="00AF0991"/>
    <w:rsid w:val="00AF2453"/>
    <w:rsid w:val="00AF5041"/>
    <w:rsid w:val="00AF6840"/>
    <w:rsid w:val="00AF724D"/>
    <w:rsid w:val="00AF7700"/>
    <w:rsid w:val="00B00911"/>
    <w:rsid w:val="00B025D1"/>
    <w:rsid w:val="00B03173"/>
    <w:rsid w:val="00B0557D"/>
    <w:rsid w:val="00B0703A"/>
    <w:rsid w:val="00B10507"/>
    <w:rsid w:val="00B110A3"/>
    <w:rsid w:val="00B114F2"/>
    <w:rsid w:val="00B13748"/>
    <w:rsid w:val="00B14FC8"/>
    <w:rsid w:val="00B150F6"/>
    <w:rsid w:val="00B16240"/>
    <w:rsid w:val="00B20217"/>
    <w:rsid w:val="00B204AE"/>
    <w:rsid w:val="00B21878"/>
    <w:rsid w:val="00B22AE3"/>
    <w:rsid w:val="00B22C6A"/>
    <w:rsid w:val="00B22FE4"/>
    <w:rsid w:val="00B23770"/>
    <w:rsid w:val="00B31935"/>
    <w:rsid w:val="00B3557F"/>
    <w:rsid w:val="00B355E4"/>
    <w:rsid w:val="00B35BDF"/>
    <w:rsid w:val="00B3774B"/>
    <w:rsid w:val="00B45257"/>
    <w:rsid w:val="00B477AF"/>
    <w:rsid w:val="00B47E2B"/>
    <w:rsid w:val="00B50177"/>
    <w:rsid w:val="00B51CED"/>
    <w:rsid w:val="00B52033"/>
    <w:rsid w:val="00B52951"/>
    <w:rsid w:val="00B603C0"/>
    <w:rsid w:val="00B60ADA"/>
    <w:rsid w:val="00B60C77"/>
    <w:rsid w:val="00B63324"/>
    <w:rsid w:val="00B64AF0"/>
    <w:rsid w:val="00B70F5F"/>
    <w:rsid w:val="00B718EF"/>
    <w:rsid w:val="00B74480"/>
    <w:rsid w:val="00B7491E"/>
    <w:rsid w:val="00B80518"/>
    <w:rsid w:val="00B8061E"/>
    <w:rsid w:val="00B81AE3"/>
    <w:rsid w:val="00B82CB6"/>
    <w:rsid w:val="00B83AB4"/>
    <w:rsid w:val="00B84A34"/>
    <w:rsid w:val="00B84AC1"/>
    <w:rsid w:val="00B87118"/>
    <w:rsid w:val="00B87C68"/>
    <w:rsid w:val="00B9220F"/>
    <w:rsid w:val="00B9250D"/>
    <w:rsid w:val="00B94250"/>
    <w:rsid w:val="00BA3146"/>
    <w:rsid w:val="00BA31DC"/>
    <w:rsid w:val="00BA70DD"/>
    <w:rsid w:val="00BA789E"/>
    <w:rsid w:val="00BB1A56"/>
    <w:rsid w:val="00BB46D2"/>
    <w:rsid w:val="00BC1654"/>
    <w:rsid w:val="00BC7E44"/>
    <w:rsid w:val="00BC7F09"/>
    <w:rsid w:val="00BD2AFB"/>
    <w:rsid w:val="00BD523C"/>
    <w:rsid w:val="00BD580D"/>
    <w:rsid w:val="00BE251D"/>
    <w:rsid w:val="00BE3516"/>
    <w:rsid w:val="00BE37B1"/>
    <w:rsid w:val="00BE39AD"/>
    <w:rsid w:val="00BE6C23"/>
    <w:rsid w:val="00BE7981"/>
    <w:rsid w:val="00BF1944"/>
    <w:rsid w:val="00BF275B"/>
    <w:rsid w:val="00BF3809"/>
    <w:rsid w:val="00BF403B"/>
    <w:rsid w:val="00BF4CE5"/>
    <w:rsid w:val="00BF5F0B"/>
    <w:rsid w:val="00C018D4"/>
    <w:rsid w:val="00C03EBD"/>
    <w:rsid w:val="00C03F06"/>
    <w:rsid w:val="00C03F86"/>
    <w:rsid w:val="00C0412B"/>
    <w:rsid w:val="00C0421C"/>
    <w:rsid w:val="00C05CD7"/>
    <w:rsid w:val="00C10202"/>
    <w:rsid w:val="00C12F6E"/>
    <w:rsid w:val="00C15FBF"/>
    <w:rsid w:val="00C17A1C"/>
    <w:rsid w:val="00C17C47"/>
    <w:rsid w:val="00C21944"/>
    <w:rsid w:val="00C2540B"/>
    <w:rsid w:val="00C26AC9"/>
    <w:rsid w:val="00C31C62"/>
    <w:rsid w:val="00C3445D"/>
    <w:rsid w:val="00C414B9"/>
    <w:rsid w:val="00C447E2"/>
    <w:rsid w:val="00C4576E"/>
    <w:rsid w:val="00C460FA"/>
    <w:rsid w:val="00C502A2"/>
    <w:rsid w:val="00C51C67"/>
    <w:rsid w:val="00C52C59"/>
    <w:rsid w:val="00C5531F"/>
    <w:rsid w:val="00C5579F"/>
    <w:rsid w:val="00C55EA3"/>
    <w:rsid w:val="00C569D1"/>
    <w:rsid w:val="00C56C8D"/>
    <w:rsid w:val="00C602C0"/>
    <w:rsid w:val="00C6534A"/>
    <w:rsid w:val="00C722A1"/>
    <w:rsid w:val="00C73030"/>
    <w:rsid w:val="00C7390C"/>
    <w:rsid w:val="00C73DC0"/>
    <w:rsid w:val="00C7576B"/>
    <w:rsid w:val="00C75D3D"/>
    <w:rsid w:val="00C76077"/>
    <w:rsid w:val="00C817F8"/>
    <w:rsid w:val="00C90DF2"/>
    <w:rsid w:val="00C91110"/>
    <w:rsid w:val="00C92FAF"/>
    <w:rsid w:val="00C94A7E"/>
    <w:rsid w:val="00C9580F"/>
    <w:rsid w:val="00CA1640"/>
    <w:rsid w:val="00CA1812"/>
    <w:rsid w:val="00CA19C8"/>
    <w:rsid w:val="00CA3F14"/>
    <w:rsid w:val="00CA448E"/>
    <w:rsid w:val="00CA4E54"/>
    <w:rsid w:val="00CA79FF"/>
    <w:rsid w:val="00CB0C62"/>
    <w:rsid w:val="00CB6F83"/>
    <w:rsid w:val="00CC0E0A"/>
    <w:rsid w:val="00CC19C2"/>
    <w:rsid w:val="00CC1FE3"/>
    <w:rsid w:val="00CC53E8"/>
    <w:rsid w:val="00CC61E6"/>
    <w:rsid w:val="00CD5231"/>
    <w:rsid w:val="00CD5E95"/>
    <w:rsid w:val="00CE2850"/>
    <w:rsid w:val="00CE4DAF"/>
    <w:rsid w:val="00CF2D61"/>
    <w:rsid w:val="00CF31CC"/>
    <w:rsid w:val="00D02BA0"/>
    <w:rsid w:val="00D03CA0"/>
    <w:rsid w:val="00D046E1"/>
    <w:rsid w:val="00D0495D"/>
    <w:rsid w:val="00D054D5"/>
    <w:rsid w:val="00D05B4D"/>
    <w:rsid w:val="00D11DD8"/>
    <w:rsid w:val="00D14014"/>
    <w:rsid w:val="00D140C7"/>
    <w:rsid w:val="00D17C2E"/>
    <w:rsid w:val="00D200CF"/>
    <w:rsid w:val="00D20C13"/>
    <w:rsid w:val="00D21856"/>
    <w:rsid w:val="00D21D99"/>
    <w:rsid w:val="00D2537F"/>
    <w:rsid w:val="00D302EC"/>
    <w:rsid w:val="00D3072D"/>
    <w:rsid w:val="00D31584"/>
    <w:rsid w:val="00D321F4"/>
    <w:rsid w:val="00D36EEF"/>
    <w:rsid w:val="00D377AF"/>
    <w:rsid w:val="00D4037C"/>
    <w:rsid w:val="00D526BA"/>
    <w:rsid w:val="00D52FC0"/>
    <w:rsid w:val="00D531D1"/>
    <w:rsid w:val="00D57637"/>
    <w:rsid w:val="00D60184"/>
    <w:rsid w:val="00D60C9D"/>
    <w:rsid w:val="00D668C6"/>
    <w:rsid w:val="00D7287C"/>
    <w:rsid w:val="00D74888"/>
    <w:rsid w:val="00D8229E"/>
    <w:rsid w:val="00D831D1"/>
    <w:rsid w:val="00D847C3"/>
    <w:rsid w:val="00D87311"/>
    <w:rsid w:val="00D87FF9"/>
    <w:rsid w:val="00D90084"/>
    <w:rsid w:val="00D93797"/>
    <w:rsid w:val="00D93E26"/>
    <w:rsid w:val="00DA36C0"/>
    <w:rsid w:val="00DA4014"/>
    <w:rsid w:val="00DA4803"/>
    <w:rsid w:val="00DA4FA9"/>
    <w:rsid w:val="00DA6002"/>
    <w:rsid w:val="00DA6288"/>
    <w:rsid w:val="00DB0266"/>
    <w:rsid w:val="00DB0C2F"/>
    <w:rsid w:val="00DB1054"/>
    <w:rsid w:val="00DB14C9"/>
    <w:rsid w:val="00DB1AFB"/>
    <w:rsid w:val="00DB249C"/>
    <w:rsid w:val="00DB2937"/>
    <w:rsid w:val="00DB4C88"/>
    <w:rsid w:val="00DB6908"/>
    <w:rsid w:val="00DC027D"/>
    <w:rsid w:val="00DC04F8"/>
    <w:rsid w:val="00DC2931"/>
    <w:rsid w:val="00DC2AB5"/>
    <w:rsid w:val="00DC32C4"/>
    <w:rsid w:val="00DC44FA"/>
    <w:rsid w:val="00DC6766"/>
    <w:rsid w:val="00DC6DB9"/>
    <w:rsid w:val="00DD0D3D"/>
    <w:rsid w:val="00DD2102"/>
    <w:rsid w:val="00DD2729"/>
    <w:rsid w:val="00DD2CDB"/>
    <w:rsid w:val="00DD2F0F"/>
    <w:rsid w:val="00DD33E7"/>
    <w:rsid w:val="00DD48AA"/>
    <w:rsid w:val="00DD49F7"/>
    <w:rsid w:val="00DD6202"/>
    <w:rsid w:val="00DE0ABB"/>
    <w:rsid w:val="00DE4B70"/>
    <w:rsid w:val="00DE4D0C"/>
    <w:rsid w:val="00DE6943"/>
    <w:rsid w:val="00DF0374"/>
    <w:rsid w:val="00DF0F90"/>
    <w:rsid w:val="00DF116C"/>
    <w:rsid w:val="00DF14A8"/>
    <w:rsid w:val="00DF42CB"/>
    <w:rsid w:val="00DF74BA"/>
    <w:rsid w:val="00E01F67"/>
    <w:rsid w:val="00E0308E"/>
    <w:rsid w:val="00E0365C"/>
    <w:rsid w:val="00E03F20"/>
    <w:rsid w:val="00E0487A"/>
    <w:rsid w:val="00E05D64"/>
    <w:rsid w:val="00E0664E"/>
    <w:rsid w:val="00E067C0"/>
    <w:rsid w:val="00E10044"/>
    <w:rsid w:val="00E10D45"/>
    <w:rsid w:val="00E11717"/>
    <w:rsid w:val="00E13A9C"/>
    <w:rsid w:val="00E13BF8"/>
    <w:rsid w:val="00E1403A"/>
    <w:rsid w:val="00E22082"/>
    <w:rsid w:val="00E239E8"/>
    <w:rsid w:val="00E260AC"/>
    <w:rsid w:val="00E26583"/>
    <w:rsid w:val="00E26C0E"/>
    <w:rsid w:val="00E30DA3"/>
    <w:rsid w:val="00E31203"/>
    <w:rsid w:val="00E31BAC"/>
    <w:rsid w:val="00E331D6"/>
    <w:rsid w:val="00E336F6"/>
    <w:rsid w:val="00E34BD3"/>
    <w:rsid w:val="00E361FA"/>
    <w:rsid w:val="00E43F01"/>
    <w:rsid w:val="00E45FA0"/>
    <w:rsid w:val="00E461F4"/>
    <w:rsid w:val="00E46681"/>
    <w:rsid w:val="00E47366"/>
    <w:rsid w:val="00E55829"/>
    <w:rsid w:val="00E60158"/>
    <w:rsid w:val="00E61CDE"/>
    <w:rsid w:val="00E62551"/>
    <w:rsid w:val="00E63CAD"/>
    <w:rsid w:val="00E647F2"/>
    <w:rsid w:val="00E651C7"/>
    <w:rsid w:val="00E6639B"/>
    <w:rsid w:val="00E6696C"/>
    <w:rsid w:val="00E711AF"/>
    <w:rsid w:val="00E7260F"/>
    <w:rsid w:val="00E72703"/>
    <w:rsid w:val="00E74856"/>
    <w:rsid w:val="00E77C91"/>
    <w:rsid w:val="00E836CA"/>
    <w:rsid w:val="00E84A21"/>
    <w:rsid w:val="00E870D2"/>
    <w:rsid w:val="00E90229"/>
    <w:rsid w:val="00E92CC2"/>
    <w:rsid w:val="00E952D6"/>
    <w:rsid w:val="00E95FA2"/>
    <w:rsid w:val="00EA458C"/>
    <w:rsid w:val="00EB0121"/>
    <w:rsid w:val="00EB0F6C"/>
    <w:rsid w:val="00EB266E"/>
    <w:rsid w:val="00EB427C"/>
    <w:rsid w:val="00EB48DD"/>
    <w:rsid w:val="00EB50E6"/>
    <w:rsid w:val="00EB67E3"/>
    <w:rsid w:val="00EB74C7"/>
    <w:rsid w:val="00EC070E"/>
    <w:rsid w:val="00EC28E7"/>
    <w:rsid w:val="00EC2FC2"/>
    <w:rsid w:val="00EC35C4"/>
    <w:rsid w:val="00EC3FD7"/>
    <w:rsid w:val="00EC42FF"/>
    <w:rsid w:val="00EC48DB"/>
    <w:rsid w:val="00EC4DFB"/>
    <w:rsid w:val="00EC53E4"/>
    <w:rsid w:val="00EC71C3"/>
    <w:rsid w:val="00ED173E"/>
    <w:rsid w:val="00ED1C58"/>
    <w:rsid w:val="00ED375F"/>
    <w:rsid w:val="00ED5022"/>
    <w:rsid w:val="00ED7443"/>
    <w:rsid w:val="00EE13B4"/>
    <w:rsid w:val="00EE1607"/>
    <w:rsid w:val="00EE2640"/>
    <w:rsid w:val="00EE3D81"/>
    <w:rsid w:val="00EE46BF"/>
    <w:rsid w:val="00EE67AD"/>
    <w:rsid w:val="00EE737C"/>
    <w:rsid w:val="00EE7775"/>
    <w:rsid w:val="00EE788F"/>
    <w:rsid w:val="00EE7DBB"/>
    <w:rsid w:val="00EF35CC"/>
    <w:rsid w:val="00EF4A96"/>
    <w:rsid w:val="00EF6FB8"/>
    <w:rsid w:val="00EF71BF"/>
    <w:rsid w:val="00F00494"/>
    <w:rsid w:val="00F02BAA"/>
    <w:rsid w:val="00F04802"/>
    <w:rsid w:val="00F101A6"/>
    <w:rsid w:val="00F10A81"/>
    <w:rsid w:val="00F1194A"/>
    <w:rsid w:val="00F13787"/>
    <w:rsid w:val="00F16D1A"/>
    <w:rsid w:val="00F17759"/>
    <w:rsid w:val="00F20575"/>
    <w:rsid w:val="00F212E5"/>
    <w:rsid w:val="00F22DBC"/>
    <w:rsid w:val="00F25ED2"/>
    <w:rsid w:val="00F26D26"/>
    <w:rsid w:val="00F31617"/>
    <w:rsid w:val="00F34E12"/>
    <w:rsid w:val="00F36F2A"/>
    <w:rsid w:val="00F4118E"/>
    <w:rsid w:val="00F445AD"/>
    <w:rsid w:val="00F50C08"/>
    <w:rsid w:val="00F538E8"/>
    <w:rsid w:val="00F53E7A"/>
    <w:rsid w:val="00F55783"/>
    <w:rsid w:val="00F562F8"/>
    <w:rsid w:val="00F60FEB"/>
    <w:rsid w:val="00F61D29"/>
    <w:rsid w:val="00F6303A"/>
    <w:rsid w:val="00F65391"/>
    <w:rsid w:val="00F704CE"/>
    <w:rsid w:val="00F70A73"/>
    <w:rsid w:val="00F70CC3"/>
    <w:rsid w:val="00F70DD2"/>
    <w:rsid w:val="00F7471C"/>
    <w:rsid w:val="00F7756F"/>
    <w:rsid w:val="00F77CF5"/>
    <w:rsid w:val="00F80A01"/>
    <w:rsid w:val="00F81096"/>
    <w:rsid w:val="00F821F5"/>
    <w:rsid w:val="00F82EC4"/>
    <w:rsid w:val="00F838B5"/>
    <w:rsid w:val="00F84BA2"/>
    <w:rsid w:val="00F86760"/>
    <w:rsid w:val="00F87A98"/>
    <w:rsid w:val="00F9318C"/>
    <w:rsid w:val="00FA0266"/>
    <w:rsid w:val="00FA0523"/>
    <w:rsid w:val="00FA1A82"/>
    <w:rsid w:val="00FA597B"/>
    <w:rsid w:val="00FA5E01"/>
    <w:rsid w:val="00FA6BBE"/>
    <w:rsid w:val="00FA77A7"/>
    <w:rsid w:val="00FA7928"/>
    <w:rsid w:val="00FB0D33"/>
    <w:rsid w:val="00FB0F76"/>
    <w:rsid w:val="00FB1065"/>
    <w:rsid w:val="00FB12F5"/>
    <w:rsid w:val="00FB1502"/>
    <w:rsid w:val="00FB1790"/>
    <w:rsid w:val="00FB6523"/>
    <w:rsid w:val="00FC1CC5"/>
    <w:rsid w:val="00FC1D03"/>
    <w:rsid w:val="00FD03CA"/>
    <w:rsid w:val="00FD07C7"/>
    <w:rsid w:val="00FD0FC8"/>
    <w:rsid w:val="00FD5358"/>
    <w:rsid w:val="00FD583D"/>
    <w:rsid w:val="00FD5EE7"/>
    <w:rsid w:val="00FD66D7"/>
    <w:rsid w:val="00FD6AE0"/>
    <w:rsid w:val="00FD767D"/>
    <w:rsid w:val="00FE1958"/>
    <w:rsid w:val="00FE324E"/>
    <w:rsid w:val="00FE6B7F"/>
    <w:rsid w:val="00FF0DBD"/>
    <w:rsid w:val="00FF15C3"/>
    <w:rsid w:val="00FF5177"/>
    <w:rsid w:val="00FF53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37A79"/>
  <w15:chartTrackingRefBased/>
  <w15:docId w15:val="{B760D25B-F8B5-4A77-BE50-B6DFE76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0C"/>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1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1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EE1607"/>
    <w:pPr>
      <w:numPr>
        <w:numId w:val="10"/>
      </w:numPr>
      <w:spacing w:before="120" w:after="120"/>
      <w:ind w:left="426"/>
    </w:pPr>
  </w:style>
  <w:style w:type="paragraph" w:customStyle="1" w:styleId="Bullet2">
    <w:name w:val="Bullet 2"/>
    <w:basedOn w:val="Normal"/>
    <w:uiPriority w:val="5"/>
    <w:unhideWhenUsed/>
    <w:rsid w:val="00A60009"/>
    <w:pPr>
      <w:numPr>
        <w:ilvl w:val="1"/>
        <w:numId w:val="10"/>
      </w:numPr>
    </w:pPr>
  </w:style>
  <w:style w:type="paragraph" w:customStyle="1" w:styleId="Bullet3">
    <w:name w:val="Bullet 3"/>
    <w:basedOn w:val="Normal"/>
    <w:uiPriority w:val="5"/>
    <w:unhideWhenUsed/>
    <w:rsid w:val="00A60009"/>
    <w:pPr>
      <w:numPr>
        <w:ilvl w:val="2"/>
        <w:numId w:val="10"/>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5"/>
      </w:numPr>
    </w:pPr>
  </w:style>
  <w:style w:type="paragraph" w:customStyle="1" w:styleId="List1Numbered1">
    <w:name w:val="List 1 Numbered 1"/>
    <w:basedOn w:val="Normal"/>
    <w:uiPriority w:val="2"/>
    <w:qFormat/>
    <w:rsid w:val="00DF74BA"/>
    <w:pPr>
      <w:numPr>
        <w:numId w:val="6"/>
      </w:numPr>
    </w:pPr>
  </w:style>
  <w:style w:type="paragraph" w:customStyle="1" w:styleId="List1Numbered2">
    <w:name w:val="List 1 Numbered 2"/>
    <w:basedOn w:val="Normal"/>
    <w:uiPriority w:val="4"/>
    <w:unhideWhenUsed/>
    <w:rsid w:val="00DF74BA"/>
    <w:pPr>
      <w:numPr>
        <w:ilvl w:val="1"/>
        <w:numId w:val="6"/>
      </w:numPr>
    </w:pPr>
  </w:style>
  <w:style w:type="paragraph" w:customStyle="1" w:styleId="List1Numbered3">
    <w:name w:val="List 1 Numbered 3"/>
    <w:basedOn w:val="Normal"/>
    <w:uiPriority w:val="4"/>
    <w:unhideWhenUsed/>
    <w:rsid w:val="00DF74BA"/>
    <w:pPr>
      <w:numPr>
        <w:ilvl w:val="2"/>
        <w:numId w:val="6"/>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7"/>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801DC5"/>
    <w:pPr>
      <w:tabs>
        <w:tab w:val="right" w:leader="dot" w:pos="9628"/>
      </w:tabs>
      <w:spacing w:before="80" w:after="80" w:line="240" w:lineRule="auto"/>
      <w:ind w:left="426" w:hanging="142"/>
    </w:pPr>
    <w:rPr>
      <w:rFonts w:asciiTheme="majorHAnsi" w:hAnsiTheme="majorHAnsi"/>
      <w:noProof/>
      <w:sz w:val="24"/>
      <w:szCs w:val="24"/>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9"/>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customStyle="1" w:styleId="H2-16pts">
    <w:name w:val="H2-16pts"/>
    <w:basedOn w:val="Normal"/>
    <w:qFormat/>
    <w:rsid w:val="00F562F8"/>
    <w:pPr>
      <w:suppressAutoHyphens w:val="0"/>
      <w:spacing w:before="120" w:after="120" w:line="240" w:lineRule="auto"/>
      <w:outlineLvl w:val="1"/>
    </w:pPr>
    <w:rPr>
      <w:color w:val="612C69"/>
      <w:sz w:val="32"/>
    </w:rPr>
  </w:style>
  <w:style w:type="paragraph" w:customStyle="1" w:styleId="firstparagraph">
    <w:name w:val="first paragraph"/>
    <w:basedOn w:val="Normal"/>
    <w:qFormat/>
    <w:rsid w:val="00E26583"/>
    <w:pPr>
      <w:suppressAutoHyphens w:val="0"/>
      <w:spacing w:before="120" w:after="240" w:line="240" w:lineRule="auto"/>
    </w:pPr>
    <w:rPr>
      <w:sz w:val="28"/>
      <w:szCs w:val="28"/>
    </w:rPr>
  </w:style>
  <w:style w:type="paragraph" w:styleId="ListParagraph">
    <w:name w:val="List Paragraph"/>
    <w:aliases w:val="#List Paragraph,AR bullet 1,Bullet Point,Bullet Points,Bullet point,Bullet points,Bulletr List Paragraph,Content descriptions,FooterText,L,List Paragraph Number,List Paragraph1,List Paragraph11,List Paragraph2,Listeafsnit1,Recommendation"/>
    <w:basedOn w:val="Normal"/>
    <w:link w:val="ListParagraphChar"/>
    <w:uiPriority w:val="34"/>
    <w:unhideWhenUsed/>
    <w:qFormat/>
    <w:rsid w:val="007D6085"/>
    <w:pPr>
      <w:ind w:left="720"/>
      <w:contextualSpacing/>
    </w:pPr>
  </w:style>
  <w:style w:type="paragraph" w:customStyle="1" w:styleId="TableParagraph">
    <w:name w:val="Table Paragraph"/>
    <w:basedOn w:val="Normal"/>
    <w:link w:val="TableParagraphChar"/>
    <w:uiPriority w:val="1"/>
    <w:qFormat/>
    <w:rsid w:val="000D68CA"/>
    <w:pPr>
      <w:widowControl w:val="0"/>
      <w:suppressAutoHyphens w:val="0"/>
      <w:autoSpaceDE w:val="0"/>
      <w:autoSpaceDN w:val="0"/>
      <w:spacing w:before="184" w:after="0" w:line="240" w:lineRule="auto"/>
      <w:ind w:left="80"/>
    </w:pPr>
    <w:rPr>
      <w:rFonts w:ascii="FS Me Light" w:eastAsia="FS Me Light" w:hAnsi="FS Me Light" w:cs="FS Me Light"/>
      <w:color w:val="auto"/>
      <w:szCs w:val="22"/>
      <w:lang w:val="en-GB"/>
    </w:rPr>
  </w:style>
  <w:style w:type="paragraph" w:customStyle="1" w:styleId="call-out">
    <w:name w:val="call-out"/>
    <w:basedOn w:val="Normal"/>
    <w:qFormat/>
    <w:rsid w:val="00174326"/>
    <w:pPr>
      <w:pBdr>
        <w:left w:val="single" w:sz="12" w:space="7" w:color="612C69"/>
      </w:pBdr>
      <w:suppressAutoHyphens w:val="0"/>
      <w:spacing w:before="0" w:after="0" w:line="240" w:lineRule="auto"/>
      <w:ind w:left="227" w:right="397"/>
    </w:pPr>
    <w:rPr>
      <w:sz w:val="26"/>
      <w:szCs w:val="26"/>
    </w:rPr>
  </w:style>
  <w:style w:type="paragraph" w:customStyle="1" w:styleId="Default">
    <w:name w:val="Default"/>
    <w:rsid w:val="001E473B"/>
    <w:pPr>
      <w:autoSpaceDE w:val="0"/>
      <w:autoSpaceDN w:val="0"/>
      <w:adjustRightInd w:val="0"/>
      <w:spacing w:before="0" w:after="0"/>
    </w:pPr>
    <w:rPr>
      <w:rFonts w:ascii="FS Me" w:hAnsi="FS Me" w:cs="FS Me"/>
      <w:color w:val="000000"/>
      <w:sz w:val="24"/>
      <w:szCs w:val="24"/>
    </w:rPr>
  </w:style>
  <w:style w:type="paragraph" w:customStyle="1" w:styleId="Pa25">
    <w:name w:val="Pa25"/>
    <w:basedOn w:val="Default"/>
    <w:next w:val="Default"/>
    <w:uiPriority w:val="99"/>
    <w:rsid w:val="001E473B"/>
    <w:pPr>
      <w:spacing w:line="241" w:lineRule="atLeast"/>
    </w:pPr>
    <w:rPr>
      <w:rFonts w:cstheme="minorBidi"/>
      <w:color w:val="000000" w:themeColor="text1"/>
    </w:rPr>
  </w:style>
  <w:style w:type="paragraph" w:customStyle="1" w:styleId="Pa63">
    <w:name w:val="Pa63"/>
    <w:basedOn w:val="Default"/>
    <w:next w:val="Default"/>
    <w:uiPriority w:val="99"/>
    <w:rsid w:val="00DB1054"/>
    <w:pPr>
      <w:spacing w:line="221" w:lineRule="atLeast"/>
    </w:pPr>
    <w:rPr>
      <w:rFonts w:cstheme="minorBidi"/>
      <w:color w:val="000000" w:themeColor="text1"/>
    </w:rPr>
  </w:style>
  <w:style w:type="character" w:customStyle="1" w:styleId="A10">
    <w:name w:val="A10"/>
    <w:uiPriority w:val="99"/>
    <w:rsid w:val="002F3D02"/>
    <w:rPr>
      <w:rFonts w:cs="FS Me"/>
      <w:color w:val="5E2065"/>
      <w:sz w:val="20"/>
      <w:szCs w:val="20"/>
    </w:rPr>
  </w:style>
  <w:style w:type="paragraph" w:customStyle="1" w:styleId="Pa51">
    <w:name w:val="Pa51"/>
    <w:basedOn w:val="Default"/>
    <w:next w:val="Default"/>
    <w:uiPriority w:val="99"/>
    <w:rsid w:val="002F3D02"/>
    <w:pPr>
      <w:spacing w:line="181" w:lineRule="atLeast"/>
    </w:pPr>
    <w:rPr>
      <w:rFonts w:cstheme="minorBidi"/>
      <w:color w:val="000000" w:themeColor="text1"/>
    </w:rPr>
  </w:style>
  <w:style w:type="character" w:customStyle="1" w:styleId="A2">
    <w:name w:val="A2"/>
    <w:uiPriority w:val="99"/>
    <w:rsid w:val="00FD5EE7"/>
    <w:rPr>
      <w:rFonts w:cs="FS Me"/>
      <w:color w:val="000000"/>
      <w:sz w:val="22"/>
      <w:szCs w:val="22"/>
    </w:rPr>
  </w:style>
  <w:style w:type="character" w:styleId="CommentReference">
    <w:name w:val="annotation reference"/>
    <w:basedOn w:val="DefaultParagraphFont"/>
    <w:uiPriority w:val="99"/>
    <w:semiHidden/>
    <w:unhideWhenUsed/>
    <w:rsid w:val="00875A29"/>
    <w:rPr>
      <w:sz w:val="16"/>
      <w:szCs w:val="16"/>
    </w:rPr>
  </w:style>
  <w:style w:type="paragraph" w:styleId="CommentText">
    <w:name w:val="annotation text"/>
    <w:basedOn w:val="Normal"/>
    <w:link w:val="CommentTextChar"/>
    <w:uiPriority w:val="99"/>
    <w:unhideWhenUsed/>
    <w:rsid w:val="00875A29"/>
    <w:pPr>
      <w:spacing w:line="240" w:lineRule="auto"/>
    </w:pPr>
    <w:rPr>
      <w:sz w:val="20"/>
    </w:rPr>
  </w:style>
  <w:style w:type="character" w:customStyle="1" w:styleId="CommentTextChar">
    <w:name w:val="Comment Text Char"/>
    <w:basedOn w:val="DefaultParagraphFont"/>
    <w:link w:val="CommentText"/>
    <w:uiPriority w:val="99"/>
    <w:rsid w:val="00875A29"/>
  </w:style>
  <w:style w:type="paragraph" w:styleId="CommentSubject">
    <w:name w:val="annotation subject"/>
    <w:basedOn w:val="CommentText"/>
    <w:next w:val="CommentText"/>
    <w:link w:val="CommentSubjectChar"/>
    <w:uiPriority w:val="99"/>
    <w:semiHidden/>
    <w:unhideWhenUsed/>
    <w:rsid w:val="00875A29"/>
    <w:rPr>
      <w:b/>
      <w:bCs/>
    </w:rPr>
  </w:style>
  <w:style w:type="character" w:customStyle="1" w:styleId="CommentSubjectChar">
    <w:name w:val="Comment Subject Char"/>
    <w:basedOn w:val="CommentTextChar"/>
    <w:link w:val="CommentSubject"/>
    <w:uiPriority w:val="99"/>
    <w:semiHidden/>
    <w:rsid w:val="00875A29"/>
    <w:rPr>
      <w:b/>
      <w:bCs/>
    </w:rPr>
  </w:style>
  <w:style w:type="paragraph" w:styleId="Revision">
    <w:name w:val="Revision"/>
    <w:hidden/>
    <w:uiPriority w:val="99"/>
    <w:semiHidden/>
    <w:rsid w:val="00E0664E"/>
    <w:pPr>
      <w:spacing w:before="0" w:after="0"/>
    </w:pPr>
    <w:rPr>
      <w:sz w:val="22"/>
    </w:rPr>
  </w:style>
  <w:style w:type="paragraph" w:customStyle="1" w:styleId="Outcomeheading">
    <w:name w:val="Outcome heading"/>
    <w:basedOn w:val="Heading3"/>
    <w:rsid w:val="00FD07C7"/>
    <w:pPr>
      <w:tabs>
        <w:tab w:val="left" w:pos="709"/>
      </w:tabs>
      <w:suppressAutoHyphens w:val="0"/>
      <w:spacing w:before="60" w:after="60" w:line="240" w:lineRule="auto"/>
    </w:pPr>
    <w:rPr>
      <w:rFonts w:ascii="Arial" w:eastAsia="Times New Roman" w:hAnsi="Arial" w:cs="Times New Roman"/>
      <w:color w:val="auto"/>
      <w:sz w:val="22"/>
      <w:szCs w:val="20"/>
      <w:lang w:eastAsia="en-AU"/>
    </w:rPr>
  </w:style>
  <w:style w:type="paragraph" w:customStyle="1" w:styleId="Exampletext">
    <w:name w:val="Example text"/>
    <w:basedOn w:val="Normal"/>
    <w:link w:val="ExampletextCharChar"/>
    <w:rsid w:val="00BF403B"/>
    <w:pPr>
      <w:keepLines/>
      <w:suppressAutoHyphens w:val="0"/>
      <w:spacing w:before="0" w:after="240" w:line="260" w:lineRule="exact"/>
      <w:jc w:val="both"/>
    </w:pPr>
    <w:rPr>
      <w:rFonts w:ascii="Book Antiqua" w:hAnsi="Book Antiqua"/>
      <w:i/>
      <w:color w:val="FF0000"/>
      <w:szCs w:val="22"/>
      <w:lang w:val="en-US"/>
    </w:rPr>
  </w:style>
  <w:style w:type="character" w:customStyle="1" w:styleId="ExampletextCharChar">
    <w:name w:val="Example text Char Char"/>
    <w:link w:val="Exampletext"/>
    <w:locked/>
    <w:rsid w:val="00BF403B"/>
    <w:rPr>
      <w:rFonts w:ascii="Book Antiqua" w:hAnsi="Book Antiqua"/>
      <w:i/>
      <w:color w:val="FF0000"/>
      <w:sz w:val="22"/>
      <w:szCs w:val="22"/>
      <w:lang w:val="en-US"/>
    </w:rPr>
  </w:style>
  <w:style w:type="paragraph" w:styleId="NormalWeb">
    <w:name w:val="Normal (Web)"/>
    <w:basedOn w:val="Normal"/>
    <w:uiPriority w:val="99"/>
    <w:unhideWhenUsed/>
    <w:rsid w:val="000729E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ListTable4-Accent11">
    <w:name w:val="List Table 4 - Accent 11"/>
    <w:basedOn w:val="TableNormal"/>
    <w:uiPriority w:val="49"/>
    <w:rsid w:val="009866EC"/>
    <w:pPr>
      <w:spacing w:after="0"/>
    </w:pPr>
    <w:rPr>
      <w:rFonts w:ascii="Calibri" w:eastAsia="Calibri" w:hAnsi="Calibri" w:cs="Times New Roman"/>
      <w:color w:val="000000"/>
    </w:rPr>
    <w:tblPr>
      <w:tblStyleRowBandSize w:val="1"/>
      <w:tblStyleColBandSize w:val="1"/>
      <w:tblInd w:w="0" w:type="nil"/>
      <w:tblBorders>
        <w:top w:val="single" w:sz="4" w:space="0" w:color="A869C3"/>
        <w:left w:val="single" w:sz="4" w:space="0" w:color="A869C3"/>
        <w:bottom w:val="single" w:sz="4" w:space="0" w:color="A869C3"/>
        <w:right w:val="single" w:sz="4" w:space="0" w:color="A869C3"/>
        <w:insideH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tcBorders>
        <w:shd w:val="clear" w:color="auto" w:fill="5F2E74"/>
      </w:tcPr>
    </w:tblStylePr>
    <w:tblStylePr w:type="lastRow">
      <w:rPr>
        <w:b/>
        <w:bCs/>
      </w:rPr>
      <w:tblPr/>
      <w:tcPr>
        <w:tcBorders>
          <w:top w:val="doub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customStyle="1" w:styleId="ListParagraphChar">
    <w:name w:val="List Paragraph Char"/>
    <w:aliases w:val="#List Paragraph Char,AR bullet 1 Char,Bullet Point Char,Bullet Points Char,Bullet point Char,Bullet points Char,Bulletr List Paragraph Char,Content descriptions Char,FooterText Char,L Char,List Paragraph Number Char,Listeafsnit1 Char"/>
    <w:basedOn w:val="DefaultParagraphFont"/>
    <w:link w:val="ListParagraph"/>
    <w:uiPriority w:val="34"/>
    <w:locked/>
    <w:rsid w:val="00DD48AA"/>
    <w:rPr>
      <w:sz w:val="22"/>
    </w:rPr>
  </w:style>
  <w:style w:type="character" w:customStyle="1" w:styleId="BackgroundParaChar">
    <w:name w:val="Background Para Char"/>
    <w:basedOn w:val="ListParagraphChar"/>
    <w:link w:val="BackgroundPara"/>
    <w:locked/>
    <w:rsid w:val="00DD48AA"/>
    <w:rPr>
      <w:sz w:val="22"/>
    </w:rPr>
  </w:style>
  <w:style w:type="paragraph" w:customStyle="1" w:styleId="BackgroundPara">
    <w:name w:val="Background Para"/>
    <w:basedOn w:val="ListParagraph"/>
    <w:link w:val="BackgroundParaChar"/>
    <w:qFormat/>
    <w:rsid w:val="00DD48AA"/>
    <w:pPr>
      <w:numPr>
        <w:numId w:val="15"/>
      </w:numPr>
      <w:suppressAutoHyphens w:val="0"/>
      <w:spacing w:before="120" w:after="0" w:line="240" w:lineRule="auto"/>
      <w:ind w:left="567" w:hanging="567"/>
      <w:contextualSpacing w:val="0"/>
    </w:pPr>
  </w:style>
  <w:style w:type="paragraph" w:customStyle="1" w:styleId="DHHSbody">
    <w:name w:val="DHHS body"/>
    <w:qFormat/>
    <w:rsid w:val="00DA36C0"/>
    <w:pPr>
      <w:spacing w:before="0" w:line="270" w:lineRule="atLeast"/>
    </w:pPr>
    <w:rPr>
      <w:rFonts w:ascii="Arial" w:eastAsia="Times" w:hAnsi="Arial" w:cs="Times New Roman"/>
      <w:color w:val="auto"/>
    </w:rPr>
  </w:style>
  <w:style w:type="paragraph" w:customStyle="1" w:styleId="Pa4">
    <w:name w:val="Pa4"/>
    <w:basedOn w:val="Default"/>
    <w:next w:val="Default"/>
    <w:uiPriority w:val="99"/>
    <w:rsid w:val="007E447D"/>
    <w:pPr>
      <w:spacing w:line="221" w:lineRule="atLeast"/>
    </w:pPr>
    <w:rPr>
      <w:rFonts w:ascii="FS Me Pro" w:hAnsi="FS Me Pro" w:cstheme="minorBidi"/>
      <w:color w:val="auto"/>
    </w:rPr>
  </w:style>
  <w:style w:type="paragraph" w:customStyle="1" w:styleId="Style1">
    <w:name w:val="Style1"/>
    <w:basedOn w:val="TableParagraph"/>
    <w:link w:val="Style1Char"/>
    <w:qFormat/>
    <w:rsid w:val="00F22DBC"/>
    <w:rPr>
      <w:rFonts w:asciiTheme="minorHAnsi" w:hAnsiTheme="minorHAnsi" w:cstheme="minorHAnsi"/>
    </w:rPr>
  </w:style>
  <w:style w:type="character" w:customStyle="1" w:styleId="TableParagraphChar">
    <w:name w:val="Table Paragraph Char"/>
    <w:basedOn w:val="DefaultParagraphFont"/>
    <w:link w:val="TableParagraph"/>
    <w:uiPriority w:val="1"/>
    <w:rsid w:val="00F22DBC"/>
    <w:rPr>
      <w:rFonts w:ascii="FS Me Light" w:eastAsia="FS Me Light" w:hAnsi="FS Me Light" w:cs="FS Me Light"/>
      <w:color w:val="auto"/>
      <w:sz w:val="22"/>
      <w:szCs w:val="22"/>
      <w:lang w:val="en-GB"/>
    </w:rPr>
  </w:style>
  <w:style w:type="character" w:customStyle="1" w:styleId="Style1Char">
    <w:name w:val="Style1 Char"/>
    <w:basedOn w:val="TableParagraphChar"/>
    <w:link w:val="Style1"/>
    <w:rsid w:val="00F22DBC"/>
    <w:rPr>
      <w:rFonts w:ascii="FS Me Light" w:eastAsia="FS Me Light" w:hAnsi="FS Me Light" w:cstheme="minorHAnsi"/>
      <w:color w:val="auto"/>
      <w:sz w:val="22"/>
      <w:szCs w:val="22"/>
      <w:lang w:val="en-GB"/>
    </w:rPr>
  </w:style>
  <w:style w:type="paragraph" w:customStyle="1" w:styleId="H2noTOC">
    <w:name w:val="H2 no TOC"/>
    <w:basedOn w:val="Heading2"/>
    <w:qFormat/>
    <w:rsid w:val="00452D48"/>
  </w:style>
  <w:style w:type="character" w:customStyle="1" w:styleId="ui-provider">
    <w:name w:val="ui-provider"/>
    <w:basedOn w:val="DefaultParagraphFont"/>
    <w:rsid w:val="00EC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7216">
      <w:bodyDiv w:val="1"/>
      <w:marLeft w:val="0"/>
      <w:marRight w:val="0"/>
      <w:marTop w:val="0"/>
      <w:marBottom w:val="0"/>
      <w:divBdr>
        <w:top w:val="none" w:sz="0" w:space="0" w:color="auto"/>
        <w:left w:val="none" w:sz="0" w:space="0" w:color="auto"/>
        <w:bottom w:val="none" w:sz="0" w:space="0" w:color="auto"/>
        <w:right w:val="none" w:sz="0" w:space="0" w:color="auto"/>
      </w:divBdr>
    </w:div>
    <w:div w:id="237372508">
      <w:bodyDiv w:val="1"/>
      <w:marLeft w:val="0"/>
      <w:marRight w:val="0"/>
      <w:marTop w:val="0"/>
      <w:marBottom w:val="0"/>
      <w:divBdr>
        <w:top w:val="none" w:sz="0" w:space="0" w:color="auto"/>
        <w:left w:val="none" w:sz="0" w:space="0" w:color="auto"/>
        <w:bottom w:val="none" w:sz="0" w:space="0" w:color="auto"/>
        <w:right w:val="none" w:sz="0" w:space="0" w:color="auto"/>
      </w:divBdr>
    </w:div>
    <w:div w:id="239872153">
      <w:bodyDiv w:val="1"/>
      <w:marLeft w:val="0"/>
      <w:marRight w:val="0"/>
      <w:marTop w:val="0"/>
      <w:marBottom w:val="0"/>
      <w:divBdr>
        <w:top w:val="none" w:sz="0" w:space="0" w:color="auto"/>
        <w:left w:val="none" w:sz="0" w:space="0" w:color="auto"/>
        <w:bottom w:val="none" w:sz="0" w:space="0" w:color="auto"/>
        <w:right w:val="none" w:sz="0" w:space="0" w:color="auto"/>
      </w:divBdr>
    </w:div>
    <w:div w:id="326984981">
      <w:bodyDiv w:val="1"/>
      <w:marLeft w:val="0"/>
      <w:marRight w:val="0"/>
      <w:marTop w:val="0"/>
      <w:marBottom w:val="0"/>
      <w:divBdr>
        <w:top w:val="none" w:sz="0" w:space="0" w:color="auto"/>
        <w:left w:val="none" w:sz="0" w:space="0" w:color="auto"/>
        <w:bottom w:val="none" w:sz="0" w:space="0" w:color="auto"/>
        <w:right w:val="none" w:sz="0" w:space="0" w:color="auto"/>
      </w:divBdr>
    </w:div>
    <w:div w:id="367681225">
      <w:bodyDiv w:val="1"/>
      <w:marLeft w:val="0"/>
      <w:marRight w:val="0"/>
      <w:marTop w:val="0"/>
      <w:marBottom w:val="0"/>
      <w:divBdr>
        <w:top w:val="none" w:sz="0" w:space="0" w:color="auto"/>
        <w:left w:val="none" w:sz="0" w:space="0" w:color="auto"/>
        <w:bottom w:val="none" w:sz="0" w:space="0" w:color="auto"/>
        <w:right w:val="none" w:sz="0" w:space="0" w:color="auto"/>
      </w:divBdr>
    </w:div>
    <w:div w:id="397703426">
      <w:bodyDiv w:val="1"/>
      <w:marLeft w:val="0"/>
      <w:marRight w:val="0"/>
      <w:marTop w:val="0"/>
      <w:marBottom w:val="0"/>
      <w:divBdr>
        <w:top w:val="none" w:sz="0" w:space="0" w:color="auto"/>
        <w:left w:val="none" w:sz="0" w:space="0" w:color="auto"/>
        <w:bottom w:val="none" w:sz="0" w:space="0" w:color="auto"/>
        <w:right w:val="none" w:sz="0" w:space="0" w:color="auto"/>
      </w:divBdr>
    </w:div>
    <w:div w:id="547227259">
      <w:bodyDiv w:val="1"/>
      <w:marLeft w:val="0"/>
      <w:marRight w:val="0"/>
      <w:marTop w:val="0"/>
      <w:marBottom w:val="0"/>
      <w:divBdr>
        <w:top w:val="none" w:sz="0" w:space="0" w:color="auto"/>
        <w:left w:val="none" w:sz="0" w:space="0" w:color="auto"/>
        <w:bottom w:val="none" w:sz="0" w:space="0" w:color="auto"/>
        <w:right w:val="none" w:sz="0" w:space="0" w:color="auto"/>
      </w:divBdr>
    </w:div>
    <w:div w:id="569846306">
      <w:bodyDiv w:val="1"/>
      <w:marLeft w:val="0"/>
      <w:marRight w:val="0"/>
      <w:marTop w:val="0"/>
      <w:marBottom w:val="0"/>
      <w:divBdr>
        <w:top w:val="none" w:sz="0" w:space="0" w:color="auto"/>
        <w:left w:val="none" w:sz="0" w:space="0" w:color="auto"/>
        <w:bottom w:val="none" w:sz="0" w:space="0" w:color="auto"/>
        <w:right w:val="none" w:sz="0" w:space="0" w:color="auto"/>
      </w:divBdr>
    </w:div>
    <w:div w:id="625738803">
      <w:bodyDiv w:val="1"/>
      <w:marLeft w:val="0"/>
      <w:marRight w:val="0"/>
      <w:marTop w:val="0"/>
      <w:marBottom w:val="0"/>
      <w:divBdr>
        <w:top w:val="none" w:sz="0" w:space="0" w:color="auto"/>
        <w:left w:val="none" w:sz="0" w:space="0" w:color="auto"/>
        <w:bottom w:val="none" w:sz="0" w:space="0" w:color="auto"/>
        <w:right w:val="none" w:sz="0" w:space="0" w:color="auto"/>
      </w:divBdr>
      <w:divsChild>
        <w:div w:id="1699234230">
          <w:marLeft w:val="994"/>
          <w:marRight w:val="0"/>
          <w:marTop w:val="0"/>
          <w:marBottom w:val="0"/>
          <w:divBdr>
            <w:top w:val="none" w:sz="0" w:space="0" w:color="auto"/>
            <w:left w:val="none" w:sz="0" w:space="0" w:color="auto"/>
            <w:bottom w:val="none" w:sz="0" w:space="0" w:color="auto"/>
            <w:right w:val="none" w:sz="0" w:space="0" w:color="auto"/>
          </w:divBdr>
        </w:div>
        <w:div w:id="1191189377">
          <w:marLeft w:val="994"/>
          <w:marRight w:val="0"/>
          <w:marTop w:val="0"/>
          <w:marBottom w:val="0"/>
          <w:divBdr>
            <w:top w:val="none" w:sz="0" w:space="0" w:color="auto"/>
            <w:left w:val="none" w:sz="0" w:space="0" w:color="auto"/>
            <w:bottom w:val="none" w:sz="0" w:space="0" w:color="auto"/>
            <w:right w:val="none" w:sz="0" w:space="0" w:color="auto"/>
          </w:divBdr>
        </w:div>
        <w:div w:id="872112659">
          <w:marLeft w:val="994"/>
          <w:marRight w:val="0"/>
          <w:marTop w:val="0"/>
          <w:marBottom w:val="0"/>
          <w:divBdr>
            <w:top w:val="none" w:sz="0" w:space="0" w:color="auto"/>
            <w:left w:val="none" w:sz="0" w:space="0" w:color="auto"/>
            <w:bottom w:val="none" w:sz="0" w:space="0" w:color="auto"/>
            <w:right w:val="none" w:sz="0" w:space="0" w:color="auto"/>
          </w:divBdr>
        </w:div>
      </w:divsChild>
    </w:div>
    <w:div w:id="638150642">
      <w:bodyDiv w:val="1"/>
      <w:marLeft w:val="0"/>
      <w:marRight w:val="0"/>
      <w:marTop w:val="0"/>
      <w:marBottom w:val="0"/>
      <w:divBdr>
        <w:top w:val="none" w:sz="0" w:space="0" w:color="auto"/>
        <w:left w:val="none" w:sz="0" w:space="0" w:color="auto"/>
        <w:bottom w:val="none" w:sz="0" w:space="0" w:color="auto"/>
        <w:right w:val="none" w:sz="0" w:space="0" w:color="auto"/>
      </w:divBdr>
    </w:div>
    <w:div w:id="650715913">
      <w:bodyDiv w:val="1"/>
      <w:marLeft w:val="0"/>
      <w:marRight w:val="0"/>
      <w:marTop w:val="0"/>
      <w:marBottom w:val="0"/>
      <w:divBdr>
        <w:top w:val="none" w:sz="0" w:space="0" w:color="auto"/>
        <w:left w:val="none" w:sz="0" w:space="0" w:color="auto"/>
        <w:bottom w:val="none" w:sz="0" w:space="0" w:color="auto"/>
        <w:right w:val="none" w:sz="0" w:space="0" w:color="auto"/>
      </w:divBdr>
    </w:div>
    <w:div w:id="676036299">
      <w:bodyDiv w:val="1"/>
      <w:marLeft w:val="0"/>
      <w:marRight w:val="0"/>
      <w:marTop w:val="0"/>
      <w:marBottom w:val="0"/>
      <w:divBdr>
        <w:top w:val="none" w:sz="0" w:space="0" w:color="auto"/>
        <w:left w:val="none" w:sz="0" w:space="0" w:color="auto"/>
        <w:bottom w:val="none" w:sz="0" w:space="0" w:color="auto"/>
        <w:right w:val="none" w:sz="0" w:space="0" w:color="auto"/>
      </w:divBdr>
      <w:divsChild>
        <w:div w:id="1487285819">
          <w:marLeft w:val="907"/>
          <w:marRight w:val="0"/>
          <w:marTop w:val="180"/>
          <w:marBottom w:val="120"/>
          <w:divBdr>
            <w:top w:val="none" w:sz="0" w:space="0" w:color="auto"/>
            <w:left w:val="none" w:sz="0" w:space="0" w:color="auto"/>
            <w:bottom w:val="none" w:sz="0" w:space="0" w:color="auto"/>
            <w:right w:val="none" w:sz="0" w:space="0" w:color="auto"/>
          </w:divBdr>
        </w:div>
      </w:divsChild>
    </w:div>
    <w:div w:id="874923958">
      <w:bodyDiv w:val="1"/>
      <w:marLeft w:val="0"/>
      <w:marRight w:val="0"/>
      <w:marTop w:val="0"/>
      <w:marBottom w:val="0"/>
      <w:divBdr>
        <w:top w:val="none" w:sz="0" w:space="0" w:color="auto"/>
        <w:left w:val="none" w:sz="0" w:space="0" w:color="auto"/>
        <w:bottom w:val="none" w:sz="0" w:space="0" w:color="auto"/>
        <w:right w:val="none" w:sz="0" w:space="0" w:color="auto"/>
      </w:divBdr>
    </w:div>
    <w:div w:id="946742534">
      <w:bodyDiv w:val="1"/>
      <w:marLeft w:val="0"/>
      <w:marRight w:val="0"/>
      <w:marTop w:val="0"/>
      <w:marBottom w:val="0"/>
      <w:divBdr>
        <w:top w:val="none" w:sz="0" w:space="0" w:color="auto"/>
        <w:left w:val="none" w:sz="0" w:space="0" w:color="auto"/>
        <w:bottom w:val="none" w:sz="0" w:space="0" w:color="auto"/>
        <w:right w:val="none" w:sz="0" w:space="0" w:color="auto"/>
      </w:divBdr>
    </w:div>
    <w:div w:id="989364009">
      <w:bodyDiv w:val="1"/>
      <w:marLeft w:val="0"/>
      <w:marRight w:val="0"/>
      <w:marTop w:val="0"/>
      <w:marBottom w:val="0"/>
      <w:divBdr>
        <w:top w:val="none" w:sz="0" w:space="0" w:color="auto"/>
        <w:left w:val="none" w:sz="0" w:space="0" w:color="auto"/>
        <w:bottom w:val="none" w:sz="0" w:space="0" w:color="auto"/>
        <w:right w:val="none" w:sz="0" w:space="0" w:color="auto"/>
      </w:divBdr>
    </w:div>
    <w:div w:id="1005088762">
      <w:bodyDiv w:val="1"/>
      <w:marLeft w:val="0"/>
      <w:marRight w:val="0"/>
      <w:marTop w:val="0"/>
      <w:marBottom w:val="0"/>
      <w:divBdr>
        <w:top w:val="none" w:sz="0" w:space="0" w:color="auto"/>
        <w:left w:val="none" w:sz="0" w:space="0" w:color="auto"/>
        <w:bottom w:val="none" w:sz="0" w:space="0" w:color="auto"/>
        <w:right w:val="none" w:sz="0" w:space="0" w:color="auto"/>
      </w:divBdr>
    </w:div>
    <w:div w:id="1013535095">
      <w:bodyDiv w:val="1"/>
      <w:marLeft w:val="0"/>
      <w:marRight w:val="0"/>
      <w:marTop w:val="0"/>
      <w:marBottom w:val="0"/>
      <w:divBdr>
        <w:top w:val="none" w:sz="0" w:space="0" w:color="auto"/>
        <w:left w:val="none" w:sz="0" w:space="0" w:color="auto"/>
        <w:bottom w:val="none" w:sz="0" w:space="0" w:color="auto"/>
        <w:right w:val="none" w:sz="0" w:space="0" w:color="auto"/>
      </w:divBdr>
    </w:div>
    <w:div w:id="1068380902">
      <w:bodyDiv w:val="1"/>
      <w:marLeft w:val="0"/>
      <w:marRight w:val="0"/>
      <w:marTop w:val="0"/>
      <w:marBottom w:val="0"/>
      <w:divBdr>
        <w:top w:val="none" w:sz="0" w:space="0" w:color="auto"/>
        <w:left w:val="none" w:sz="0" w:space="0" w:color="auto"/>
        <w:bottom w:val="none" w:sz="0" w:space="0" w:color="auto"/>
        <w:right w:val="none" w:sz="0" w:space="0" w:color="auto"/>
      </w:divBdr>
    </w:div>
    <w:div w:id="1072583215">
      <w:bodyDiv w:val="1"/>
      <w:marLeft w:val="0"/>
      <w:marRight w:val="0"/>
      <w:marTop w:val="0"/>
      <w:marBottom w:val="0"/>
      <w:divBdr>
        <w:top w:val="none" w:sz="0" w:space="0" w:color="auto"/>
        <w:left w:val="none" w:sz="0" w:space="0" w:color="auto"/>
        <w:bottom w:val="none" w:sz="0" w:space="0" w:color="auto"/>
        <w:right w:val="none" w:sz="0" w:space="0" w:color="auto"/>
      </w:divBdr>
    </w:div>
    <w:div w:id="1132283899">
      <w:bodyDiv w:val="1"/>
      <w:marLeft w:val="0"/>
      <w:marRight w:val="0"/>
      <w:marTop w:val="0"/>
      <w:marBottom w:val="0"/>
      <w:divBdr>
        <w:top w:val="none" w:sz="0" w:space="0" w:color="auto"/>
        <w:left w:val="none" w:sz="0" w:space="0" w:color="auto"/>
        <w:bottom w:val="none" w:sz="0" w:space="0" w:color="auto"/>
        <w:right w:val="none" w:sz="0" w:space="0" w:color="auto"/>
      </w:divBdr>
    </w:div>
    <w:div w:id="1132862605">
      <w:bodyDiv w:val="1"/>
      <w:marLeft w:val="0"/>
      <w:marRight w:val="0"/>
      <w:marTop w:val="0"/>
      <w:marBottom w:val="0"/>
      <w:divBdr>
        <w:top w:val="none" w:sz="0" w:space="0" w:color="auto"/>
        <w:left w:val="none" w:sz="0" w:space="0" w:color="auto"/>
        <w:bottom w:val="none" w:sz="0" w:space="0" w:color="auto"/>
        <w:right w:val="none" w:sz="0" w:space="0" w:color="auto"/>
      </w:divBdr>
    </w:div>
    <w:div w:id="1150636037">
      <w:bodyDiv w:val="1"/>
      <w:marLeft w:val="0"/>
      <w:marRight w:val="0"/>
      <w:marTop w:val="0"/>
      <w:marBottom w:val="0"/>
      <w:divBdr>
        <w:top w:val="none" w:sz="0" w:space="0" w:color="auto"/>
        <w:left w:val="none" w:sz="0" w:space="0" w:color="auto"/>
        <w:bottom w:val="none" w:sz="0" w:space="0" w:color="auto"/>
        <w:right w:val="none" w:sz="0" w:space="0" w:color="auto"/>
      </w:divBdr>
    </w:div>
    <w:div w:id="1546911958">
      <w:bodyDiv w:val="1"/>
      <w:marLeft w:val="0"/>
      <w:marRight w:val="0"/>
      <w:marTop w:val="0"/>
      <w:marBottom w:val="0"/>
      <w:divBdr>
        <w:top w:val="none" w:sz="0" w:space="0" w:color="auto"/>
        <w:left w:val="none" w:sz="0" w:space="0" w:color="auto"/>
        <w:bottom w:val="none" w:sz="0" w:space="0" w:color="auto"/>
        <w:right w:val="none" w:sz="0" w:space="0" w:color="auto"/>
      </w:divBdr>
    </w:div>
    <w:div w:id="1638990544">
      <w:bodyDiv w:val="1"/>
      <w:marLeft w:val="0"/>
      <w:marRight w:val="0"/>
      <w:marTop w:val="0"/>
      <w:marBottom w:val="0"/>
      <w:divBdr>
        <w:top w:val="none" w:sz="0" w:space="0" w:color="auto"/>
        <w:left w:val="none" w:sz="0" w:space="0" w:color="auto"/>
        <w:bottom w:val="none" w:sz="0" w:space="0" w:color="auto"/>
        <w:right w:val="none" w:sz="0" w:space="0" w:color="auto"/>
      </w:divBdr>
    </w:div>
    <w:div w:id="1705251272">
      <w:bodyDiv w:val="1"/>
      <w:marLeft w:val="0"/>
      <w:marRight w:val="0"/>
      <w:marTop w:val="0"/>
      <w:marBottom w:val="0"/>
      <w:divBdr>
        <w:top w:val="none" w:sz="0" w:space="0" w:color="auto"/>
        <w:left w:val="none" w:sz="0" w:space="0" w:color="auto"/>
        <w:bottom w:val="none" w:sz="0" w:space="0" w:color="auto"/>
        <w:right w:val="none" w:sz="0" w:space="0" w:color="auto"/>
      </w:divBdr>
    </w:div>
    <w:div w:id="1973749561">
      <w:bodyDiv w:val="1"/>
      <w:marLeft w:val="0"/>
      <w:marRight w:val="0"/>
      <w:marTop w:val="0"/>
      <w:marBottom w:val="0"/>
      <w:divBdr>
        <w:top w:val="none" w:sz="0" w:space="0" w:color="auto"/>
        <w:left w:val="none" w:sz="0" w:space="0" w:color="auto"/>
        <w:bottom w:val="none" w:sz="0" w:space="0" w:color="auto"/>
        <w:right w:val="none" w:sz="0" w:space="0" w:color="auto"/>
      </w:divBdr>
    </w:div>
    <w:div w:id="2026439601">
      <w:bodyDiv w:val="1"/>
      <w:marLeft w:val="0"/>
      <w:marRight w:val="0"/>
      <w:marTop w:val="0"/>
      <w:marBottom w:val="0"/>
      <w:divBdr>
        <w:top w:val="none" w:sz="0" w:space="0" w:color="auto"/>
        <w:left w:val="none" w:sz="0" w:space="0" w:color="auto"/>
        <w:bottom w:val="none" w:sz="0" w:space="0" w:color="auto"/>
        <w:right w:val="none" w:sz="0" w:space="0" w:color="auto"/>
      </w:divBdr>
    </w:div>
    <w:div w:id="20366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rschat.nrscall.gov.au/nrs/internetrela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egislation.gov.au/Series/C2013A000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c.gov.au/government/commonwealth-coat-arm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hyperlink" Target="http://www.facebook.com/ndiscommis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eader" Target="header3.xml"/><Relationship Id="rId28" Type="http://schemas.openxmlformats.org/officeDocument/2006/relationships/hyperlink" Target="https://www.ndiscommission.gov.au/about/corporate-documents" TargetMode="External"/><Relationship Id="rId10" Type="http://schemas.openxmlformats.org/officeDocument/2006/relationships/endnotes" Target="endnotes.xml"/><Relationship Id="rId19" Type="http://schemas.openxmlformats.org/officeDocument/2006/relationships/hyperlink" Target="file:///\\PRINFNAS002N\Users\MR0088\Corporate%20Plan%20drafts\www.linkedin.com\company\ndiscom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about/corporate-documents/2022-2027-strategic-plan" TargetMode="External"/><Relationship Id="rId27" Type="http://schemas.openxmlformats.org/officeDocument/2006/relationships/image" Target="media/image3.jpe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b01ae-e947-44c9-a4fd-faf1b1f4fcc8">
      <Terms xmlns="http://schemas.microsoft.com/office/infopath/2007/PartnerControls"/>
    </lcf76f155ced4ddcb4097134ff3c332f>
    <TaxCatchAll xmlns="2e27c6f4-f058-40dc-a875-8fb1c3bf5a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6DFD6460BE44FBC36F73CC43A03D4" ma:contentTypeVersion="17" ma:contentTypeDescription="Create a new document." ma:contentTypeScope="" ma:versionID="fe0785564e38662608df129f6d84cc18">
  <xsd:schema xmlns:xsd="http://www.w3.org/2001/XMLSchema" xmlns:xs="http://www.w3.org/2001/XMLSchema" xmlns:p="http://schemas.microsoft.com/office/2006/metadata/properties" xmlns:ns2="ff7b01ae-e947-44c9-a4fd-faf1b1f4fcc8" xmlns:ns3="2e27c6f4-f058-40dc-a875-8fb1c3bf5ac0" targetNamespace="http://schemas.microsoft.com/office/2006/metadata/properties" ma:root="true" ma:fieldsID="4dec58f677eae363fd55c6ce4df2f192" ns2:_="" ns3:_="">
    <xsd:import namespace="ff7b01ae-e947-44c9-a4fd-faf1b1f4fcc8"/>
    <xsd:import namespace="2e27c6f4-f058-40dc-a875-8fb1c3bf5ac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b01ae-e947-44c9-a4fd-faf1b1f4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866ade-c0f2-4dfe-b292-aa1aeda537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7c6f4-f058-40dc-a875-8fb1c3bf5a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b01b90-3ca6-4f97-8d21-09bf1908006f}" ma:internalName="TaxCatchAll" ma:showField="CatchAllData" ma:web="2e27c6f4-f058-40dc-a875-8fb1c3bf5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C67C-F5E6-4075-BD7E-F9CF670F4FCD}">
  <ds:schemaRefs>
    <ds:schemaRef ds:uri="http://schemas.microsoft.com/sharepoint/v3/contenttype/forms"/>
  </ds:schemaRefs>
</ds:datastoreItem>
</file>

<file path=customXml/itemProps2.xml><?xml version="1.0" encoding="utf-8"?>
<ds:datastoreItem xmlns:ds="http://schemas.openxmlformats.org/officeDocument/2006/customXml" ds:itemID="{4C90D4D1-55A6-4E33-B5B7-B6165B119646}">
  <ds:schemaRefs>
    <ds:schemaRef ds:uri="http://schemas.microsoft.com/office/2006/metadata/properties"/>
    <ds:schemaRef ds:uri="http://schemas.microsoft.com/office/infopath/2007/PartnerControls"/>
    <ds:schemaRef ds:uri="ff7b01ae-e947-44c9-a4fd-faf1b1f4fcc8"/>
    <ds:schemaRef ds:uri="2e27c6f4-f058-40dc-a875-8fb1c3bf5ac0"/>
  </ds:schemaRefs>
</ds:datastoreItem>
</file>

<file path=customXml/itemProps3.xml><?xml version="1.0" encoding="utf-8"?>
<ds:datastoreItem xmlns:ds="http://schemas.openxmlformats.org/officeDocument/2006/customXml" ds:itemID="{A4572576-8207-42FB-B764-07361369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b01ae-e947-44c9-a4fd-faf1b1f4fcc8"/>
    <ds:schemaRef ds:uri="2e27c6f4-f058-40dc-a875-8fb1c3bf5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515B8-13D6-48B8-A70C-60D4FEA6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11</TotalTime>
  <Pages>33</Pages>
  <Words>7561</Words>
  <Characters>44262</Characters>
  <Application>Microsoft Office Word</Application>
  <DocSecurity>0</DocSecurity>
  <Lines>1241</Lines>
  <Paragraphs>596</Paragraphs>
  <ScaleCrop>false</ScaleCrop>
  <HeadingPairs>
    <vt:vector size="2" baseType="variant">
      <vt:variant>
        <vt:lpstr>Title</vt:lpstr>
      </vt:variant>
      <vt:variant>
        <vt:i4>1</vt:i4>
      </vt:variant>
    </vt:vector>
  </HeadingPairs>
  <TitlesOfParts>
    <vt:vector size="1" baseType="lpstr">
      <vt:lpstr>NDIS Quality and Safeguards Commission Corporate Plan 2022–23</vt:lpstr>
    </vt:vector>
  </TitlesOfParts>
  <Company/>
  <LinksUpToDate>false</LinksUpToDate>
  <CharactersWithSpaces>51428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Quality and Safeguards Commission Corporate Plan 2022–23</dc:title>
  <dc:subject/>
  <dc:creator>NDIS Quality and Safeguards Commission</dc:creator>
  <cp:keywords>NDIS Quality and Safeguards Commission Corporate Plan 2022–23 [SEC=OFFICIAL]</cp:keywords>
  <dc:description/>
  <cp:lastModifiedBy>TUFFIN, Richard</cp:lastModifiedBy>
  <cp:revision>9</cp:revision>
  <cp:lastPrinted>2023-08-29T01:48:00Z</cp:lastPrinted>
  <dcterms:created xsi:type="dcterms:W3CDTF">2023-08-31T03:39:00Z</dcterms:created>
  <dcterms:modified xsi:type="dcterms:W3CDTF">2023-09-05T22:55:00Z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C72EF04F45D64656BD49DD95F5A5F1B4</vt:lpwstr>
  </property>
  <property fmtid="{D5CDD505-2E9C-101B-9397-08002B2CF9AE}" pid="9" name="PM_ProtectiveMarkingValue_Footer">
    <vt:lpwstr>OFFICIAL</vt:lpwstr>
  </property>
  <property fmtid="{D5CDD505-2E9C-101B-9397-08002B2CF9AE}" pid="10" name="PM_Originator_Hash_SHA1">
    <vt:lpwstr>24A22C638FFF37965E088F0FF6400383FA73D234</vt:lpwstr>
  </property>
  <property fmtid="{D5CDD505-2E9C-101B-9397-08002B2CF9AE}" pid="11" name="PM_OriginationTimeStamp">
    <vt:lpwstr>2023-09-05T22:55:54Z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E27215C822CC2D005B0FB1324A0BD0DA</vt:lpwstr>
  </property>
  <property fmtid="{D5CDD505-2E9C-101B-9397-08002B2CF9AE}" pid="21" name="PM_Hash_Salt">
    <vt:lpwstr>6F250C2EBB6E0393A2F10A5C8EBF7338</vt:lpwstr>
  </property>
  <property fmtid="{D5CDD505-2E9C-101B-9397-08002B2CF9AE}" pid="22" name="PM_Hash_SHA1">
    <vt:lpwstr>E21F8A3495D242101620FBEA91E514394153C788</vt:lpwstr>
  </property>
  <property fmtid="{D5CDD505-2E9C-101B-9397-08002B2CF9AE}" pid="23" name="PM_OriginatorUserAccountName_SHA256">
    <vt:lpwstr>A176AD0955C0E2F0070AD9F99826C36E0990983E73FD1572F77A0E07F9F54534</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0x0101009356DFD6460BE44FBC36F73CC43A03D4</vt:lpwstr>
  </property>
  <property fmtid="{D5CDD505-2E9C-101B-9397-08002B2CF9AE}" pid="29" name="MediaServiceImageTags">
    <vt:lpwstr/>
  </property>
</Properties>
</file>