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5DF48" w14:textId="77777777" w:rsidR="009E5FA8" w:rsidRPr="008F0C38" w:rsidRDefault="009E5FA8" w:rsidP="009E5FA8">
      <w:pPr>
        <w:pStyle w:val="4Titledescription"/>
        <w:rPr>
          <w:lang w:val="en-AU"/>
        </w:rPr>
      </w:pPr>
      <w:bookmarkStart w:id="0" w:name="_GoBack"/>
      <w:bookmarkEnd w:id="0"/>
      <w:r w:rsidRPr="008F0C38">
        <w:rPr>
          <w:noProof/>
          <w:lang w:val="en-AU"/>
        </w:rPr>
        <w:drawing>
          <wp:inline distT="0" distB="0" distL="0" distR="0" wp14:anchorId="70821480" wp14:editId="49596B0F">
            <wp:extent cx="635000" cy="76200"/>
            <wp:effectExtent l="0" t="0" r="0" b="0"/>
            <wp:docPr id="1073741825" name="officeArt object" descr="Brand element." title="Green line"/>
            <wp:cNvGraphicFramePr/>
            <a:graphic xmlns:a="http://schemas.openxmlformats.org/drawingml/2006/main">
              <a:graphicData uri="http://schemas.openxmlformats.org/drawingml/2006/picture">
                <pic:pic xmlns:pic="http://schemas.openxmlformats.org/drawingml/2006/picture">
                  <pic:nvPicPr>
                    <pic:cNvPr id="1073741825" name="Green-line.gif"/>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35000" cy="76200"/>
                    </a:xfrm>
                    <a:prstGeom prst="rect">
                      <a:avLst/>
                    </a:prstGeom>
                    <a:ln w="12700" cap="flat">
                      <a:noFill/>
                      <a:miter lim="400000"/>
                    </a:ln>
                    <a:effectLst/>
                  </pic:spPr>
                </pic:pic>
              </a:graphicData>
            </a:graphic>
          </wp:inline>
        </w:drawing>
      </w:r>
    </w:p>
    <w:p w14:paraId="0453A5CD" w14:textId="77777777" w:rsidR="009E5FA8" w:rsidRPr="004A7C3E" w:rsidRDefault="009E5FA8" w:rsidP="004A7C3E">
      <w:pPr>
        <w:pStyle w:val="1PracticeAlert"/>
      </w:pPr>
      <w:r w:rsidRPr="004A7C3E">
        <w:t>Practice Alert</w:t>
      </w:r>
    </w:p>
    <w:p w14:paraId="180C5861" w14:textId="77777777" w:rsidR="009E5FA8" w:rsidRPr="008F0C38" w:rsidRDefault="00D50A04" w:rsidP="009E5FA8">
      <w:pPr>
        <w:pStyle w:val="3Title-H1"/>
        <w:rPr>
          <w:lang w:val="en-AU"/>
        </w:rPr>
      </w:pPr>
      <w:r>
        <w:rPr>
          <w:lang w:val="en-AU"/>
        </w:rPr>
        <w:t>Oral</w:t>
      </w:r>
      <w:r w:rsidR="004D3DC8" w:rsidRPr="008F0C38">
        <w:rPr>
          <w:lang w:val="en-AU"/>
        </w:rPr>
        <w:t xml:space="preserve"> health </w:t>
      </w:r>
    </w:p>
    <w:p w14:paraId="2CA74FD7" w14:textId="5ECB18CB" w:rsidR="009E5FA8" w:rsidRPr="008F0C38" w:rsidRDefault="00011730" w:rsidP="009E5FA8">
      <w:pPr>
        <w:pStyle w:val="4Titledescription"/>
        <w:rPr>
          <w:lang w:val="en-AU"/>
        </w:rPr>
      </w:pPr>
      <w:r>
        <w:rPr>
          <w:lang w:val="en-AU"/>
        </w:rPr>
        <w:t>January 2023</w:t>
      </w:r>
    </w:p>
    <w:p w14:paraId="29AEB357" w14:textId="580B9D9D" w:rsidR="00C320EC" w:rsidRDefault="00C320EC" w:rsidP="00C320EC">
      <w:r w:rsidRPr="008F0C38">
        <w:t xml:space="preserve">This practice alert was </w:t>
      </w:r>
      <w:r w:rsidR="009E6C5B">
        <w:t xml:space="preserve">originally </w:t>
      </w:r>
      <w:r w:rsidRPr="008F0C38">
        <w:t>prepared by the Australian Commission on Safety and Quality in Health Care</w:t>
      </w:r>
      <w:r w:rsidR="00B259F9">
        <w:t xml:space="preserve"> as a </w:t>
      </w:r>
      <w:r w:rsidRPr="008F0C38">
        <w:t xml:space="preserve">joint publication </w:t>
      </w:r>
      <w:r w:rsidR="00B259F9">
        <w:t>with the</w:t>
      </w:r>
      <w:r w:rsidR="00B259F9" w:rsidRPr="008F0C38">
        <w:t xml:space="preserve"> </w:t>
      </w:r>
      <w:r w:rsidRPr="008F0C38">
        <w:t>NDIS Commission</w:t>
      </w:r>
      <w:r w:rsidR="009E6C5B">
        <w:t xml:space="preserve"> in July 2021</w:t>
      </w:r>
      <w:r w:rsidR="00B259F9">
        <w:t>.</w:t>
      </w:r>
      <w:r w:rsidRPr="008F0C38">
        <w:t xml:space="preserve"> </w:t>
      </w:r>
      <w:r w:rsidR="009E6C5B">
        <w:t xml:space="preserve">It was updated by the </w:t>
      </w:r>
      <w:r w:rsidR="009E6C5B" w:rsidRPr="008F0C38">
        <w:t>NDIS Commission</w:t>
      </w:r>
      <w:r w:rsidR="009E6C5B">
        <w:t xml:space="preserve"> in consultation with oral health professionals in January 2023. </w:t>
      </w:r>
    </w:p>
    <w:p w14:paraId="2E22C7FB" w14:textId="77777777" w:rsidR="009E5FA8" w:rsidRPr="008F0C38" w:rsidRDefault="009E5FA8" w:rsidP="009359E9">
      <w:pPr>
        <w:pStyle w:val="Keypoints-H2"/>
        <w:spacing w:before="240" w:after="240"/>
        <w:rPr>
          <w:lang w:val="en-AU"/>
        </w:rPr>
      </w:pPr>
      <w:r w:rsidRPr="008F0C38">
        <w:rPr>
          <w:lang w:val="en-AU"/>
        </w:rPr>
        <w:t>Key points</w:t>
      </w:r>
    </w:p>
    <w:p w14:paraId="50CE7D2A" w14:textId="77777777" w:rsidR="00054374" w:rsidRDefault="00054374" w:rsidP="00D50A04">
      <w:pPr>
        <w:pStyle w:val="6Aboutbullet"/>
        <w:spacing w:before="240"/>
        <w:ind w:right="-34"/>
        <w:rPr>
          <w:lang w:val="en-AU"/>
        </w:rPr>
      </w:pPr>
      <w:r w:rsidRPr="00054374">
        <w:rPr>
          <w:lang w:val="en-AU"/>
        </w:rPr>
        <w:t xml:space="preserve">Oral health refers to the condition of a person’s teeth and gums, as well as the health of the muscles and bones in their mouth. </w:t>
      </w:r>
    </w:p>
    <w:p w14:paraId="075EA494" w14:textId="7C046CCA" w:rsidR="00D50A04" w:rsidRDefault="00D50A04" w:rsidP="00D50A04">
      <w:pPr>
        <w:pStyle w:val="6Aboutbullet"/>
        <w:spacing w:before="240"/>
        <w:ind w:right="-34"/>
        <w:rPr>
          <w:lang w:val="en-AU"/>
        </w:rPr>
      </w:pPr>
      <w:r>
        <w:t>People with disability are at</w:t>
      </w:r>
      <w:r w:rsidR="00731335">
        <w:t xml:space="preserve"> greater</w:t>
      </w:r>
      <w:r>
        <w:t xml:space="preserve"> </w:t>
      </w:r>
      <w:r w:rsidRPr="009D17D5">
        <w:t>risk of poor oral</w:t>
      </w:r>
      <w:r>
        <w:t xml:space="preserve"> (or dental)</w:t>
      </w:r>
      <w:r w:rsidRPr="009D17D5">
        <w:t xml:space="preserve"> health</w:t>
      </w:r>
      <w:r>
        <w:t xml:space="preserve">, such as </w:t>
      </w:r>
      <w:r w:rsidR="009573FC">
        <w:t>gum disease</w:t>
      </w:r>
      <w:r>
        <w:t xml:space="preserve">, tooth decay, loss of teeth </w:t>
      </w:r>
      <w:r w:rsidRPr="009D17D5">
        <w:t>and subsequent illnesses</w:t>
      </w:r>
      <w:r>
        <w:t xml:space="preserve">. This can have </w:t>
      </w:r>
      <w:r w:rsidRPr="002C2A7B">
        <w:t>a detrimental effect on the person and their health</w:t>
      </w:r>
      <w:r w:rsidR="007369E1">
        <w:t>, wellbeing</w:t>
      </w:r>
      <w:r w:rsidR="00DB7E72">
        <w:t>,</w:t>
      </w:r>
      <w:r w:rsidR="007369E1">
        <w:t xml:space="preserve"> and quality of life.</w:t>
      </w:r>
    </w:p>
    <w:p w14:paraId="54DC84AD" w14:textId="06A0E0B0" w:rsidR="00D50A04" w:rsidRDefault="009E6C5B" w:rsidP="00D50A04">
      <w:pPr>
        <w:pStyle w:val="6Aboutbullet"/>
        <w:spacing w:before="240"/>
        <w:ind w:right="-34"/>
        <w:rPr>
          <w:lang w:val="en-AU"/>
        </w:rPr>
      </w:pPr>
      <w:r>
        <w:t>People with a disability can be supported to maintain g</w:t>
      </w:r>
      <w:r w:rsidR="00D50A04" w:rsidRPr="009D17D5">
        <w:t xml:space="preserve">ood oral health </w:t>
      </w:r>
      <w:r w:rsidR="00BE6F63">
        <w:t>routine</w:t>
      </w:r>
      <w:r w:rsidR="00F57DD2">
        <w:t xml:space="preserve"> </w:t>
      </w:r>
      <w:r>
        <w:t xml:space="preserve">such as </w:t>
      </w:r>
      <w:r w:rsidR="0013668F">
        <w:t xml:space="preserve">twice daily </w:t>
      </w:r>
      <w:r w:rsidR="00D50A04">
        <w:t xml:space="preserve">brushing </w:t>
      </w:r>
      <w:r w:rsidR="00F57DD2">
        <w:t xml:space="preserve">of teeth </w:t>
      </w:r>
      <w:r w:rsidR="00BE6F63">
        <w:t xml:space="preserve">using a fluoride toothpaste, </w:t>
      </w:r>
      <w:r w:rsidR="0013668F">
        <w:t>flossing</w:t>
      </w:r>
      <w:r w:rsidR="00731335">
        <w:t xml:space="preserve"> </w:t>
      </w:r>
      <w:r>
        <w:t xml:space="preserve">between </w:t>
      </w:r>
      <w:r w:rsidR="00731335">
        <w:t>teeth</w:t>
      </w:r>
      <w:r w:rsidR="00BE6F63">
        <w:t xml:space="preserve"> and annual</w:t>
      </w:r>
      <w:r w:rsidR="00BE6F63" w:rsidRPr="009D17D5">
        <w:t xml:space="preserve"> dental checkup</w:t>
      </w:r>
      <w:r w:rsidR="00BE6F63">
        <w:t>s</w:t>
      </w:r>
      <w:r w:rsidR="0013668F">
        <w:t>. Also important is</w:t>
      </w:r>
      <w:r w:rsidR="00D50A04">
        <w:t xml:space="preserve"> good nutrition </w:t>
      </w:r>
      <w:r w:rsidR="00D50A04" w:rsidRPr="009D17D5">
        <w:t xml:space="preserve">and </w:t>
      </w:r>
      <w:r>
        <w:t xml:space="preserve">timely access to </w:t>
      </w:r>
      <w:r w:rsidR="00DB7E72">
        <w:t xml:space="preserve">dental </w:t>
      </w:r>
      <w:r w:rsidR="00D50A04" w:rsidRPr="009D17D5">
        <w:t xml:space="preserve">treatment. </w:t>
      </w:r>
    </w:p>
    <w:p w14:paraId="2ADAC28E" w14:textId="2FA9C53B" w:rsidR="004D3DC8" w:rsidRPr="00152D68" w:rsidRDefault="00D50A04" w:rsidP="00837C11">
      <w:pPr>
        <w:pStyle w:val="6Aboutbullet"/>
        <w:spacing w:before="240"/>
        <w:ind w:right="-34"/>
        <w:rPr>
          <w:lang w:val="en-AU"/>
        </w:rPr>
      </w:pPr>
      <w:r w:rsidRPr="00CC31A6">
        <w:t xml:space="preserve">Providers </w:t>
      </w:r>
      <w:r w:rsidR="00B869EE">
        <w:t>should</w:t>
      </w:r>
      <w:r w:rsidRPr="00CC31A6">
        <w:t xml:space="preserve"> monitor </w:t>
      </w:r>
      <w:r>
        <w:t>participant</w:t>
      </w:r>
      <w:r w:rsidRPr="00CC31A6">
        <w:t>s</w:t>
      </w:r>
      <w:r>
        <w:t>’</w:t>
      </w:r>
      <w:r w:rsidRPr="00CC31A6">
        <w:t xml:space="preserve"> health, safety and wellbeing, support participants to maintain their health and to access appropriate health services</w:t>
      </w:r>
      <w:r>
        <w:t xml:space="preserve">, </w:t>
      </w:r>
      <w:r w:rsidRPr="00D50A04">
        <w:rPr>
          <w:bCs/>
        </w:rPr>
        <w:t>including oral health services</w:t>
      </w:r>
      <w:r w:rsidR="009573FC">
        <w:rPr>
          <w:bCs/>
        </w:rPr>
        <w:t xml:space="preserve">. </w:t>
      </w:r>
    </w:p>
    <w:p w14:paraId="25669608" w14:textId="77777777" w:rsidR="00AD7AD7" w:rsidRPr="008C56E7" w:rsidRDefault="00D50A04" w:rsidP="008C56E7">
      <w:pPr>
        <w:pStyle w:val="Heading1"/>
      </w:pPr>
      <w:r w:rsidRPr="008C56E7">
        <w:t>Why is oral health a problem?</w:t>
      </w:r>
    </w:p>
    <w:p w14:paraId="6B967F94" w14:textId="48308D19" w:rsidR="00D50A04" w:rsidRDefault="00D50A04" w:rsidP="00D50A04">
      <w:pPr>
        <w:spacing w:after="0"/>
        <w:rPr>
          <w:rFonts w:cstheme="minorHAnsi"/>
          <w:lang w:val="en-US"/>
        </w:rPr>
      </w:pPr>
      <w:r>
        <w:rPr>
          <w:rFonts w:cstheme="minorHAnsi"/>
          <w:lang w:val="en-US"/>
        </w:rPr>
        <w:t>P</w:t>
      </w:r>
      <w:r w:rsidRPr="009D17D5">
        <w:rPr>
          <w:rFonts w:cstheme="minorHAnsi"/>
          <w:lang w:val="en-US"/>
        </w:rPr>
        <w:t>eo</w:t>
      </w:r>
      <w:r>
        <w:rPr>
          <w:rFonts w:cstheme="minorHAnsi"/>
          <w:lang w:val="en-US"/>
        </w:rPr>
        <w:t xml:space="preserve">ple with disability are at a </w:t>
      </w:r>
      <w:r w:rsidR="0050631E">
        <w:rPr>
          <w:rFonts w:cstheme="minorHAnsi"/>
          <w:lang w:val="en-US"/>
        </w:rPr>
        <w:t>greater</w:t>
      </w:r>
      <w:r w:rsidR="0050631E" w:rsidRPr="009D17D5">
        <w:rPr>
          <w:rFonts w:cstheme="minorHAnsi"/>
          <w:lang w:val="en-US"/>
        </w:rPr>
        <w:t xml:space="preserve"> </w:t>
      </w:r>
      <w:r w:rsidRPr="009D17D5">
        <w:rPr>
          <w:rFonts w:cstheme="minorHAnsi"/>
          <w:lang w:val="en-US"/>
        </w:rPr>
        <w:t>risk of</w:t>
      </w:r>
      <w:r>
        <w:rPr>
          <w:rFonts w:cstheme="minorHAnsi"/>
          <w:lang w:val="en-US"/>
        </w:rPr>
        <w:t xml:space="preserve"> poor </w:t>
      </w:r>
      <w:r w:rsidRPr="009D17D5">
        <w:rPr>
          <w:rFonts w:cstheme="minorHAnsi"/>
          <w:lang w:val="en-US"/>
        </w:rPr>
        <w:t xml:space="preserve">oral health </w:t>
      </w:r>
      <w:r>
        <w:rPr>
          <w:rFonts w:cstheme="minorHAnsi"/>
          <w:lang w:val="en-US"/>
        </w:rPr>
        <w:t>because</w:t>
      </w:r>
      <w:r w:rsidRPr="009D17D5">
        <w:rPr>
          <w:rFonts w:cstheme="minorHAnsi"/>
          <w:lang w:val="en-US"/>
        </w:rPr>
        <w:t xml:space="preserve"> over their lifetime </w:t>
      </w:r>
      <w:r>
        <w:rPr>
          <w:rFonts w:cstheme="minorHAnsi"/>
          <w:lang w:val="en-US"/>
        </w:rPr>
        <w:t xml:space="preserve">they are more likely to </w:t>
      </w:r>
      <w:r w:rsidRPr="009D17D5">
        <w:rPr>
          <w:rFonts w:cstheme="minorHAnsi"/>
          <w:lang w:val="en-US"/>
        </w:rPr>
        <w:t>have experienced poor nutrition, poor dental hyg</w:t>
      </w:r>
      <w:r>
        <w:rPr>
          <w:rFonts w:cstheme="minorHAnsi"/>
          <w:lang w:val="en-US"/>
        </w:rPr>
        <w:t xml:space="preserve">iene and lack of access to </w:t>
      </w:r>
      <w:r w:rsidRPr="009D17D5">
        <w:rPr>
          <w:rFonts w:cstheme="minorHAnsi"/>
          <w:lang w:val="en-US"/>
        </w:rPr>
        <w:t>oral health care</w:t>
      </w:r>
      <w:r>
        <w:rPr>
          <w:rFonts w:cstheme="minorHAnsi"/>
          <w:lang w:val="en-US"/>
        </w:rPr>
        <w:t xml:space="preserve"> services</w:t>
      </w:r>
      <w:r w:rsidRPr="009D17D5">
        <w:rPr>
          <w:rFonts w:cstheme="minorHAnsi"/>
          <w:lang w:val="en-US"/>
        </w:rPr>
        <w:t xml:space="preserve">. </w:t>
      </w:r>
      <w:r>
        <w:rPr>
          <w:rFonts w:cstheme="minorHAnsi"/>
          <w:lang w:val="en-US"/>
        </w:rPr>
        <w:t xml:space="preserve">As a result, many people with disability may have </w:t>
      </w:r>
      <w:r w:rsidRPr="009D17D5">
        <w:rPr>
          <w:rFonts w:cstheme="minorHAnsi"/>
          <w:lang w:val="en-US"/>
        </w:rPr>
        <w:t xml:space="preserve">tooth decay, gum inflammation and </w:t>
      </w:r>
      <w:r>
        <w:rPr>
          <w:rFonts w:cstheme="minorHAnsi"/>
          <w:lang w:val="en-US"/>
        </w:rPr>
        <w:t>damage,</w:t>
      </w:r>
      <w:r w:rsidRPr="009D17D5">
        <w:rPr>
          <w:rFonts w:cstheme="minorHAnsi"/>
          <w:lang w:val="en-US"/>
        </w:rPr>
        <w:t xml:space="preserve"> ulcerations, </w:t>
      </w:r>
      <w:r>
        <w:rPr>
          <w:rFonts w:cstheme="minorHAnsi"/>
          <w:lang w:val="en-US"/>
        </w:rPr>
        <w:t xml:space="preserve">mouth </w:t>
      </w:r>
      <w:r w:rsidRPr="009D17D5">
        <w:rPr>
          <w:rFonts w:cstheme="minorHAnsi"/>
          <w:lang w:val="en-US"/>
        </w:rPr>
        <w:t>infections</w:t>
      </w:r>
      <w:r w:rsidR="00054374" w:rsidRPr="00054374">
        <w:rPr>
          <w:rFonts w:cstheme="minorHAnsi"/>
          <w:lang w:val="en-US"/>
        </w:rPr>
        <w:t xml:space="preserve"> </w:t>
      </w:r>
      <w:r w:rsidR="00054374">
        <w:rPr>
          <w:rFonts w:cstheme="minorHAnsi"/>
          <w:lang w:val="en-US"/>
        </w:rPr>
        <w:t>and tooth loss</w:t>
      </w:r>
      <w:r>
        <w:rPr>
          <w:rFonts w:cstheme="minorHAnsi"/>
          <w:lang w:val="en-US"/>
        </w:rPr>
        <w:t>.</w:t>
      </w:r>
    </w:p>
    <w:p w14:paraId="07A94655" w14:textId="77777777" w:rsidR="00D50A04" w:rsidRPr="009D17D5" w:rsidRDefault="00D50A04" w:rsidP="00D50A04">
      <w:pPr>
        <w:spacing w:after="0"/>
        <w:rPr>
          <w:rFonts w:cstheme="minorHAnsi"/>
          <w:lang w:val="en-US"/>
        </w:rPr>
      </w:pPr>
      <w:r>
        <w:rPr>
          <w:rFonts w:cstheme="minorHAnsi"/>
          <w:lang w:val="en-US"/>
        </w:rPr>
        <w:t xml:space="preserve">If not treated, oral </w:t>
      </w:r>
      <w:r w:rsidRPr="009D17D5">
        <w:rPr>
          <w:rFonts w:cstheme="minorHAnsi"/>
          <w:lang w:val="en-US"/>
        </w:rPr>
        <w:t xml:space="preserve">health conditions </w:t>
      </w:r>
      <w:r>
        <w:rPr>
          <w:rFonts w:cstheme="minorHAnsi"/>
          <w:lang w:val="en-US"/>
        </w:rPr>
        <w:t xml:space="preserve">can </w:t>
      </w:r>
      <w:r w:rsidRPr="009D17D5">
        <w:rPr>
          <w:rFonts w:cstheme="minorHAnsi"/>
          <w:lang w:val="en-US"/>
        </w:rPr>
        <w:t xml:space="preserve">lead to </w:t>
      </w:r>
      <w:r>
        <w:rPr>
          <w:rFonts w:cstheme="minorHAnsi"/>
          <w:lang w:val="en-US"/>
        </w:rPr>
        <w:t>loss of teeth, inability to eat certain food</w:t>
      </w:r>
      <w:r w:rsidR="009573FC">
        <w:rPr>
          <w:rFonts w:cstheme="minorHAnsi"/>
          <w:lang w:val="en-US"/>
        </w:rPr>
        <w:t xml:space="preserve"> or drinks</w:t>
      </w:r>
      <w:r>
        <w:rPr>
          <w:rFonts w:cstheme="minorHAnsi"/>
          <w:lang w:val="en-US"/>
        </w:rPr>
        <w:t xml:space="preserve">, acute and </w:t>
      </w:r>
      <w:r w:rsidRPr="009D17D5">
        <w:rPr>
          <w:rFonts w:cstheme="minorHAnsi"/>
          <w:lang w:val="en-US"/>
        </w:rPr>
        <w:t xml:space="preserve">chronic pain, </w:t>
      </w:r>
      <w:r>
        <w:rPr>
          <w:rFonts w:cstheme="minorHAnsi"/>
          <w:lang w:val="en-US"/>
        </w:rPr>
        <w:t>illness and hospitalisation.</w:t>
      </w:r>
      <w:r w:rsidR="009573FC">
        <w:rPr>
          <w:rFonts w:cstheme="minorHAnsi"/>
          <w:lang w:val="en-US"/>
        </w:rPr>
        <w:t xml:space="preserve"> Diseases of the mouth can also impact the health of the whole body.</w:t>
      </w:r>
    </w:p>
    <w:p w14:paraId="302C9DC0" w14:textId="3E85DBB3" w:rsidR="00F651C1" w:rsidRPr="00011730" w:rsidRDefault="00F651C1" w:rsidP="00581CD7">
      <w:pPr>
        <w:rPr>
          <w:lang w:val="en-US"/>
        </w:rPr>
      </w:pPr>
      <w:r w:rsidRPr="00011730">
        <w:rPr>
          <w:lang w:val="en-US"/>
        </w:rPr>
        <w:lastRenderedPageBreak/>
        <w:t xml:space="preserve">Poor oral health can </w:t>
      </w:r>
      <w:r w:rsidR="00935716">
        <w:rPr>
          <w:lang w:val="en-US"/>
        </w:rPr>
        <w:t xml:space="preserve">also </w:t>
      </w:r>
      <w:r w:rsidRPr="00011730">
        <w:rPr>
          <w:lang w:val="en-US"/>
        </w:rPr>
        <w:t>affect psychological and emotional wellbeing as it can stop a person from eating comfortably, sleeping well, smiling and interacting with others. In turn, a person with disability may become isolated and uncommunicative. The presence of pain may result in changes to their behavior such as irritation or distress.</w:t>
      </w:r>
    </w:p>
    <w:p w14:paraId="70885AFD" w14:textId="4FB3A831" w:rsidR="00D50A04" w:rsidRDefault="00D50A04" w:rsidP="00581CD7">
      <w:r>
        <w:rPr>
          <w:lang w:val="en-US"/>
        </w:rPr>
        <w:t xml:space="preserve">Other risks include </w:t>
      </w:r>
      <w:r w:rsidRPr="009D17D5">
        <w:rPr>
          <w:lang w:val="en-US"/>
        </w:rPr>
        <w:t>dysphagia (difficulty swallowing food and drink)</w:t>
      </w:r>
      <w:r>
        <w:rPr>
          <w:lang w:val="en-US"/>
        </w:rPr>
        <w:t xml:space="preserve">. People with disability </w:t>
      </w:r>
      <w:r w:rsidRPr="009D17D5">
        <w:rPr>
          <w:lang w:val="en-US"/>
        </w:rPr>
        <w:t xml:space="preserve">who are on soft diets are at </w:t>
      </w:r>
      <w:r>
        <w:rPr>
          <w:lang w:val="en-US"/>
        </w:rPr>
        <w:t xml:space="preserve">additional </w:t>
      </w:r>
      <w:r w:rsidRPr="009D17D5">
        <w:rPr>
          <w:lang w:val="en-US"/>
        </w:rPr>
        <w:t xml:space="preserve">risk of tooth and gum diseases from food remaining in their mouth after a meal. This can cause infections and aspiration of food. </w:t>
      </w:r>
      <w:r>
        <w:rPr>
          <w:lang w:val="en-US"/>
        </w:rPr>
        <w:t xml:space="preserve">You can read more in </w:t>
      </w:r>
      <w:r w:rsidRPr="001D218D">
        <w:t xml:space="preserve">our </w:t>
      </w:r>
      <w:hyperlink r:id="rId9" w:history="1">
        <w:r w:rsidRPr="00581CD7">
          <w:rPr>
            <w:rStyle w:val="Hyperlink"/>
          </w:rPr>
          <w:t>Practice Alert: dysphagia, safe swallowing and mealtime management</w:t>
        </w:r>
      </w:hyperlink>
      <w:r>
        <w:t>.</w:t>
      </w:r>
      <w:r w:rsidRPr="00761504">
        <w:t xml:space="preserve"> </w:t>
      </w:r>
    </w:p>
    <w:p w14:paraId="32380B0C" w14:textId="24DFBA5A" w:rsidR="00D50A04" w:rsidRPr="009D17D5" w:rsidRDefault="00935716" w:rsidP="00581CD7">
      <w:r>
        <w:rPr>
          <w:lang w:val="en-US"/>
        </w:rPr>
        <w:t>Providers</w:t>
      </w:r>
      <w:r w:rsidRPr="009D17D5">
        <w:rPr>
          <w:lang w:val="en-US"/>
        </w:rPr>
        <w:t xml:space="preserve"> </w:t>
      </w:r>
      <w:r w:rsidR="00D50A04" w:rsidRPr="009D17D5">
        <w:rPr>
          <w:lang w:val="en-US"/>
        </w:rPr>
        <w:t xml:space="preserve">supporting people with disability </w:t>
      </w:r>
      <w:r w:rsidR="00D50A04">
        <w:rPr>
          <w:lang w:val="en-US"/>
        </w:rPr>
        <w:t xml:space="preserve">may </w:t>
      </w:r>
      <w:r w:rsidR="00D50A04" w:rsidRPr="009D17D5">
        <w:rPr>
          <w:lang w:val="en-US"/>
        </w:rPr>
        <w:t xml:space="preserve">not </w:t>
      </w:r>
      <w:r w:rsidR="00D50A04">
        <w:rPr>
          <w:lang w:val="en-US"/>
        </w:rPr>
        <w:t xml:space="preserve">be </w:t>
      </w:r>
      <w:r w:rsidR="00D50A04" w:rsidRPr="009D17D5">
        <w:rPr>
          <w:lang w:val="en-US"/>
        </w:rPr>
        <w:t xml:space="preserve">aware of </w:t>
      </w:r>
      <w:r>
        <w:rPr>
          <w:lang w:val="en-US"/>
        </w:rPr>
        <w:t xml:space="preserve">how to support participants with their </w:t>
      </w:r>
      <w:r w:rsidR="00D50A04" w:rsidRPr="009D17D5">
        <w:rPr>
          <w:lang w:val="en-US"/>
        </w:rPr>
        <w:t xml:space="preserve">oral health and </w:t>
      </w:r>
      <w:r w:rsidR="00D50A04">
        <w:rPr>
          <w:lang w:val="en-US"/>
        </w:rPr>
        <w:t>may</w:t>
      </w:r>
      <w:r w:rsidR="00D50A04" w:rsidRPr="009D17D5">
        <w:rPr>
          <w:lang w:val="en-US"/>
        </w:rPr>
        <w:t xml:space="preserve"> not </w:t>
      </w:r>
      <w:r w:rsidR="00986521">
        <w:rPr>
          <w:lang w:val="en-US"/>
        </w:rPr>
        <w:t>be aware that they may have oral health</w:t>
      </w:r>
      <w:r w:rsidR="00986521" w:rsidRPr="009D17D5">
        <w:rPr>
          <w:lang w:val="en-US"/>
        </w:rPr>
        <w:t xml:space="preserve"> </w:t>
      </w:r>
      <w:r w:rsidR="00D50A04" w:rsidRPr="009D17D5">
        <w:rPr>
          <w:lang w:val="en-US"/>
        </w:rPr>
        <w:t>problems such as</w:t>
      </w:r>
      <w:r w:rsidR="00D50A04">
        <w:rPr>
          <w:lang w:val="en-US"/>
        </w:rPr>
        <w:t xml:space="preserve"> pain</w:t>
      </w:r>
      <w:r w:rsidR="009573FC">
        <w:rPr>
          <w:lang w:val="en-US"/>
        </w:rPr>
        <w:t>, tooth decay or</w:t>
      </w:r>
      <w:r w:rsidR="00D50A04">
        <w:rPr>
          <w:lang w:val="en-US"/>
        </w:rPr>
        <w:t xml:space="preserve"> </w:t>
      </w:r>
      <w:r w:rsidR="009573FC">
        <w:rPr>
          <w:lang w:val="en-US"/>
        </w:rPr>
        <w:t xml:space="preserve">gum </w:t>
      </w:r>
      <w:r w:rsidR="008109A9">
        <w:rPr>
          <w:lang w:val="en-US"/>
        </w:rPr>
        <w:t>disease</w:t>
      </w:r>
      <w:r w:rsidR="00D50A04">
        <w:rPr>
          <w:lang w:val="en-US"/>
        </w:rPr>
        <w:t xml:space="preserve">. </w:t>
      </w:r>
      <w:r w:rsidR="00986521">
        <w:rPr>
          <w:lang w:val="en-US"/>
        </w:rPr>
        <w:t xml:space="preserve"> It may be particularly difficult to identify that a participant has oral health problems if they have communication difficulties. </w:t>
      </w:r>
    </w:p>
    <w:p w14:paraId="2B0CA520" w14:textId="77777777" w:rsidR="00D50A04" w:rsidRPr="009D17D5" w:rsidRDefault="00D50A04" w:rsidP="00A971E8">
      <w:pPr>
        <w:pStyle w:val="Heading1"/>
      </w:pPr>
      <w:r w:rsidRPr="009D17D5">
        <w:t>How oral health problems can be addressed</w:t>
      </w:r>
    </w:p>
    <w:p w14:paraId="7E2E92FA" w14:textId="040C76BA" w:rsidR="00A971E8" w:rsidRDefault="00D50A04" w:rsidP="00D50A04">
      <w:pPr>
        <w:spacing w:after="0"/>
        <w:rPr>
          <w:rFonts w:cstheme="minorHAnsi"/>
          <w:lang w:val="en-US"/>
        </w:rPr>
      </w:pPr>
      <w:r w:rsidRPr="009D17D5">
        <w:rPr>
          <w:rFonts w:cstheme="minorHAnsi"/>
          <w:lang w:val="en-US"/>
        </w:rPr>
        <w:t xml:space="preserve">Oral health problems can be addressed </w:t>
      </w:r>
      <w:r>
        <w:rPr>
          <w:rFonts w:cstheme="minorHAnsi"/>
          <w:lang w:val="en-US"/>
        </w:rPr>
        <w:t>by</w:t>
      </w:r>
      <w:r w:rsidRPr="009D17D5">
        <w:rPr>
          <w:rFonts w:cstheme="minorHAnsi"/>
          <w:lang w:val="en-US"/>
        </w:rPr>
        <w:t xml:space="preserve"> taking</w:t>
      </w:r>
      <w:r>
        <w:rPr>
          <w:rFonts w:cstheme="minorHAnsi"/>
          <w:lang w:val="en-US"/>
        </w:rPr>
        <w:t xml:space="preserve"> care of the whole mouth, which includes teeth, gums</w:t>
      </w:r>
      <w:r w:rsidR="009573FC">
        <w:rPr>
          <w:rFonts w:cstheme="minorHAnsi"/>
          <w:lang w:val="en-US"/>
        </w:rPr>
        <w:t>, lips</w:t>
      </w:r>
      <w:r>
        <w:rPr>
          <w:rFonts w:cstheme="minorHAnsi"/>
          <w:lang w:val="en-US"/>
        </w:rPr>
        <w:t xml:space="preserve"> and cheeks.</w:t>
      </w:r>
      <w:r w:rsidRPr="009D17D5">
        <w:rPr>
          <w:rFonts w:cstheme="minorHAnsi"/>
          <w:lang w:val="en-US"/>
        </w:rPr>
        <w:t xml:space="preserve"> </w:t>
      </w:r>
      <w:r w:rsidR="00A971E8">
        <w:rPr>
          <w:rFonts w:cstheme="minorHAnsi"/>
          <w:lang w:val="en-US"/>
        </w:rPr>
        <w:t>Annual</w:t>
      </w:r>
      <w:r w:rsidR="00A971E8" w:rsidRPr="009D17D5">
        <w:rPr>
          <w:rFonts w:cstheme="minorHAnsi"/>
          <w:lang w:val="en-US"/>
        </w:rPr>
        <w:t xml:space="preserve"> dental checkups </w:t>
      </w:r>
      <w:r w:rsidR="00A971E8">
        <w:rPr>
          <w:rFonts w:cstheme="minorHAnsi"/>
          <w:lang w:val="en-US"/>
        </w:rPr>
        <w:t>allow for early detection and treatment of oral health issues. It is also necessary to see an oral health practitioner if</w:t>
      </w:r>
      <w:r w:rsidR="00A971E8" w:rsidRPr="009D17D5">
        <w:rPr>
          <w:rFonts w:cstheme="minorHAnsi"/>
          <w:lang w:val="en-US"/>
        </w:rPr>
        <w:t xml:space="preserve"> gums bleed, become </w:t>
      </w:r>
      <w:r w:rsidR="00A971E8">
        <w:rPr>
          <w:rFonts w:cstheme="minorHAnsi"/>
          <w:lang w:val="en-US"/>
        </w:rPr>
        <w:t>puffy or lumpy, and/or inflamed, and if a participant complains of, or demonstrates oral pain.</w:t>
      </w:r>
    </w:p>
    <w:p w14:paraId="1F278755" w14:textId="5FCF09C4" w:rsidR="00D50A04" w:rsidRPr="009D17D5" w:rsidRDefault="00A971E8" w:rsidP="00D50A04">
      <w:pPr>
        <w:spacing w:after="0"/>
        <w:rPr>
          <w:rFonts w:cstheme="minorHAnsi"/>
          <w:lang w:val="en-US"/>
        </w:rPr>
      </w:pPr>
      <w:r>
        <w:t>A</w:t>
      </w:r>
      <w:r w:rsidR="006336BE" w:rsidRPr="00165758">
        <w:t xml:space="preserve">rrangements </w:t>
      </w:r>
      <w:r>
        <w:t xml:space="preserve">should be in </w:t>
      </w:r>
      <w:r w:rsidR="006336BE" w:rsidRPr="00165758">
        <w:t>place to</w:t>
      </w:r>
      <w:r>
        <w:t xml:space="preserve"> provide</w:t>
      </w:r>
      <w:r w:rsidRPr="00165758">
        <w:t xml:space="preserve"> </w:t>
      </w:r>
      <w:r w:rsidR="00BD1FF0">
        <w:t>supported decision-making</w:t>
      </w:r>
      <w:r w:rsidR="00BD1FF0" w:rsidRPr="00165758">
        <w:t xml:space="preserve"> in oral healt</w:t>
      </w:r>
      <w:r w:rsidR="00BD1FF0">
        <w:t xml:space="preserve">h care and </w:t>
      </w:r>
      <w:r w:rsidR="006336BE" w:rsidRPr="00165758">
        <w:t>person-centred participation</w:t>
      </w:r>
      <w:r w:rsidR="006336BE">
        <w:t xml:space="preserve"> </w:t>
      </w:r>
      <w:r w:rsidR="00BD1FF0">
        <w:t>in</w:t>
      </w:r>
      <w:r w:rsidR="006336BE">
        <w:t xml:space="preserve"> the everyday care of teeth and gums.</w:t>
      </w:r>
      <w:r w:rsidR="006336BE" w:rsidRPr="006336BE" w:rsidDel="00986521">
        <w:rPr>
          <w:rFonts w:cstheme="minorHAnsi"/>
          <w:highlight w:val="yellow"/>
          <w:lang w:val="en-US"/>
        </w:rPr>
        <w:t xml:space="preserve"> </w:t>
      </w:r>
      <w:r w:rsidR="00D50A04" w:rsidRPr="009D17D5">
        <w:rPr>
          <w:rFonts w:cstheme="minorHAnsi"/>
          <w:lang w:val="en-US"/>
        </w:rPr>
        <w:t xml:space="preserve"> </w:t>
      </w:r>
    </w:p>
    <w:p w14:paraId="1838FD65" w14:textId="77777777" w:rsidR="00D50A04" w:rsidRDefault="00D50A04" w:rsidP="00D50A04">
      <w:pPr>
        <w:pStyle w:val="Heading1"/>
      </w:pPr>
      <w:r>
        <w:t>Supporting participants</w:t>
      </w:r>
    </w:p>
    <w:p w14:paraId="5D5DDAF7" w14:textId="2F582DCD" w:rsidR="00D50A04" w:rsidRDefault="00D50A04" w:rsidP="00D50A04">
      <w:pPr>
        <w:spacing w:after="0"/>
        <w:rPr>
          <w:rFonts w:cstheme="minorHAnsi"/>
        </w:rPr>
      </w:pPr>
      <w:r w:rsidRPr="00CC31A6">
        <w:rPr>
          <w:rFonts w:cstheme="minorHAnsi"/>
        </w:rPr>
        <w:t xml:space="preserve">Providers </w:t>
      </w:r>
      <w:r w:rsidR="006336BE">
        <w:rPr>
          <w:rFonts w:cstheme="minorHAnsi"/>
        </w:rPr>
        <w:t>should</w:t>
      </w:r>
      <w:r w:rsidRPr="00CC31A6">
        <w:rPr>
          <w:rFonts w:cstheme="minorHAnsi"/>
        </w:rPr>
        <w:t xml:space="preserve"> monitor participants’ health, safety and wellbeing, support participants to maintain their health and to access appropriate health services</w:t>
      </w:r>
      <w:r>
        <w:rPr>
          <w:rFonts w:cstheme="minorHAnsi"/>
          <w:bCs/>
        </w:rPr>
        <w:t xml:space="preserve"> including oral health services.</w:t>
      </w:r>
    </w:p>
    <w:p w14:paraId="74A6164F" w14:textId="1374EE02" w:rsidR="00D50A04" w:rsidRPr="00704D51" w:rsidRDefault="00D22466" w:rsidP="00D50A04">
      <w:pPr>
        <w:spacing w:after="0"/>
        <w:rPr>
          <w:rFonts w:cstheme="minorHAnsi"/>
        </w:rPr>
      </w:pPr>
      <w:r>
        <w:rPr>
          <w:rFonts w:cstheme="minorHAnsi"/>
        </w:rPr>
        <w:t>P</w:t>
      </w:r>
      <w:r w:rsidR="00D50A04" w:rsidRPr="00165758">
        <w:rPr>
          <w:rFonts w:cstheme="minorHAnsi"/>
        </w:rPr>
        <w:t>articipant</w:t>
      </w:r>
      <w:r>
        <w:rPr>
          <w:rFonts w:cstheme="minorHAnsi"/>
        </w:rPr>
        <w:t>s should be supported</w:t>
      </w:r>
      <w:r w:rsidR="00D50A04" w:rsidRPr="00165758">
        <w:rPr>
          <w:rFonts w:cstheme="minorHAnsi"/>
        </w:rPr>
        <w:t xml:space="preserve"> to</w:t>
      </w:r>
      <w:r w:rsidR="007A19DE">
        <w:rPr>
          <w:rFonts w:cstheme="minorHAnsi"/>
        </w:rPr>
        <w:t xml:space="preserve"> take care of their oral health,</w:t>
      </w:r>
      <w:r w:rsidR="00D50A04" w:rsidRPr="00165758">
        <w:rPr>
          <w:rFonts w:cstheme="minorHAnsi"/>
        </w:rPr>
        <w:t xml:space="preserve"> </w:t>
      </w:r>
      <w:r w:rsidR="008109A9">
        <w:rPr>
          <w:rFonts w:cstheme="minorHAnsi"/>
        </w:rPr>
        <w:t>improve</w:t>
      </w:r>
      <w:r w:rsidR="008109A9" w:rsidRPr="00165758">
        <w:rPr>
          <w:rFonts w:cstheme="minorHAnsi"/>
        </w:rPr>
        <w:t xml:space="preserve"> </w:t>
      </w:r>
      <w:r w:rsidR="00D50A04" w:rsidRPr="00165758">
        <w:rPr>
          <w:rFonts w:cstheme="minorHAnsi"/>
        </w:rPr>
        <w:t xml:space="preserve">their </w:t>
      </w:r>
      <w:r w:rsidR="00D50A04">
        <w:rPr>
          <w:rFonts w:cstheme="minorHAnsi"/>
        </w:rPr>
        <w:t xml:space="preserve">knowledge </w:t>
      </w:r>
      <w:r w:rsidR="008109A9">
        <w:rPr>
          <w:rFonts w:cstheme="minorHAnsi"/>
        </w:rPr>
        <w:t xml:space="preserve">of oral health care, </w:t>
      </w:r>
      <w:r w:rsidR="00D50A04">
        <w:rPr>
          <w:rFonts w:cstheme="minorHAnsi"/>
        </w:rPr>
        <w:t>and</w:t>
      </w:r>
      <w:r w:rsidR="00D50A04" w:rsidRPr="00165758">
        <w:rPr>
          <w:rFonts w:cstheme="minorHAnsi"/>
        </w:rPr>
        <w:t xml:space="preserve"> access </w:t>
      </w:r>
      <w:r w:rsidR="008E6300">
        <w:rPr>
          <w:rFonts w:cstheme="minorHAnsi"/>
        </w:rPr>
        <w:t xml:space="preserve">dental </w:t>
      </w:r>
      <w:r w:rsidR="00D50A04" w:rsidRPr="00165758">
        <w:rPr>
          <w:rFonts w:cstheme="minorHAnsi"/>
        </w:rPr>
        <w:t>services.</w:t>
      </w:r>
      <w:r w:rsidR="00D50A04">
        <w:rPr>
          <w:rFonts w:cstheme="minorHAnsi"/>
        </w:rPr>
        <w:t xml:space="preserve"> </w:t>
      </w:r>
    </w:p>
    <w:p w14:paraId="22B2DA13" w14:textId="0C8ADC97" w:rsidR="00D50A04" w:rsidRPr="00A77EF4" w:rsidRDefault="00D50A04" w:rsidP="00D50A04">
      <w:pPr>
        <w:spacing w:after="0"/>
        <w:rPr>
          <w:rFonts w:cstheme="minorHAnsi"/>
          <w:lang w:val="en-US"/>
        </w:rPr>
      </w:pPr>
      <w:r>
        <w:rPr>
          <w:rFonts w:cstheme="minorHAnsi"/>
          <w:lang w:val="en-US"/>
        </w:rPr>
        <w:t>Providers should support p</w:t>
      </w:r>
      <w:r w:rsidRPr="009D17D5">
        <w:rPr>
          <w:rFonts w:cstheme="minorHAnsi"/>
          <w:lang w:val="en-US"/>
        </w:rPr>
        <w:t>articipants in the following ways</w:t>
      </w:r>
      <w:r w:rsidR="000A05D6">
        <w:rPr>
          <w:rFonts w:cstheme="minorHAnsi"/>
          <w:lang w:val="en-US"/>
        </w:rPr>
        <w:t>:</w:t>
      </w:r>
    </w:p>
    <w:p w14:paraId="0581F13C" w14:textId="4D65BA4C" w:rsidR="00B71B78" w:rsidRPr="00600843" w:rsidRDefault="00B71B78" w:rsidP="00B71B78">
      <w:pPr>
        <w:pStyle w:val="Heading2"/>
        <w:rPr>
          <w:szCs w:val="22"/>
          <w:lang w:val="en-US"/>
        </w:rPr>
      </w:pPr>
      <w:r>
        <w:rPr>
          <w:lang w:val="en-US"/>
        </w:rPr>
        <w:t>Assist</w:t>
      </w:r>
      <w:r w:rsidR="00BA258A">
        <w:rPr>
          <w:lang w:val="en-US"/>
        </w:rPr>
        <w:t>ing</w:t>
      </w:r>
      <w:r>
        <w:rPr>
          <w:lang w:val="en-US"/>
        </w:rPr>
        <w:t xml:space="preserve"> daily oral care </w:t>
      </w:r>
    </w:p>
    <w:p w14:paraId="455E6095" w14:textId="587D7007" w:rsidR="00BA258A" w:rsidRPr="00292B50" w:rsidRDefault="00BA258A" w:rsidP="00292B50">
      <w:pPr>
        <w:pStyle w:val="ListParagraph"/>
      </w:pPr>
      <w:r w:rsidRPr="00292B50">
        <w:t>Ask the participant whether they need help or support with oral health care.</w:t>
      </w:r>
    </w:p>
    <w:p w14:paraId="651038F3" w14:textId="23CF2110" w:rsidR="00B71B78" w:rsidRPr="00292B50" w:rsidRDefault="00B71B78" w:rsidP="00292B50">
      <w:pPr>
        <w:pStyle w:val="ListParagraph"/>
      </w:pPr>
      <w:r w:rsidRPr="00292B50">
        <w:t xml:space="preserve">Ensure participants have the items </w:t>
      </w:r>
      <w:r w:rsidR="00BA258A" w:rsidRPr="00292B50">
        <w:t xml:space="preserve">and aides </w:t>
      </w:r>
      <w:r w:rsidRPr="00292B50">
        <w:t>they need to care for their teeth, such as: a toothbrush</w:t>
      </w:r>
      <w:r w:rsidR="00BA258A" w:rsidRPr="00292B50">
        <w:t>,</w:t>
      </w:r>
      <w:r w:rsidRPr="00292B50">
        <w:t xml:space="preserve"> dental flossing aids</w:t>
      </w:r>
      <w:r w:rsidR="00BA258A" w:rsidRPr="00292B50">
        <w:t>,</w:t>
      </w:r>
      <w:r w:rsidRPr="00292B50">
        <w:t xml:space="preserve"> fluoride toothpaste</w:t>
      </w:r>
      <w:r w:rsidR="00BA258A" w:rsidRPr="00292B50">
        <w:t>,</w:t>
      </w:r>
      <w:r w:rsidRPr="00292B50">
        <w:t xml:space="preserve"> and any other items recommended by the oral health practitioner.</w:t>
      </w:r>
    </w:p>
    <w:p w14:paraId="0E220694" w14:textId="77777777" w:rsidR="00304F8E" w:rsidRPr="00292B50" w:rsidRDefault="00304F8E" w:rsidP="00292B50">
      <w:pPr>
        <w:pStyle w:val="ListParagraph"/>
      </w:pPr>
      <w:r w:rsidRPr="00292B50">
        <w:t xml:space="preserve">Support participants to maintain good daily oral health routines. This includes activities such as brushing with a fluoride toothpaste twice a day, flossing, rinsing, cleaning dentures, clearing food from the mouth after eating, good nutrition, staying hydrated, reducing sugar, alcohol and quitting smoking. </w:t>
      </w:r>
    </w:p>
    <w:p w14:paraId="3A65BE49" w14:textId="2DA43719" w:rsidR="00B71B78" w:rsidRPr="00292B50" w:rsidRDefault="00B71B78" w:rsidP="00292B50">
      <w:pPr>
        <w:pStyle w:val="ListParagraph"/>
      </w:pPr>
      <w:r w:rsidRPr="00292B50">
        <w:t xml:space="preserve">Encourage, educate and motivate participants to look after their teeth and gums. Use available tools and resources to help </w:t>
      </w:r>
      <w:r w:rsidR="00BA258A" w:rsidRPr="00292B50">
        <w:t xml:space="preserve">participants </w:t>
      </w:r>
      <w:r w:rsidRPr="00292B50">
        <w:t xml:space="preserve">understand good oral health care. </w:t>
      </w:r>
    </w:p>
    <w:p w14:paraId="4264CAAB" w14:textId="11C17170" w:rsidR="00D50A04" w:rsidRDefault="006336BE" w:rsidP="00B71B78">
      <w:pPr>
        <w:pStyle w:val="Heading2"/>
        <w:rPr>
          <w:lang w:val="en-US"/>
        </w:rPr>
      </w:pPr>
      <w:r w:rsidRPr="00BA258A">
        <w:rPr>
          <w:lang w:val="en-US"/>
        </w:rPr>
        <w:t xml:space="preserve">Maintaining </w:t>
      </w:r>
      <w:r w:rsidR="00D50A04" w:rsidRPr="00BA258A">
        <w:rPr>
          <w:lang w:val="en-US"/>
        </w:rPr>
        <w:t>oral health care</w:t>
      </w:r>
      <w:r w:rsidR="00D50A04" w:rsidRPr="009858E3">
        <w:rPr>
          <w:lang w:val="en-US"/>
        </w:rPr>
        <w:t xml:space="preserve"> </w:t>
      </w:r>
    </w:p>
    <w:p w14:paraId="6BF67A1A" w14:textId="3D9B4526" w:rsidR="00D50A04" w:rsidRPr="00292B50" w:rsidRDefault="00D50A04" w:rsidP="00292B50">
      <w:pPr>
        <w:pStyle w:val="ListParagraph"/>
      </w:pPr>
      <w:r w:rsidRPr="00292B50">
        <w:t xml:space="preserve">Talk with the participant about mouth </w:t>
      </w:r>
      <w:r w:rsidR="00A37710" w:rsidRPr="00292B50">
        <w:t xml:space="preserve">care </w:t>
      </w:r>
      <w:r w:rsidRPr="00292B50">
        <w:t xml:space="preserve">and ask if they have any </w:t>
      </w:r>
      <w:r w:rsidR="00A37710" w:rsidRPr="00292B50">
        <w:t xml:space="preserve">concerns about their </w:t>
      </w:r>
      <w:r w:rsidR="00304F8E" w:rsidRPr="00292B50">
        <w:t>mouth, gums or teeth</w:t>
      </w:r>
      <w:r w:rsidR="00A37710" w:rsidRPr="00292B50">
        <w:t xml:space="preserve"> such as bleeding </w:t>
      </w:r>
      <w:r w:rsidRPr="00292B50">
        <w:t>or pain.</w:t>
      </w:r>
    </w:p>
    <w:p w14:paraId="6AD3B5C0" w14:textId="77777777" w:rsidR="009823DE" w:rsidRPr="00292B50" w:rsidRDefault="009823DE" w:rsidP="00292B50">
      <w:pPr>
        <w:pStyle w:val="ListParagraph"/>
      </w:pPr>
      <w:r w:rsidRPr="00292B50">
        <w:t>Organise to see an oral health practitioner if gums bleed, become puffy or lumpy, and/or inflamed, and if a participant complains of, or demonstrates oral pain.</w:t>
      </w:r>
    </w:p>
    <w:p w14:paraId="69B71CBF" w14:textId="625ADB6E" w:rsidR="00D50A04" w:rsidRPr="00292B50" w:rsidRDefault="00D50A04" w:rsidP="00292B50">
      <w:pPr>
        <w:pStyle w:val="ListParagraph"/>
      </w:pPr>
      <w:r w:rsidRPr="00292B50">
        <w:lastRenderedPageBreak/>
        <w:t>Ensure that the participant’s support planning includes oral health</w:t>
      </w:r>
      <w:r w:rsidR="00A37710" w:rsidRPr="00292B50">
        <w:t xml:space="preserve"> care</w:t>
      </w:r>
      <w:r w:rsidRPr="00292B50">
        <w:t>, for instance</w:t>
      </w:r>
      <w:r w:rsidR="00A37710" w:rsidRPr="00292B50">
        <w:t xml:space="preserve"> ensuring their</w:t>
      </w:r>
      <w:r w:rsidRPr="00292B50">
        <w:t xml:space="preserve"> teeth</w:t>
      </w:r>
      <w:r w:rsidR="00E0739B" w:rsidRPr="00292B50">
        <w:t xml:space="preserve"> </w:t>
      </w:r>
      <w:r w:rsidR="00A37710" w:rsidRPr="00292B50">
        <w:t xml:space="preserve">are brushed </w:t>
      </w:r>
      <w:r w:rsidR="00E0739B" w:rsidRPr="00292B50">
        <w:t>twice daily</w:t>
      </w:r>
      <w:r w:rsidRPr="00292B50">
        <w:t xml:space="preserve"> and </w:t>
      </w:r>
      <w:r w:rsidR="00A37710" w:rsidRPr="00292B50">
        <w:t xml:space="preserve">have access to </w:t>
      </w:r>
      <w:r w:rsidR="00304F8E" w:rsidRPr="00292B50">
        <w:t>annual</w:t>
      </w:r>
      <w:r w:rsidRPr="00292B50">
        <w:t xml:space="preserve"> </w:t>
      </w:r>
      <w:r w:rsidR="00BE6F63" w:rsidRPr="00292B50">
        <w:t>dental</w:t>
      </w:r>
      <w:r w:rsidR="00A37710" w:rsidRPr="00292B50">
        <w:t xml:space="preserve"> </w:t>
      </w:r>
      <w:r w:rsidRPr="00292B50">
        <w:t>check-ups.</w:t>
      </w:r>
    </w:p>
    <w:p w14:paraId="362878A1" w14:textId="666EBAB3" w:rsidR="00D50A04" w:rsidRDefault="00D50A04" w:rsidP="00D50A04">
      <w:pPr>
        <w:pStyle w:val="Heading2"/>
        <w:rPr>
          <w:lang w:val="en-US"/>
        </w:rPr>
      </w:pPr>
      <w:r>
        <w:rPr>
          <w:lang w:val="en-US"/>
        </w:rPr>
        <w:t>Support</w:t>
      </w:r>
      <w:r w:rsidR="005F21B4">
        <w:rPr>
          <w:lang w:val="en-US"/>
        </w:rPr>
        <w:t xml:space="preserve">ing the participant’s visit to the </w:t>
      </w:r>
      <w:r w:rsidR="001413AF">
        <w:rPr>
          <w:lang w:val="en-US"/>
        </w:rPr>
        <w:t>oral health practitioner</w:t>
      </w:r>
    </w:p>
    <w:p w14:paraId="5AA91CB5" w14:textId="77777777" w:rsidR="005F21B4" w:rsidRPr="00292B50" w:rsidRDefault="005F21B4" w:rsidP="00292B50">
      <w:pPr>
        <w:pStyle w:val="ListParagraph"/>
      </w:pPr>
      <w:r w:rsidRPr="00292B50">
        <w:t xml:space="preserve">Use accessible tools and resources, such as social stories, to prepare and plan a visit to the oral health practitioner. </w:t>
      </w:r>
    </w:p>
    <w:p w14:paraId="67E7B4F3" w14:textId="0254801B" w:rsidR="009823DE" w:rsidRPr="00292B50" w:rsidRDefault="005F21B4" w:rsidP="00292B50">
      <w:pPr>
        <w:pStyle w:val="ListParagraph"/>
      </w:pPr>
      <w:r w:rsidRPr="00292B50">
        <w:t>Support the participant to feel comfortable with their oral health practitioner by contacting the dental office ahead of the appointment to organise a longer appointment time, if needed.</w:t>
      </w:r>
      <w:r w:rsidR="00D63B2B" w:rsidRPr="00292B50">
        <w:t xml:space="preserve"> Consider whether families or other supporters can assist by attending the appointment.</w:t>
      </w:r>
    </w:p>
    <w:p w14:paraId="36CB4FDD" w14:textId="77777777" w:rsidR="00D63B2B" w:rsidRPr="00292B50" w:rsidRDefault="00D63B2B" w:rsidP="00292B50">
      <w:pPr>
        <w:pStyle w:val="ListParagraph"/>
      </w:pPr>
      <w:r w:rsidRPr="00292B50">
        <w:t xml:space="preserve">Ensure any relevant support strategies are used, such as accompanying participants to appointments and communicating support plans to the oral health practitioner. </w:t>
      </w:r>
    </w:p>
    <w:p w14:paraId="1471A6A9" w14:textId="77777777" w:rsidR="00D63B2B" w:rsidRPr="00292B50" w:rsidRDefault="00D63B2B" w:rsidP="00292B50">
      <w:pPr>
        <w:pStyle w:val="ListParagraph"/>
      </w:pPr>
      <w:r w:rsidRPr="00292B50">
        <w:t>Bring along any important health history, such as an oral health care plan, a list of medical conditions affecting the individual and a list of medications.</w:t>
      </w:r>
    </w:p>
    <w:p w14:paraId="0C55F8E0" w14:textId="19161AFA" w:rsidR="005F21B4" w:rsidRPr="00292B50" w:rsidRDefault="005F21B4" w:rsidP="00292B50">
      <w:pPr>
        <w:pStyle w:val="ListParagraph"/>
      </w:pPr>
      <w:r w:rsidRPr="00292B50">
        <w:t xml:space="preserve">Facilitate informed decision-making by supporting participant’s to use their preferred method of communication during the </w:t>
      </w:r>
      <w:r w:rsidR="00D63B2B" w:rsidRPr="00292B50">
        <w:t>appointment</w:t>
      </w:r>
      <w:r w:rsidRPr="00292B50">
        <w:t xml:space="preserve">. </w:t>
      </w:r>
      <w:r w:rsidR="009823DE" w:rsidRPr="00292B50">
        <w:t>Where appropriate, i</w:t>
      </w:r>
      <w:r w:rsidRPr="00292B50">
        <w:t>nvolve the participant’s family, independent support person or guardian in the decision-</w:t>
      </w:r>
      <w:r w:rsidR="009823DE" w:rsidRPr="00292B50">
        <w:t>making process</w:t>
      </w:r>
      <w:r w:rsidRPr="00292B50">
        <w:t xml:space="preserve">.  </w:t>
      </w:r>
    </w:p>
    <w:p w14:paraId="67333E88" w14:textId="77777777" w:rsidR="009823DE" w:rsidRPr="00292B50" w:rsidRDefault="009823DE" w:rsidP="00292B50">
      <w:pPr>
        <w:pStyle w:val="ListParagraph"/>
      </w:pPr>
      <w:r w:rsidRPr="00292B50">
        <w:t>Ensure that any information received from the oral health practitioner on oral health care is provided to the participant in an accessible format.</w:t>
      </w:r>
    </w:p>
    <w:p w14:paraId="53B58A2E" w14:textId="59345462" w:rsidR="00D63B2B" w:rsidRPr="00292B50" w:rsidRDefault="00D63B2B" w:rsidP="00292B50">
      <w:pPr>
        <w:pStyle w:val="ListParagraph"/>
      </w:pPr>
      <w:r w:rsidRPr="00292B50">
        <w:t xml:space="preserve">If strategies to support a person to see an oral health practitioner are unsuccessful, a referral to a </w:t>
      </w:r>
      <w:hyperlink w:anchor="Special_needs_dentist" w:history="1">
        <w:r w:rsidRPr="00D85A36">
          <w:rPr>
            <w:rStyle w:val="Hyperlink"/>
          </w:rPr>
          <w:t>special needs dentist</w:t>
        </w:r>
      </w:hyperlink>
      <w:r w:rsidRPr="00292B50">
        <w:t xml:space="preserve"> may be required.</w:t>
      </w:r>
    </w:p>
    <w:p w14:paraId="42A5265B" w14:textId="3BB8844B" w:rsidR="005F21B4" w:rsidRPr="00292B50" w:rsidRDefault="005F21B4" w:rsidP="00292B50">
      <w:pPr>
        <w:pStyle w:val="ListParagraph"/>
      </w:pPr>
      <w:r w:rsidRPr="00292B50">
        <w:t xml:space="preserve">Where applicable, providers should work with </w:t>
      </w:r>
      <w:hyperlink w:anchor="Other_health_professionals" w:history="1">
        <w:r w:rsidR="00BE6F63" w:rsidRPr="00292B50">
          <w:rPr>
            <w:rStyle w:val="Hyperlink"/>
          </w:rPr>
          <w:t>other relevant health professionals</w:t>
        </w:r>
      </w:hyperlink>
      <w:r w:rsidRPr="00292B50">
        <w:t xml:space="preserve"> to assess and plan for any potential barriers to appointments with the oral health practitioner, such as managing sensory issues or behavioural needs.</w:t>
      </w:r>
    </w:p>
    <w:p w14:paraId="387376D9" w14:textId="1B196C8E" w:rsidR="00D50A04" w:rsidRPr="00600843" w:rsidRDefault="00D50A04" w:rsidP="00D50A04">
      <w:pPr>
        <w:pStyle w:val="Heading2"/>
        <w:rPr>
          <w:szCs w:val="22"/>
          <w:lang w:val="en-US"/>
        </w:rPr>
      </w:pPr>
      <w:r>
        <w:rPr>
          <w:lang w:val="en-US"/>
        </w:rPr>
        <w:t>Follow</w:t>
      </w:r>
      <w:r w:rsidR="00D63B2B">
        <w:rPr>
          <w:lang w:val="en-US"/>
        </w:rPr>
        <w:t>ing</w:t>
      </w:r>
      <w:r>
        <w:rPr>
          <w:lang w:val="en-US"/>
        </w:rPr>
        <w:t xml:space="preserve"> up on oral health care</w:t>
      </w:r>
    </w:p>
    <w:p w14:paraId="5FA9E07D" w14:textId="77777777" w:rsidR="00D63B2B" w:rsidRPr="00292B50" w:rsidRDefault="00D50A04" w:rsidP="00292B50">
      <w:pPr>
        <w:pStyle w:val="ListParagraph"/>
      </w:pPr>
      <w:r w:rsidRPr="00292B50">
        <w:t>After a dent</w:t>
      </w:r>
      <w:r w:rsidR="003E2DA3" w:rsidRPr="00292B50">
        <w:t>al</w:t>
      </w:r>
      <w:r w:rsidRPr="00292B50">
        <w:t xml:space="preserve"> visit, support the participant to follow up with:</w:t>
      </w:r>
    </w:p>
    <w:p w14:paraId="0EB21821" w14:textId="0C3C3E5C" w:rsidR="00D50A04" w:rsidRPr="00292B50" w:rsidRDefault="00D63B2B" w:rsidP="00292B50">
      <w:pPr>
        <w:pStyle w:val="ListparagraphL2"/>
      </w:pPr>
      <w:r w:rsidRPr="00292B50">
        <w:t xml:space="preserve">the </w:t>
      </w:r>
      <w:r w:rsidR="00D50A04" w:rsidRPr="00292B50">
        <w:t xml:space="preserve">recommended </w:t>
      </w:r>
      <w:r w:rsidR="00D96B01" w:rsidRPr="00292B50">
        <w:t xml:space="preserve">oral health </w:t>
      </w:r>
      <w:r w:rsidR="00D50A04" w:rsidRPr="00292B50">
        <w:t xml:space="preserve">care </w:t>
      </w:r>
      <w:r w:rsidR="00D96B01" w:rsidRPr="00292B50">
        <w:t xml:space="preserve">plan </w:t>
      </w:r>
      <w:r w:rsidR="00D50A04" w:rsidRPr="00292B50">
        <w:t>or changes to daily brushing routines</w:t>
      </w:r>
      <w:r w:rsidRPr="00292B50">
        <w:t xml:space="preserve"> </w:t>
      </w:r>
    </w:p>
    <w:p w14:paraId="615465B4" w14:textId="4127DB34" w:rsidR="00D50A04" w:rsidRPr="00292B50" w:rsidRDefault="00D50A04" w:rsidP="00292B50">
      <w:pPr>
        <w:pStyle w:val="ListparagraphL2"/>
      </w:pPr>
      <w:r w:rsidRPr="00292B50">
        <w:t xml:space="preserve">referrals to </w:t>
      </w:r>
      <w:r w:rsidR="00784E6F" w:rsidRPr="00292B50">
        <w:t>special needs dentists</w:t>
      </w:r>
      <w:r w:rsidRPr="00292B50">
        <w:t>, medical or allied health professionals.</w:t>
      </w:r>
    </w:p>
    <w:p w14:paraId="02DFDDA5" w14:textId="198331F5" w:rsidR="00803925" w:rsidRPr="00292B50" w:rsidRDefault="00803925" w:rsidP="00292B50">
      <w:pPr>
        <w:pStyle w:val="ListParagraph"/>
      </w:pPr>
      <w:r w:rsidRPr="00292B50">
        <w:t xml:space="preserve">Ensure </w:t>
      </w:r>
      <w:r w:rsidR="00820013" w:rsidRPr="00292B50">
        <w:t xml:space="preserve">oral health </w:t>
      </w:r>
      <w:r w:rsidRPr="00292B50">
        <w:t>recommendations are clearly documented in participant’s oral health care plan, support plans and other relevant documents.</w:t>
      </w:r>
    </w:p>
    <w:p w14:paraId="35077657" w14:textId="77777777" w:rsidR="00AB3941" w:rsidRPr="00292B50" w:rsidRDefault="00AB3941" w:rsidP="00292B50">
      <w:pPr>
        <w:pStyle w:val="ListParagraph"/>
      </w:pPr>
      <w:r w:rsidRPr="00292B50">
        <w:t>Recommendations should be communicated to all relevant staff and follow up actions undertaken.</w:t>
      </w:r>
    </w:p>
    <w:p w14:paraId="401FF5EE" w14:textId="4BFE2CDD" w:rsidR="00820013" w:rsidRPr="00292B50" w:rsidRDefault="00D50A04" w:rsidP="00292B50">
      <w:pPr>
        <w:pStyle w:val="ListParagraph"/>
      </w:pPr>
      <w:r w:rsidRPr="00292B50">
        <w:t xml:space="preserve">Ensure participants access regular (at least 12-monthly) dental check-ups and that records include any changes or need for </w:t>
      </w:r>
      <w:r w:rsidR="008B1694" w:rsidRPr="00292B50">
        <w:t>oral</w:t>
      </w:r>
      <w:r w:rsidRPr="00292B50">
        <w:t xml:space="preserve"> health assessments</w:t>
      </w:r>
      <w:r w:rsidR="00803925" w:rsidRPr="00292B50">
        <w:t xml:space="preserve">. </w:t>
      </w:r>
    </w:p>
    <w:p w14:paraId="12AE1D8D" w14:textId="6E0EA01B" w:rsidR="00D63B2B" w:rsidRDefault="00D63B2B" w:rsidP="00054374">
      <w:pPr>
        <w:pStyle w:val="Heading1"/>
      </w:pPr>
      <w:r>
        <w:t xml:space="preserve">Types of oral health practitioners </w:t>
      </w:r>
    </w:p>
    <w:p w14:paraId="6FE5E2D9" w14:textId="60C1F5A8" w:rsidR="00BD776E" w:rsidRDefault="00054374" w:rsidP="00784E6F">
      <w:r>
        <w:t>Oral health practitioners</w:t>
      </w:r>
      <w:r w:rsidR="00EA2768">
        <w:t xml:space="preserve"> </w:t>
      </w:r>
      <w:r w:rsidR="00EA2768" w:rsidRPr="00EA2768">
        <w:t>provide preventive, diagnostic and restorative dental services</w:t>
      </w:r>
      <w:r w:rsidR="00EA2768">
        <w:t>.</w:t>
      </w:r>
      <w:r>
        <w:t xml:space="preserve"> </w:t>
      </w:r>
      <w:r w:rsidR="00EA2768">
        <w:t xml:space="preserve">They </w:t>
      </w:r>
      <w:r>
        <w:t>i</w:t>
      </w:r>
      <w:r w:rsidRPr="00054374">
        <w:t xml:space="preserve">nclude </w:t>
      </w:r>
      <w:r w:rsidR="00BD776E">
        <w:t xml:space="preserve">a wide range of </w:t>
      </w:r>
      <w:r w:rsidR="00324A0F">
        <w:t>roles</w:t>
      </w:r>
      <w:r w:rsidR="00BD776E">
        <w:t xml:space="preserve"> such as </w:t>
      </w:r>
      <w:r w:rsidRPr="00054374">
        <w:t>dentists, dental prosthetists, dental hygienists, oral health therapists and dental therapists.</w:t>
      </w:r>
      <w:r w:rsidR="00D96B01">
        <w:t xml:space="preserve"> </w:t>
      </w:r>
    </w:p>
    <w:p w14:paraId="4D90F371" w14:textId="77777777" w:rsidR="00BD776E" w:rsidRPr="009D17D5" w:rsidRDefault="00BD776E" w:rsidP="00D85A36">
      <w:pPr>
        <w:rPr>
          <w:rFonts w:cstheme="minorHAnsi"/>
        </w:rPr>
      </w:pPr>
      <w:r w:rsidRPr="009D17D5">
        <w:rPr>
          <w:rFonts w:cstheme="minorHAnsi"/>
        </w:rPr>
        <w:t>Consider</w:t>
      </w:r>
      <w:r>
        <w:rPr>
          <w:rFonts w:cstheme="minorHAnsi"/>
        </w:rPr>
        <w:t xml:space="preserve"> and act on whether</w:t>
      </w:r>
      <w:r w:rsidRPr="009D17D5">
        <w:rPr>
          <w:rFonts w:cstheme="minorHAnsi"/>
        </w:rPr>
        <w:t xml:space="preserve"> the </w:t>
      </w:r>
      <w:r>
        <w:rPr>
          <w:rFonts w:cstheme="minorHAnsi"/>
        </w:rPr>
        <w:t>participant</w:t>
      </w:r>
      <w:r w:rsidRPr="009D17D5">
        <w:rPr>
          <w:rFonts w:cstheme="minorHAnsi"/>
        </w:rPr>
        <w:t xml:space="preserve"> need</w:t>
      </w:r>
      <w:r>
        <w:rPr>
          <w:rFonts w:cstheme="minorHAnsi"/>
        </w:rPr>
        <w:t xml:space="preserve">s any of the </w:t>
      </w:r>
      <w:r w:rsidRPr="009D17D5">
        <w:rPr>
          <w:rFonts w:cstheme="minorHAnsi"/>
        </w:rPr>
        <w:t>following referrals</w:t>
      </w:r>
      <w:r>
        <w:rPr>
          <w:rFonts w:cstheme="minorHAnsi"/>
        </w:rPr>
        <w:t>:</w:t>
      </w:r>
    </w:p>
    <w:p w14:paraId="335D7879" w14:textId="6A61C278" w:rsidR="00EB171D" w:rsidRPr="00292B50" w:rsidRDefault="00BD776E" w:rsidP="00D85A36">
      <w:pPr>
        <w:pStyle w:val="ListParagraph"/>
        <w:spacing w:after="120"/>
      </w:pPr>
      <w:r w:rsidRPr="00292B50">
        <w:rPr>
          <w:rStyle w:val="Strong"/>
        </w:rPr>
        <w:t>Paediatric dentist</w:t>
      </w:r>
      <w:r w:rsidRPr="00292B50">
        <w:t xml:space="preserve"> for children from birth through to adolescence and those with additional needs</w:t>
      </w:r>
      <w:r w:rsidR="00EB171D" w:rsidRPr="00292B50">
        <w:t xml:space="preserve"> such as</w:t>
      </w:r>
      <w:r w:rsidRPr="00292B50">
        <w:t xml:space="preserve"> management of </w:t>
      </w:r>
      <w:r w:rsidR="00EB171D" w:rsidRPr="00292B50">
        <w:t>pain in the mouth, jaws and the face</w:t>
      </w:r>
      <w:r w:rsidRPr="00292B50">
        <w:t xml:space="preserve"> related to medical, behavioural, physical or developmental disabilities.</w:t>
      </w:r>
    </w:p>
    <w:p w14:paraId="6B82CF2C" w14:textId="77777777" w:rsidR="00EB171D" w:rsidRPr="00292B50" w:rsidRDefault="00EB171D" w:rsidP="00292B50">
      <w:pPr>
        <w:pStyle w:val="ListParagraph"/>
      </w:pPr>
      <w:bookmarkStart w:id="1" w:name="Special_needs_dentist"/>
      <w:r w:rsidRPr="00292B50">
        <w:rPr>
          <w:rStyle w:val="Strong"/>
        </w:rPr>
        <w:t>Special needs dentist</w:t>
      </w:r>
      <w:r w:rsidRPr="00292B50">
        <w:t xml:space="preserve"> </w:t>
      </w:r>
      <w:bookmarkEnd w:id="1"/>
      <w:r w:rsidRPr="00292B50">
        <w:t>for the oral health care of people with an intellectual disability, medical, physical or psychiatric conditions that require special methods or techniques to prevent or treat oral health problems or special dental treatment plans are needed.</w:t>
      </w:r>
    </w:p>
    <w:p w14:paraId="74A3A3C9" w14:textId="51616991" w:rsidR="00D50A04" w:rsidRPr="009D17D5" w:rsidRDefault="00D61BB5" w:rsidP="00054374">
      <w:pPr>
        <w:pStyle w:val="Heading1"/>
      </w:pPr>
      <w:bookmarkStart w:id="2" w:name="Other_health_professionals"/>
      <w:r>
        <w:lastRenderedPageBreak/>
        <w:t>O</w:t>
      </w:r>
      <w:r w:rsidR="00D50A04" w:rsidRPr="009D17D5">
        <w:t>ther</w:t>
      </w:r>
      <w:r w:rsidR="00BE6F63">
        <w:t xml:space="preserve"> </w:t>
      </w:r>
      <w:r w:rsidR="005C7439">
        <w:t xml:space="preserve">health </w:t>
      </w:r>
      <w:r w:rsidR="00D50A04" w:rsidRPr="009D17D5">
        <w:t>professionals</w:t>
      </w:r>
    </w:p>
    <w:bookmarkEnd w:id="2"/>
    <w:p w14:paraId="44CF4E48" w14:textId="0AF4EC6B" w:rsidR="00D50A04" w:rsidRPr="009D17D5" w:rsidRDefault="00D50A04" w:rsidP="00D50A04">
      <w:pPr>
        <w:spacing w:after="0"/>
        <w:rPr>
          <w:rFonts w:cstheme="minorHAnsi"/>
        </w:rPr>
      </w:pPr>
      <w:r w:rsidRPr="009D17D5">
        <w:rPr>
          <w:rFonts w:cstheme="minorHAnsi"/>
        </w:rPr>
        <w:t>Consider</w:t>
      </w:r>
      <w:r>
        <w:rPr>
          <w:rFonts w:cstheme="minorHAnsi"/>
        </w:rPr>
        <w:t xml:space="preserve"> and act on whether</w:t>
      </w:r>
      <w:r w:rsidRPr="009D17D5">
        <w:rPr>
          <w:rFonts w:cstheme="minorHAnsi"/>
        </w:rPr>
        <w:t xml:space="preserve"> the </w:t>
      </w:r>
      <w:r>
        <w:rPr>
          <w:rFonts w:cstheme="minorHAnsi"/>
        </w:rPr>
        <w:t>participant</w:t>
      </w:r>
      <w:r w:rsidRPr="009D17D5">
        <w:rPr>
          <w:rFonts w:cstheme="minorHAnsi"/>
        </w:rPr>
        <w:t xml:space="preserve"> need</w:t>
      </w:r>
      <w:r>
        <w:rPr>
          <w:rFonts w:cstheme="minorHAnsi"/>
        </w:rPr>
        <w:t xml:space="preserve">s any of the </w:t>
      </w:r>
      <w:r w:rsidRPr="009D17D5">
        <w:rPr>
          <w:rFonts w:cstheme="minorHAnsi"/>
        </w:rPr>
        <w:t>following referrals</w:t>
      </w:r>
      <w:r w:rsidR="00AB3941">
        <w:rPr>
          <w:rFonts w:cstheme="minorHAnsi"/>
        </w:rPr>
        <w:t>:</w:t>
      </w:r>
    </w:p>
    <w:p w14:paraId="5FFAE829" w14:textId="18781733" w:rsidR="00D50A04" w:rsidRPr="00D50A04" w:rsidRDefault="00AB3941" w:rsidP="00AB3941">
      <w:pPr>
        <w:pStyle w:val="ListParagraph"/>
        <w:numPr>
          <w:ilvl w:val="0"/>
          <w:numId w:val="17"/>
        </w:numPr>
        <w:rPr>
          <w:rFonts w:cstheme="minorHAnsi"/>
        </w:rPr>
      </w:pPr>
      <w:r>
        <w:rPr>
          <w:rFonts w:cstheme="minorHAnsi"/>
        </w:rPr>
        <w:t xml:space="preserve">A </w:t>
      </w:r>
      <w:r w:rsidRPr="00292B50">
        <w:rPr>
          <w:rStyle w:val="Strong"/>
        </w:rPr>
        <w:t>speech pathologist</w:t>
      </w:r>
      <w:r w:rsidRPr="0042721D">
        <w:rPr>
          <w:rFonts w:cstheme="minorHAnsi"/>
          <w:b/>
        </w:rPr>
        <w:t xml:space="preserve"> </w:t>
      </w:r>
      <w:r>
        <w:rPr>
          <w:rFonts w:cstheme="minorHAnsi"/>
        </w:rPr>
        <w:t>can assist with</w:t>
      </w:r>
      <w:r w:rsidRPr="00AB3941">
        <w:rPr>
          <w:rFonts w:cstheme="minorHAnsi"/>
        </w:rPr>
        <w:t xml:space="preserve"> communica</w:t>
      </w:r>
      <w:r>
        <w:rPr>
          <w:rFonts w:cstheme="minorHAnsi"/>
        </w:rPr>
        <w:t>tion issues</w:t>
      </w:r>
      <w:r w:rsidRPr="00AB3941">
        <w:rPr>
          <w:rFonts w:cstheme="minorHAnsi"/>
        </w:rPr>
        <w:t xml:space="preserve"> or </w:t>
      </w:r>
      <w:r>
        <w:rPr>
          <w:rFonts w:cstheme="minorHAnsi"/>
        </w:rPr>
        <w:t xml:space="preserve">with </w:t>
      </w:r>
      <w:r w:rsidRPr="00AB3941">
        <w:rPr>
          <w:rFonts w:cstheme="minorHAnsi"/>
        </w:rPr>
        <w:t>trouble eating and drinking.</w:t>
      </w:r>
      <w:r>
        <w:rPr>
          <w:rFonts w:cstheme="minorHAnsi"/>
        </w:rPr>
        <w:t xml:space="preserve"> </w:t>
      </w:r>
      <w:r w:rsidR="00D50A04" w:rsidRPr="00D50A04">
        <w:rPr>
          <w:rFonts w:cstheme="minorHAnsi"/>
        </w:rPr>
        <w:t xml:space="preserve">Indicators for a </w:t>
      </w:r>
      <w:r w:rsidR="00D50A04" w:rsidRPr="0042721D">
        <w:rPr>
          <w:rFonts w:cstheme="minorHAnsi"/>
          <w:bCs/>
        </w:rPr>
        <w:t>speech pathology</w:t>
      </w:r>
      <w:r w:rsidR="00D50A04" w:rsidRPr="00D50A04">
        <w:rPr>
          <w:rFonts w:cstheme="minorHAnsi"/>
        </w:rPr>
        <w:t xml:space="preserve"> referral include</w:t>
      </w:r>
      <w:r w:rsidR="00D50A04">
        <w:rPr>
          <w:rFonts w:cstheme="minorHAnsi"/>
        </w:rPr>
        <w:t>:</w:t>
      </w:r>
      <w:r w:rsidR="00D50A04" w:rsidRPr="00D50A04">
        <w:rPr>
          <w:rFonts w:cstheme="minorHAnsi"/>
        </w:rPr>
        <w:t xml:space="preserve"> </w:t>
      </w:r>
      <w:r w:rsidR="0066568F">
        <w:rPr>
          <w:rFonts w:cstheme="minorHAnsi"/>
        </w:rPr>
        <w:t xml:space="preserve">oral sensory issues, </w:t>
      </w:r>
      <w:r w:rsidR="00D50A04" w:rsidRPr="00D50A04">
        <w:rPr>
          <w:rFonts w:cstheme="minorHAnsi"/>
        </w:rPr>
        <w:t>not being able to clear food</w:t>
      </w:r>
      <w:r w:rsidR="00CD0CAB">
        <w:rPr>
          <w:rFonts w:cstheme="minorHAnsi"/>
        </w:rPr>
        <w:t xml:space="preserve"> from the mouth</w:t>
      </w:r>
      <w:r w:rsidR="00D50A04" w:rsidRPr="00D50A04">
        <w:rPr>
          <w:rFonts w:cstheme="minorHAnsi"/>
        </w:rPr>
        <w:t xml:space="preserve"> after eating and</w:t>
      </w:r>
      <w:r w:rsidR="00CD0CAB">
        <w:rPr>
          <w:rFonts w:cstheme="minorHAnsi"/>
        </w:rPr>
        <w:t xml:space="preserve"> problems with</w:t>
      </w:r>
      <w:r w:rsidR="00D50A04" w:rsidRPr="00D50A04">
        <w:rPr>
          <w:rFonts w:cstheme="minorHAnsi"/>
        </w:rPr>
        <w:t xml:space="preserve"> chewing, difficulty eating certain foods, swallowing problems, weak or absent cough or drooling.</w:t>
      </w:r>
    </w:p>
    <w:p w14:paraId="37A95C17" w14:textId="78670704" w:rsidR="00D50A04" w:rsidRPr="00D50A04" w:rsidRDefault="00D50A04" w:rsidP="00837C11">
      <w:pPr>
        <w:pStyle w:val="ListParagraph"/>
        <w:numPr>
          <w:ilvl w:val="0"/>
          <w:numId w:val="17"/>
        </w:numPr>
        <w:rPr>
          <w:rFonts w:cstheme="minorHAnsi"/>
        </w:rPr>
      </w:pPr>
      <w:r w:rsidRPr="00D50A04">
        <w:rPr>
          <w:rFonts w:cstheme="minorHAnsi"/>
        </w:rPr>
        <w:t xml:space="preserve">An </w:t>
      </w:r>
      <w:r w:rsidRPr="00292B50">
        <w:rPr>
          <w:rStyle w:val="Strong"/>
        </w:rPr>
        <w:t>occupational therapist</w:t>
      </w:r>
      <w:r w:rsidRPr="00D50A04">
        <w:rPr>
          <w:rFonts w:cstheme="minorHAnsi"/>
        </w:rPr>
        <w:t xml:space="preserve"> who can assist participants with handling a toothbrush, flossing</w:t>
      </w:r>
      <w:r w:rsidR="0079067B">
        <w:rPr>
          <w:rFonts w:cstheme="minorHAnsi"/>
        </w:rPr>
        <w:t xml:space="preserve">, </w:t>
      </w:r>
      <w:r w:rsidR="0045680C">
        <w:rPr>
          <w:rFonts w:cstheme="minorHAnsi"/>
        </w:rPr>
        <w:t>using dental c</w:t>
      </w:r>
      <w:r w:rsidR="0042721D">
        <w:rPr>
          <w:rFonts w:cstheme="minorHAnsi"/>
        </w:rPr>
        <w:t>leaning aids recommended by the</w:t>
      </w:r>
      <w:r w:rsidR="003E2DA3">
        <w:rPr>
          <w:rFonts w:cstheme="minorHAnsi"/>
        </w:rPr>
        <w:t xml:space="preserve"> oral health </w:t>
      </w:r>
      <w:r w:rsidR="004B7B3B">
        <w:rPr>
          <w:rFonts w:cstheme="minorHAnsi"/>
        </w:rPr>
        <w:t>practitioner</w:t>
      </w:r>
      <w:r w:rsidR="0045680C">
        <w:rPr>
          <w:rFonts w:cstheme="minorHAnsi"/>
        </w:rPr>
        <w:t xml:space="preserve"> </w:t>
      </w:r>
      <w:r w:rsidRPr="00D50A04">
        <w:rPr>
          <w:rFonts w:cstheme="minorHAnsi"/>
        </w:rPr>
        <w:t>and support to learn oral hygiene skills.</w:t>
      </w:r>
    </w:p>
    <w:p w14:paraId="773EA71C" w14:textId="77777777" w:rsidR="00D50A04" w:rsidRPr="00D50A04" w:rsidRDefault="00D50A04" w:rsidP="00837C11">
      <w:pPr>
        <w:pStyle w:val="ListParagraph"/>
        <w:numPr>
          <w:ilvl w:val="0"/>
          <w:numId w:val="17"/>
        </w:numPr>
        <w:rPr>
          <w:rFonts w:cstheme="minorHAnsi"/>
          <w:lang w:val="en-US"/>
        </w:rPr>
      </w:pPr>
      <w:r w:rsidRPr="00D50A04">
        <w:rPr>
          <w:rFonts w:cstheme="minorHAnsi"/>
          <w:lang w:val="en-US"/>
        </w:rPr>
        <w:t xml:space="preserve">An </w:t>
      </w:r>
      <w:r w:rsidRPr="00D85A36">
        <w:rPr>
          <w:rStyle w:val="Strong"/>
        </w:rPr>
        <w:t>NDIS behaviour support practitioner</w:t>
      </w:r>
      <w:r w:rsidRPr="00D50A04">
        <w:rPr>
          <w:rFonts w:cstheme="minorHAnsi"/>
          <w:lang w:val="en-US"/>
        </w:rPr>
        <w:t xml:space="preserve"> may assist the participant with strategies to manage anxiety and plan reasonable adjustments for a successful dental visit.</w:t>
      </w:r>
    </w:p>
    <w:p w14:paraId="399DC553" w14:textId="31A295FD" w:rsidR="00D50A04" w:rsidRPr="009D17D5" w:rsidRDefault="006F35B0" w:rsidP="00054374">
      <w:pPr>
        <w:pStyle w:val="Heading1"/>
      </w:pPr>
      <w:r>
        <w:t xml:space="preserve">Worker Capability </w:t>
      </w:r>
    </w:p>
    <w:p w14:paraId="4B2ACCB9" w14:textId="5EABF88B" w:rsidR="00324A0F" w:rsidRPr="00152D68" w:rsidRDefault="00D50A04" w:rsidP="00324A0F">
      <w:r w:rsidRPr="0068126E">
        <w:t>Providers should consider how to increase NDIS worker</w:t>
      </w:r>
      <w:r w:rsidR="00541593">
        <w:t>s’</w:t>
      </w:r>
      <w:r>
        <w:t xml:space="preserve"> training</w:t>
      </w:r>
      <w:r w:rsidRPr="0068126E">
        <w:t xml:space="preserve"> and skills</w:t>
      </w:r>
      <w:r w:rsidR="00541593">
        <w:t xml:space="preserve"> in line with the </w:t>
      </w:r>
      <w:hyperlink r:id="rId10" w:history="1">
        <w:r w:rsidR="00541593" w:rsidRPr="00292B50">
          <w:rPr>
            <w:rStyle w:val="Hyperlink"/>
          </w:rPr>
          <w:t>NDIS Workfo</w:t>
        </w:r>
        <w:r w:rsidR="00054374" w:rsidRPr="00292B50">
          <w:rPr>
            <w:rStyle w:val="Hyperlink"/>
          </w:rPr>
          <w:t>rce Capability Framework</w:t>
        </w:r>
      </w:hyperlink>
      <w:r w:rsidR="00541593">
        <w:t>.</w:t>
      </w:r>
      <w:r w:rsidR="00324A0F">
        <w:t xml:space="preserve"> </w:t>
      </w:r>
      <w:r w:rsidR="00324A0F" w:rsidRPr="00152D68">
        <w:t>This</w:t>
      </w:r>
      <w:r w:rsidR="00324A0F">
        <w:t xml:space="preserve"> practice </w:t>
      </w:r>
      <w:r w:rsidR="00324A0F" w:rsidRPr="00152D68">
        <w:t xml:space="preserve">alert is relevant to </w:t>
      </w:r>
      <w:r w:rsidR="00324A0F">
        <w:t xml:space="preserve">the </w:t>
      </w:r>
      <w:hyperlink r:id="rId11" w:history="1">
        <w:r w:rsidR="00324A0F" w:rsidRPr="00292B50">
          <w:rPr>
            <w:rStyle w:val="Hyperlink"/>
          </w:rPr>
          <w:t>NDIS Workforce Capability framework</w:t>
        </w:r>
      </w:hyperlink>
      <w:r w:rsidR="00324A0F" w:rsidRPr="00152D68">
        <w:t xml:space="preserve"> objectives:</w:t>
      </w:r>
    </w:p>
    <w:p w14:paraId="43FCA4EE" w14:textId="77777777" w:rsidR="00324A0F" w:rsidRPr="00152D68" w:rsidRDefault="00324A0F" w:rsidP="00D85A36">
      <w:pPr>
        <w:pStyle w:val="ListParagraph"/>
        <w:spacing w:after="120"/>
      </w:pPr>
      <w:r>
        <w:t>Support me- ‘What you know’</w:t>
      </w:r>
    </w:p>
    <w:p w14:paraId="4E50227D" w14:textId="77777777" w:rsidR="00324A0F" w:rsidRPr="008F0C38" w:rsidRDefault="00324A0F" w:rsidP="00D85A36">
      <w:pPr>
        <w:pStyle w:val="ListParagraph"/>
        <w:spacing w:after="120"/>
      </w:pPr>
      <w:r>
        <w:t>Be present</w:t>
      </w:r>
      <w:r w:rsidRPr="00152D68">
        <w:t>-</w:t>
      </w:r>
      <w:r>
        <w:t xml:space="preserve"> ‘</w:t>
      </w:r>
      <w:r w:rsidRPr="00152D68">
        <w:t>Manage health and safety</w:t>
      </w:r>
      <w:r>
        <w:t>’; and</w:t>
      </w:r>
      <w:r w:rsidRPr="00152D68">
        <w:t xml:space="preserve"> ‘What you Know’</w:t>
      </w:r>
    </w:p>
    <w:p w14:paraId="74A7C735" w14:textId="182F4F3C" w:rsidR="00D50A04" w:rsidRPr="00A61154" w:rsidRDefault="00541593" w:rsidP="00D85A36">
      <w:pPr>
        <w:spacing w:before="240"/>
        <w:rPr>
          <w:rFonts w:asciiTheme="majorHAnsi" w:eastAsiaTheme="majorEastAsia" w:hAnsiTheme="majorHAnsi" w:cstheme="majorBidi"/>
          <w:b/>
        </w:rPr>
      </w:pPr>
      <w:r>
        <w:t>Areas of training and development may include</w:t>
      </w:r>
      <w:r w:rsidR="00D50A04" w:rsidRPr="0068126E">
        <w:t xml:space="preserve">: </w:t>
      </w:r>
    </w:p>
    <w:p w14:paraId="63923616" w14:textId="38557AD1" w:rsidR="00D50A04" w:rsidRPr="00292B50" w:rsidRDefault="006F35B0" w:rsidP="00292B50">
      <w:pPr>
        <w:pStyle w:val="ListParagraph"/>
      </w:pPr>
      <w:r w:rsidRPr="00292B50">
        <w:t>Knowing</w:t>
      </w:r>
      <w:r w:rsidR="00D50A04" w:rsidRPr="00292B50">
        <w:t xml:space="preserve"> where and how to access dental services provided through local health districts and how to access emergency dental services in the local area</w:t>
      </w:r>
    </w:p>
    <w:p w14:paraId="7B31D151" w14:textId="76FAD8F2" w:rsidR="00D50A04" w:rsidRPr="00292B50" w:rsidRDefault="006F35B0" w:rsidP="00292B50">
      <w:pPr>
        <w:pStyle w:val="ListParagraph"/>
      </w:pPr>
      <w:r w:rsidRPr="00292B50">
        <w:t xml:space="preserve">Knowing </w:t>
      </w:r>
      <w:r w:rsidR="00D50A04" w:rsidRPr="00292B50">
        <w:t>whether there are specialist</w:t>
      </w:r>
      <w:r w:rsidR="00AA4A42" w:rsidRPr="00292B50">
        <w:t xml:space="preserve"> or general oral health </w:t>
      </w:r>
      <w:r w:rsidR="003E2DA3" w:rsidRPr="00292B50">
        <w:t>pr</w:t>
      </w:r>
      <w:r w:rsidR="00AA4A42" w:rsidRPr="00292B50">
        <w:t>actitioners</w:t>
      </w:r>
      <w:r w:rsidR="003E2DA3" w:rsidRPr="00292B50">
        <w:t xml:space="preserve"> </w:t>
      </w:r>
      <w:r w:rsidR="00D50A04" w:rsidRPr="00292B50">
        <w:t xml:space="preserve">who are skilled in working with </w:t>
      </w:r>
      <w:r w:rsidR="0042721D" w:rsidRPr="00292B50">
        <w:t>adults</w:t>
      </w:r>
      <w:r w:rsidR="00D50A04" w:rsidRPr="00292B50">
        <w:t xml:space="preserve"> with disability</w:t>
      </w:r>
      <w:r w:rsidR="0042721D" w:rsidRPr="00292B50">
        <w:t xml:space="preserve"> or skilled in working with children with disability. </w:t>
      </w:r>
    </w:p>
    <w:p w14:paraId="4137FCC6" w14:textId="1B570773" w:rsidR="00D50A04" w:rsidRPr="00292B50" w:rsidRDefault="006F35B0" w:rsidP="00292B50">
      <w:pPr>
        <w:pStyle w:val="ListParagraph"/>
      </w:pPr>
      <w:r w:rsidRPr="00292B50">
        <w:t xml:space="preserve">Accessing </w:t>
      </w:r>
      <w:r w:rsidR="00D50A04" w:rsidRPr="00292B50">
        <w:t>training in oral health care and development of oral health literacy</w:t>
      </w:r>
      <w:r w:rsidR="00E54D4C" w:rsidRPr="00292B50">
        <w:t xml:space="preserve"> through local oral health therapists or other </w:t>
      </w:r>
      <w:r w:rsidR="00CC7E06" w:rsidRPr="00292B50">
        <w:t xml:space="preserve">oral health care </w:t>
      </w:r>
      <w:r w:rsidR="00E54D4C" w:rsidRPr="00292B50">
        <w:t>practitioners</w:t>
      </w:r>
    </w:p>
    <w:p w14:paraId="1BE90495" w14:textId="4CE97AE9" w:rsidR="00D50A04" w:rsidRPr="00292B50" w:rsidRDefault="006F35B0" w:rsidP="00292B50">
      <w:pPr>
        <w:pStyle w:val="ListParagraph"/>
      </w:pPr>
      <w:r w:rsidRPr="00292B50">
        <w:t>How to supp</w:t>
      </w:r>
      <w:r w:rsidR="00D50A04" w:rsidRPr="00292B50">
        <w:t>ort tooth brushing, flossing and rinsing food from the mouth after eating, especially for people with disability on soft food</w:t>
      </w:r>
      <w:r w:rsidR="00CC7E06" w:rsidRPr="00292B50">
        <w:t xml:space="preserve"> diet</w:t>
      </w:r>
      <w:r w:rsidR="00D50A04" w:rsidRPr="00292B50">
        <w:t>. For instance</w:t>
      </w:r>
      <w:r w:rsidR="00AD1B23" w:rsidRPr="00292B50">
        <w:t>,</w:t>
      </w:r>
      <w:r w:rsidR="00D50A04" w:rsidRPr="00292B50">
        <w:t xml:space="preserve"> encouraging regular drinks of water throughout the day</w:t>
      </w:r>
    </w:p>
    <w:p w14:paraId="55619B00" w14:textId="5B14034B" w:rsidR="00D50A04" w:rsidRPr="00292B50" w:rsidRDefault="006F35B0" w:rsidP="00292B50">
      <w:pPr>
        <w:pStyle w:val="ListParagraph"/>
      </w:pPr>
      <w:r w:rsidRPr="00292B50">
        <w:t>Working with a</w:t>
      </w:r>
      <w:r w:rsidR="00CC7E06" w:rsidRPr="00292B50">
        <w:t>n oral health practitioner</w:t>
      </w:r>
      <w:r w:rsidR="00E54D4C" w:rsidRPr="00292B50">
        <w:t xml:space="preserve"> to</w:t>
      </w:r>
      <w:r w:rsidR="0045680C" w:rsidRPr="00292B50">
        <w:t xml:space="preserve"> </w:t>
      </w:r>
      <w:r w:rsidR="00D50A04" w:rsidRPr="00292B50">
        <w:t xml:space="preserve">develop an oral health plan for a participant that includes: risks or problems; dental work they have had before; support needed to brush teeth; the participant’s </w:t>
      </w:r>
      <w:r w:rsidR="00CC7E06" w:rsidRPr="00292B50">
        <w:t xml:space="preserve">oral health </w:t>
      </w:r>
      <w:r w:rsidR="004B7B3B" w:rsidRPr="00292B50">
        <w:t xml:space="preserve"> practitioner</w:t>
      </w:r>
      <w:r w:rsidR="00D50A04" w:rsidRPr="00292B50">
        <w:t xml:space="preserve">; whether they need a specialist </w:t>
      </w:r>
      <w:r w:rsidR="004B7B3B" w:rsidRPr="00292B50">
        <w:t>dental practitioner</w:t>
      </w:r>
    </w:p>
    <w:p w14:paraId="1C8424CC" w14:textId="18D615FB" w:rsidR="00D50A04" w:rsidRPr="00292B50" w:rsidRDefault="006F35B0" w:rsidP="00292B50">
      <w:pPr>
        <w:pStyle w:val="ListParagraph"/>
      </w:pPr>
      <w:r w:rsidRPr="00292B50">
        <w:t>Training</w:t>
      </w:r>
      <w:r w:rsidR="00AA4A42" w:rsidRPr="00292B50">
        <w:t xml:space="preserve"> </w:t>
      </w:r>
      <w:r w:rsidR="00D50A04" w:rsidRPr="00292B50">
        <w:t>on ways to support participants who are reluctant to engage in oral health care and services. This may include training in positive behaviour support, supported decision-making or motivational interviewing techniques</w:t>
      </w:r>
    </w:p>
    <w:p w14:paraId="0D85B723" w14:textId="5A180400" w:rsidR="006336BE" w:rsidRPr="00292B50" w:rsidRDefault="006F35B0" w:rsidP="00292B50">
      <w:pPr>
        <w:pStyle w:val="ListParagraph"/>
      </w:pPr>
      <w:r w:rsidRPr="00292B50">
        <w:t>I</w:t>
      </w:r>
      <w:r w:rsidR="006336BE" w:rsidRPr="00292B50">
        <w:t>f required, seek training for disability support workers undertaking daily oral care tasks.</w:t>
      </w:r>
    </w:p>
    <w:p w14:paraId="69F80437" w14:textId="77777777" w:rsidR="00D85A36" w:rsidRDefault="00D85A36" w:rsidP="00D85A36">
      <w:r>
        <w:br w:type="page"/>
      </w:r>
    </w:p>
    <w:p w14:paraId="148458C4" w14:textId="42C71185" w:rsidR="00D50A04" w:rsidRPr="00A35BB5" w:rsidRDefault="00D50A04" w:rsidP="00D50A04">
      <w:pPr>
        <w:pStyle w:val="Heading1"/>
      </w:pPr>
      <w:r w:rsidRPr="00C2772C">
        <w:lastRenderedPageBreak/>
        <w:t xml:space="preserve">Provider obligations </w:t>
      </w:r>
    </w:p>
    <w:p w14:paraId="344E0296" w14:textId="77777777" w:rsidR="00D50A04" w:rsidRPr="00F77911" w:rsidRDefault="00D50A04" w:rsidP="00D50A04">
      <w:pPr>
        <w:pStyle w:val="Heading2"/>
      </w:pPr>
      <w:r w:rsidRPr="00F77911">
        <w:t xml:space="preserve">NDIS Code of Conduct </w:t>
      </w:r>
    </w:p>
    <w:p w14:paraId="2FC614DA" w14:textId="77777777" w:rsidR="00D50A04" w:rsidRPr="001D218D" w:rsidRDefault="00D50A04" w:rsidP="00292B50">
      <w:pPr>
        <w:autoSpaceDE w:val="0"/>
        <w:autoSpaceDN w:val="0"/>
        <w:adjustRightInd w:val="0"/>
      </w:pPr>
      <w:r>
        <w:rPr>
          <w:rFonts w:cstheme="minorHAnsi"/>
        </w:rPr>
        <w:t>Providers and workers</w:t>
      </w:r>
      <w:r w:rsidRPr="00C2772C">
        <w:rPr>
          <w:rFonts w:cstheme="minorHAnsi"/>
        </w:rPr>
        <w:t xml:space="preserve"> must comply with </w:t>
      </w:r>
      <w:r w:rsidRPr="001D218D">
        <w:t xml:space="preserve">the </w:t>
      </w:r>
      <w:hyperlink r:id="rId12" w:history="1">
        <w:r w:rsidRPr="00292B50">
          <w:rPr>
            <w:rStyle w:val="Hyperlink"/>
          </w:rPr>
          <w:t>NDIS Code of Conduct</w:t>
        </w:r>
      </w:hyperlink>
      <w:r w:rsidRPr="001D218D">
        <w:t xml:space="preserve"> when providing supports or services to NDIS participants.</w:t>
      </w:r>
    </w:p>
    <w:p w14:paraId="5D1AB94C" w14:textId="77777777" w:rsidR="00D50A04" w:rsidRPr="00C2772C" w:rsidRDefault="00D50A04" w:rsidP="00292B50">
      <w:pPr>
        <w:autoSpaceDE w:val="0"/>
        <w:autoSpaceDN w:val="0"/>
        <w:adjustRightInd w:val="0"/>
        <w:spacing w:after="0" w:line="276" w:lineRule="auto"/>
        <w:contextualSpacing/>
        <w:rPr>
          <w:rFonts w:cstheme="minorHAnsi"/>
          <w:color w:val="000000"/>
        </w:rPr>
      </w:pPr>
      <w:r w:rsidRPr="00C2772C">
        <w:rPr>
          <w:rFonts w:cstheme="minorHAnsi"/>
          <w:color w:val="000000"/>
        </w:rPr>
        <w:t xml:space="preserve">The NDIS Code of Conduct requires all NDIS providers and workers who </w:t>
      </w:r>
      <w:r>
        <w:rPr>
          <w:rFonts w:cstheme="minorHAnsi"/>
          <w:color w:val="000000"/>
        </w:rPr>
        <w:t>provide</w:t>
      </w:r>
      <w:r w:rsidRPr="00C2772C">
        <w:rPr>
          <w:rFonts w:cstheme="minorHAnsi"/>
          <w:color w:val="000000"/>
        </w:rPr>
        <w:t xml:space="preserve"> NDIS supports </w:t>
      </w:r>
      <w:r>
        <w:rPr>
          <w:rFonts w:cstheme="minorHAnsi"/>
          <w:color w:val="000000"/>
        </w:rPr>
        <w:t xml:space="preserve">or services </w:t>
      </w:r>
      <w:r w:rsidRPr="00C2772C">
        <w:rPr>
          <w:rFonts w:cstheme="minorHAnsi"/>
          <w:color w:val="000000"/>
        </w:rPr>
        <w:t xml:space="preserve">to NDIS participants to, among other things: </w:t>
      </w:r>
    </w:p>
    <w:p w14:paraId="65438B19" w14:textId="4BF75C09" w:rsidR="00D50A04" w:rsidRPr="00292B50" w:rsidRDefault="00C413EC" w:rsidP="00292B50">
      <w:pPr>
        <w:pStyle w:val="ListParagraph"/>
      </w:pPr>
      <w:r w:rsidRPr="00292B50">
        <w:t>Act with respec</w:t>
      </w:r>
      <w:r w:rsidR="00D50A04" w:rsidRPr="00292B50">
        <w:t>t for individual rights to freedom of expression, self-determination and decision-making in accordance with applicable laws and conventions</w:t>
      </w:r>
    </w:p>
    <w:p w14:paraId="6B3C2CE6" w14:textId="7192F67D" w:rsidR="00D50A04" w:rsidRPr="00292B50" w:rsidRDefault="00C413EC" w:rsidP="00292B50">
      <w:pPr>
        <w:pStyle w:val="ListParagraph"/>
      </w:pPr>
      <w:r w:rsidRPr="00292B50">
        <w:t>Provide supports and services in a safe and competent manner with care and skill</w:t>
      </w:r>
    </w:p>
    <w:p w14:paraId="7E936631" w14:textId="3798C9B7" w:rsidR="00D50A04" w:rsidRPr="00292B50" w:rsidRDefault="00C413EC" w:rsidP="00292B50">
      <w:pPr>
        <w:pStyle w:val="ListParagraph"/>
      </w:pPr>
      <w:r w:rsidRPr="00292B50">
        <w:t xml:space="preserve">Promptly take steps </w:t>
      </w:r>
      <w:r w:rsidR="00943713" w:rsidRPr="00292B50">
        <w:t>to raise</w:t>
      </w:r>
      <w:r w:rsidRPr="00292B50">
        <w:t xml:space="preserve"> and ac</w:t>
      </w:r>
      <w:r w:rsidR="00D50A04" w:rsidRPr="00292B50">
        <w:t xml:space="preserve">t on concerns about matters that may impact on the quality and safety of supports provided to people with disability. </w:t>
      </w:r>
    </w:p>
    <w:p w14:paraId="77C462B4" w14:textId="77777777" w:rsidR="00D50A04" w:rsidRPr="00F77911" w:rsidRDefault="00D50A04" w:rsidP="00D50A04">
      <w:pPr>
        <w:pStyle w:val="Heading2"/>
      </w:pPr>
      <w:r w:rsidRPr="00F77911">
        <w:t xml:space="preserve">NDIS Practice Standards </w:t>
      </w:r>
    </w:p>
    <w:p w14:paraId="440B8BCD" w14:textId="77777777" w:rsidR="00D50A04" w:rsidRPr="002B13E7" w:rsidRDefault="00D50A04" w:rsidP="00D50A04">
      <w:pPr>
        <w:rPr>
          <w:rFonts w:cstheme="minorHAnsi"/>
        </w:rPr>
      </w:pPr>
      <w:r w:rsidRPr="002B13E7">
        <w:rPr>
          <w:rFonts w:cstheme="minorHAnsi"/>
        </w:rPr>
        <w:t xml:space="preserve">If you are a registered NDIS provider, </w:t>
      </w:r>
      <w:r w:rsidRPr="001D218D">
        <w:t xml:space="preserve">you must comply with the </w:t>
      </w:r>
      <w:hyperlink r:id="rId13" w:history="1">
        <w:r w:rsidRPr="00D85A36">
          <w:rPr>
            <w:rStyle w:val="Hyperlink"/>
          </w:rPr>
          <w:t>National Disability Insurance Scheme (Provider Registration and Practice Standards) Rules 2018</w:t>
        </w:r>
      </w:hyperlink>
      <w:r w:rsidRPr="001D218D">
        <w:t xml:space="preserve"> as part of your conditions of registration. The NDIS Practice Standards r</w:t>
      </w:r>
      <w:r w:rsidRPr="002B13E7">
        <w:rPr>
          <w:rFonts w:cstheme="minorHAnsi"/>
        </w:rPr>
        <w:t>elate to the delivery of safe, quality supports and services, and the management of risks associated with the supports you provide to NDIS participants.</w:t>
      </w:r>
    </w:p>
    <w:p w14:paraId="09FF0D6B" w14:textId="7B9D2495" w:rsidR="00D50A04" w:rsidRPr="00C2772C" w:rsidRDefault="00D50A04" w:rsidP="00D50A04">
      <w:pPr>
        <w:autoSpaceDE w:val="0"/>
        <w:autoSpaceDN w:val="0"/>
        <w:adjustRightInd w:val="0"/>
        <w:rPr>
          <w:rFonts w:eastAsia="Times New Roman" w:cstheme="minorHAnsi"/>
          <w:color w:val="000000"/>
        </w:rPr>
      </w:pPr>
      <w:r w:rsidRPr="002B13E7">
        <w:rPr>
          <w:rFonts w:cstheme="minorHAnsi"/>
        </w:rPr>
        <w:t xml:space="preserve">In delivering NDIS support </w:t>
      </w:r>
      <w:r w:rsidRPr="001D218D">
        <w:t xml:space="preserve">and services, providers must also demonstrate compliance with the </w:t>
      </w:r>
      <w:hyperlink r:id="rId14" w:history="1">
        <w:r w:rsidRPr="00D85A36">
          <w:rPr>
            <w:rStyle w:val="Hyperlink"/>
          </w:rPr>
          <w:t>National Disability Insurance Scheme (Quality Indicators) Guidelines 2018</w:t>
        </w:r>
      </w:hyperlink>
      <w:r w:rsidRPr="001D218D">
        <w:t xml:space="preserve">. The NDIS Commission’s guidance on the </w:t>
      </w:r>
      <w:hyperlink r:id="rId15" w:history="1">
        <w:r w:rsidRPr="00D85A36">
          <w:rPr>
            <w:rStyle w:val="Hyperlink"/>
          </w:rPr>
          <w:t>NDIS Practice Standards and Quality Indicators</w:t>
        </w:r>
      </w:hyperlink>
      <w:r w:rsidRPr="001D218D">
        <w:t xml:space="preserve"> provides a further resource to assist registered NDIS providers to understand their obligations</w:t>
      </w:r>
      <w:r w:rsidRPr="002B13E7">
        <w:rPr>
          <w:rFonts w:eastAsia="Times New Roman" w:cstheme="minorHAnsi"/>
          <w:color w:val="000000"/>
        </w:rPr>
        <w:t>.</w:t>
      </w:r>
    </w:p>
    <w:p w14:paraId="18B28276" w14:textId="77777777" w:rsidR="00D50A04" w:rsidRPr="00C2772C" w:rsidRDefault="00D50A04" w:rsidP="00D50A04">
      <w:pPr>
        <w:autoSpaceDE w:val="0"/>
        <w:autoSpaceDN w:val="0"/>
        <w:adjustRightInd w:val="0"/>
        <w:contextualSpacing/>
        <w:rPr>
          <w:rFonts w:eastAsia="Times New Roman" w:cstheme="minorHAnsi"/>
          <w:color w:val="000000"/>
        </w:rPr>
      </w:pPr>
      <w:r w:rsidRPr="00C2772C">
        <w:rPr>
          <w:rFonts w:eastAsia="Times New Roman" w:cstheme="minorHAnsi"/>
          <w:color w:val="000000"/>
        </w:rPr>
        <w:t>The NDIS Practice Standards that are most relevant to this alert include:</w:t>
      </w:r>
    </w:p>
    <w:p w14:paraId="1343B260" w14:textId="77777777" w:rsidR="00D50A04" w:rsidRPr="00C2772C" w:rsidRDefault="00D50A04" w:rsidP="007E4824">
      <w:pPr>
        <w:pStyle w:val="Bullet1"/>
        <w:spacing w:before="0" w:after="0"/>
      </w:pPr>
      <w:r w:rsidRPr="00C2772C">
        <w:rPr>
          <w:b/>
          <w:bCs/>
        </w:rPr>
        <w:t xml:space="preserve">Support planning: </w:t>
      </w:r>
      <w:r w:rsidRPr="00C2772C">
        <w:t xml:space="preserve">each participant is actively involved in the development of their support plans. Support plans reflect participant needs, requirements, preferences, strengths, and goals, and are regularly reviewed. </w:t>
      </w:r>
    </w:p>
    <w:p w14:paraId="271EC79F" w14:textId="1C7DFA4E" w:rsidR="00D50A04" w:rsidRPr="002B13E7" w:rsidRDefault="00D50A04" w:rsidP="007E4824">
      <w:pPr>
        <w:pStyle w:val="Bullet1"/>
        <w:spacing w:before="0" w:after="0"/>
      </w:pPr>
      <w:r w:rsidRPr="00B52933">
        <w:rPr>
          <w:b/>
          <w:bCs/>
        </w:rPr>
        <w:t>Independence and informed choice</w:t>
      </w:r>
      <w:r>
        <w:rPr>
          <w:b/>
          <w:bCs/>
        </w:rPr>
        <w:t xml:space="preserve">: </w:t>
      </w:r>
      <w:r w:rsidR="006F35B0">
        <w:rPr>
          <w:bCs/>
        </w:rPr>
        <w:t>e</w:t>
      </w:r>
      <w:r w:rsidR="006F35B0" w:rsidRPr="007D78DB">
        <w:rPr>
          <w:bCs/>
        </w:rPr>
        <w:t xml:space="preserve">ach </w:t>
      </w:r>
      <w:r w:rsidRPr="007D78DB">
        <w:rPr>
          <w:bCs/>
        </w:rPr>
        <w:t>participant is supported by the provider to make informed choices, exercise control and maximise their independence relating to the supports provided</w:t>
      </w:r>
    </w:p>
    <w:p w14:paraId="62DCE1D2" w14:textId="33F8568B" w:rsidR="00D50A04" w:rsidRDefault="00D50A04" w:rsidP="007E4824">
      <w:pPr>
        <w:pStyle w:val="Bullet1"/>
        <w:spacing w:before="0" w:after="0"/>
        <w:rPr>
          <w:rFonts w:cstheme="minorHAnsi"/>
        </w:rPr>
      </w:pPr>
      <w:r w:rsidRPr="00C2772C">
        <w:rPr>
          <w:b/>
          <w:bCs/>
        </w:rPr>
        <w:t xml:space="preserve">Access to supports: </w:t>
      </w:r>
      <w:r w:rsidRPr="00C2772C">
        <w:rPr>
          <w:rFonts w:cstheme="minorHAnsi"/>
        </w:rPr>
        <w:t>each participant accesses the most appropriate supports that meet their needs, goals and preferences.</w:t>
      </w:r>
    </w:p>
    <w:p w14:paraId="591CEA63" w14:textId="5C8375E3" w:rsidR="00BA258A" w:rsidRPr="00BA258A" w:rsidRDefault="00BA258A" w:rsidP="00BA258A">
      <w:pPr>
        <w:pStyle w:val="Bullet1"/>
        <w:spacing w:before="0" w:after="0"/>
        <w:rPr>
          <w:rFonts w:cstheme="minorHAnsi"/>
        </w:rPr>
      </w:pPr>
      <w:r w:rsidRPr="00BA258A">
        <w:rPr>
          <w:rFonts w:cstheme="minorHAnsi"/>
          <w:b/>
        </w:rPr>
        <w:t xml:space="preserve">Safe environment: </w:t>
      </w:r>
      <w:r>
        <w:rPr>
          <w:rFonts w:cstheme="minorHAnsi"/>
        </w:rPr>
        <w:t>e</w:t>
      </w:r>
      <w:r w:rsidRPr="00BA258A">
        <w:rPr>
          <w:rFonts w:cstheme="minorHAnsi"/>
        </w:rPr>
        <w:t>ach participant accesses supports in a safe environment that is appropriate to their needs.</w:t>
      </w:r>
    </w:p>
    <w:p w14:paraId="4ED024EE" w14:textId="25F307DC" w:rsidR="00D50A04" w:rsidRPr="00C2772C" w:rsidRDefault="00D50A04" w:rsidP="007E4824">
      <w:pPr>
        <w:pStyle w:val="Bullet1"/>
        <w:spacing w:before="0" w:after="0"/>
        <w:rPr>
          <w:bCs/>
        </w:rPr>
      </w:pPr>
      <w:r w:rsidRPr="00C2772C">
        <w:rPr>
          <w:b/>
          <w:bCs/>
        </w:rPr>
        <w:t xml:space="preserve">Incident </w:t>
      </w:r>
      <w:r w:rsidR="006F35B0">
        <w:rPr>
          <w:b/>
          <w:bCs/>
        </w:rPr>
        <w:t>m</w:t>
      </w:r>
      <w:r w:rsidR="006F35B0" w:rsidRPr="00C2772C">
        <w:rPr>
          <w:b/>
          <w:bCs/>
        </w:rPr>
        <w:t>anagement</w:t>
      </w:r>
      <w:r w:rsidRPr="00C2772C">
        <w:rPr>
          <w:b/>
          <w:bCs/>
        </w:rPr>
        <w:t xml:space="preserve">: </w:t>
      </w:r>
      <w:r w:rsidR="006F35B0">
        <w:rPr>
          <w:bCs/>
        </w:rPr>
        <w:t>e</w:t>
      </w:r>
      <w:r w:rsidR="006F35B0" w:rsidRPr="00C2772C">
        <w:rPr>
          <w:bCs/>
        </w:rPr>
        <w:t xml:space="preserve">ach </w:t>
      </w:r>
      <w:r w:rsidRPr="00C2772C">
        <w:rPr>
          <w:bCs/>
        </w:rPr>
        <w:t>participant is safeguarded by the provider’s incident management system, ensuring that incidents are acknowledged, respond</w:t>
      </w:r>
      <w:r>
        <w:rPr>
          <w:bCs/>
        </w:rPr>
        <w:t>ed</w:t>
      </w:r>
      <w:r w:rsidRPr="00C2772C">
        <w:rPr>
          <w:bCs/>
        </w:rPr>
        <w:t xml:space="preserve"> to, well-managed and learned from. </w:t>
      </w:r>
    </w:p>
    <w:p w14:paraId="2225B107" w14:textId="1F431301" w:rsidR="00D50A04" w:rsidRPr="00C2772C" w:rsidRDefault="00D50A04" w:rsidP="007E4824">
      <w:pPr>
        <w:pStyle w:val="Bullet1"/>
        <w:spacing w:before="0" w:after="0"/>
        <w:rPr>
          <w:bCs/>
        </w:rPr>
      </w:pPr>
      <w:r w:rsidRPr="00C2772C">
        <w:rPr>
          <w:b/>
          <w:bCs/>
        </w:rPr>
        <w:t xml:space="preserve">Information </w:t>
      </w:r>
      <w:r w:rsidR="006F35B0">
        <w:rPr>
          <w:b/>
          <w:bCs/>
        </w:rPr>
        <w:t>m</w:t>
      </w:r>
      <w:r w:rsidR="006F35B0" w:rsidRPr="00C2772C">
        <w:rPr>
          <w:b/>
          <w:bCs/>
        </w:rPr>
        <w:t>anagement</w:t>
      </w:r>
      <w:r w:rsidRPr="00C2772C">
        <w:rPr>
          <w:b/>
          <w:bCs/>
        </w:rPr>
        <w:t xml:space="preserve">: </w:t>
      </w:r>
      <w:r w:rsidR="006F35B0">
        <w:rPr>
          <w:bCs/>
        </w:rPr>
        <w:t>e</w:t>
      </w:r>
      <w:r w:rsidRPr="00C2772C">
        <w:rPr>
          <w:bCs/>
        </w:rPr>
        <w:t xml:space="preserve">ach participant’s information is managed to ensure that it is identifiable, accurately recorded, current and confidential. Each participant’s information is easily accessible to the participant and appropriately utilised by relevant workers. </w:t>
      </w:r>
    </w:p>
    <w:p w14:paraId="1B0528F8" w14:textId="77777777" w:rsidR="00D50A04" w:rsidRPr="00D50A04" w:rsidRDefault="00D50A04" w:rsidP="007E4824">
      <w:pPr>
        <w:pStyle w:val="Bullet1"/>
        <w:spacing w:before="0" w:after="0"/>
        <w:rPr>
          <w:rFonts w:cstheme="minorHAnsi"/>
        </w:rPr>
      </w:pPr>
      <w:r w:rsidRPr="00D50A04">
        <w:rPr>
          <w:b/>
          <w:bCs/>
        </w:rPr>
        <w:t xml:space="preserve">Human resource management: </w:t>
      </w:r>
      <w:r w:rsidRPr="00D50A04">
        <w:rPr>
          <w:rFonts w:cstheme="minorHAnsi"/>
        </w:rPr>
        <w:t xml:space="preserve">each participant’s support needs are met by workers who are competent in relation to their role, hold relevant qualifications, and who have relevant expertise and experience to provide person-centred support. </w:t>
      </w:r>
    </w:p>
    <w:p w14:paraId="30017A40" w14:textId="77777777" w:rsidR="00D50A04" w:rsidRPr="00A42496" w:rsidRDefault="00D50A04" w:rsidP="00D50A04">
      <w:pPr>
        <w:pStyle w:val="Heading1"/>
      </w:pPr>
      <w:r>
        <w:lastRenderedPageBreak/>
        <w:t xml:space="preserve">Resources </w:t>
      </w:r>
    </w:p>
    <w:p w14:paraId="43BBC004" w14:textId="489DBBEC" w:rsidR="00D50A04" w:rsidRDefault="00D50A04" w:rsidP="00D50A04">
      <w:pPr>
        <w:pStyle w:val="Heading2"/>
      </w:pPr>
      <w:r>
        <w:t>Preparing and s</w:t>
      </w:r>
      <w:r w:rsidRPr="006611D9">
        <w:t xml:space="preserve">upporting </w:t>
      </w:r>
      <w:r>
        <w:t xml:space="preserve">participants to visit </w:t>
      </w:r>
      <w:r w:rsidRPr="006611D9">
        <w:t xml:space="preserve">the </w:t>
      </w:r>
      <w:r w:rsidR="00320923">
        <w:t>oral health practitioner</w:t>
      </w:r>
    </w:p>
    <w:p w14:paraId="7B2ABF69" w14:textId="53976675" w:rsidR="00D50A04" w:rsidRPr="007E4824" w:rsidRDefault="00515921" w:rsidP="007E4824">
      <w:pPr>
        <w:pStyle w:val="Bullet1"/>
        <w:spacing w:before="0" w:after="0"/>
      </w:pPr>
      <w:hyperlink r:id="rId16" w:history="1">
        <w:r w:rsidR="00D50A04" w:rsidRPr="00D85A36">
          <w:rPr>
            <w:rStyle w:val="Hyperlink"/>
          </w:rPr>
          <w:t>Your Dental Health Guide for people with disability</w:t>
        </w:r>
      </w:hyperlink>
      <w:r w:rsidR="00597AFF">
        <w:t xml:space="preserve"> </w:t>
      </w:r>
      <w:r w:rsidR="00D50A04" w:rsidRPr="007E4824">
        <w:t>includes practical information for</w:t>
      </w:r>
      <w:r w:rsidR="00597AFF">
        <w:t xml:space="preserve"> people with a disability,</w:t>
      </w:r>
      <w:r w:rsidR="00D50A04" w:rsidRPr="007E4824">
        <w:t xml:space="preserve"> </w:t>
      </w:r>
      <w:r w:rsidR="009B43EF">
        <w:t>dentists</w:t>
      </w:r>
      <w:r w:rsidR="00D50A04" w:rsidRPr="007E4824">
        <w:t xml:space="preserve">, participants, their family, guardians and NDIS providers. </w:t>
      </w:r>
    </w:p>
    <w:p w14:paraId="784D0637" w14:textId="77777777" w:rsidR="002E608E" w:rsidRPr="007E4824" w:rsidRDefault="002E608E" w:rsidP="002E608E">
      <w:pPr>
        <w:pStyle w:val="Bullet1"/>
        <w:spacing w:before="0" w:after="0"/>
      </w:pPr>
      <w:r w:rsidRPr="007E4824">
        <w:t xml:space="preserve">Inclusion Melbourne has developed a </w:t>
      </w:r>
      <w:hyperlink r:id="rId17" w:history="1">
        <w:r w:rsidRPr="00D85A36">
          <w:rPr>
            <w:rStyle w:val="Hyperlink"/>
          </w:rPr>
          <w:t>series of videos about going to dentist, teeth brushing and oral care</w:t>
        </w:r>
      </w:hyperlink>
      <w:r w:rsidRPr="007E4824">
        <w:t xml:space="preserve"> for people with intellectual disability</w:t>
      </w:r>
      <w:r>
        <w:t xml:space="preserve"> that have been endorsed by the Australian Dental Association</w:t>
      </w:r>
      <w:r w:rsidRPr="007E4824">
        <w:t xml:space="preserve">. There are also oral health planning forms for the </w:t>
      </w:r>
      <w:r>
        <w:t>dentist</w:t>
      </w:r>
      <w:r w:rsidRPr="007E4824">
        <w:t xml:space="preserve"> and participant. </w:t>
      </w:r>
    </w:p>
    <w:p w14:paraId="31FE2ABD" w14:textId="086A7E5F" w:rsidR="00D50A04" w:rsidRPr="007E4824" w:rsidRDefault="00515921" w:rsidP="007E4824">
      <w:pPr>
        <w:pStyle w:val="Bullet1"/>
        <w:spacing w:before="0" w:after="0"/>
      </w:pPr>
      <w:hyperlink r:id="rId18" w:history="1">
        <w:r w:rsidR="00904315">
          <w:rPr>
            <w:rStyle w:val="Hyperlink"/>
          </w:rPr>
          <w:t>Maggie goes to the dentist (PDF, 1590 KB)</w:t>
        </w:r>
      </w:hyperlink>
      <w:r w:rsidR="00D50A04" w:rsidRPr="007E4824">
        <w:t xml:space="preserve"> is an example of a social story that can</w:t>
      </w:r>
      <w:r w:rsidR="008E6300" w:rsidRPr="007E4824">
        <w:t xml:space="preserve"> customised</w:t>
      </w:r>
      <w:r w:rsidR="00D50A04" w:rsidRPr="007E4824">
        <w:t xml:space="preserve"> to assist a participant</w:t>
      </w:r>
      <w:r w:rsidR="008E6300" w:rsidRPr="007E4824">
        <w:t xml:space="preserve"> prepare</w:t>
      </w:r>
      <w:r w:rsidR="00D50A04" w:rsidRPr="007E4824">
        <w:t xml:space="preserve"> for a dental visit</w:t>
      </w:r>
      <w:r w:rsidR="003D3159" w:rsidRPr="007E4824">
        <w:t>.</w:t>
      </w:r>
      <w:r w:rsidR="00D50A04" w:rsidRPr="007E4824">
        <w:t xml:space="preserve">  </w:t>
      </w:r>
    </w:p>
    <w:p w14:paraId="7EBA576B" w14:textId="547A609F" w:rsidR="00D50A04" w:rsidRPr="007E4824" w:rsidRDefault="00515921" w:rsidP="007E4824">
      <w:pPr>
        <w:pStyle w:val="Bullet1"/>
        <w:spacing w:before="0" w:after="0"/>
      </w:pPr>
      <w:hyperlink r:id="rId19" w:history="1">
        <w:r w:rsidR="00597AFF" w:rsidRPr="00D85A36">
          <w:rPr>
            <w:rStyle w:val="Hyperlink"/>
          </w:rPr>
          <w:t>Planning to g</w:t>
        </w:r>
        <w:r w:rsidR="003D3159" w:rsidRPr="00D85A36">
          <w:rPr>
            <w:rStyle w:val="Hyperlink"/>
          </w:rPr>
          <w:t>o</w:t>
        </w:r>
        <w:r w:rsidR="00597AFF" w:rsidRPr="00D85A36">
          <w:rPr>
            <w:rStyle w:val="Hyperlink"/>
          </w:rPr>
          <w:t xml:space="preserve"> </w:t>
        </w:r>
        <w:r w:rsidR="003D3159" w:rsidRPr="00D85A36">
          <w:rPr>
            <w:rStyle w:val="Hyperlink"/>
          </w:rPr>
          <w:t xml:space="preserve">to the </w:t>
        </w:r>
        <w:r w:rsidR="009B43EF" w:rsidRPr="00D85A36">
          <w:rPr>
            <w:rStyle w:val="Hyperlink"/>
          </w:rPr>
          <w:t>dentist</w:t>
        </w:r>
      </w:hyperlink>
      <w:r w:rsidR="003D3159" w:rsidRPr="007E4824">
        <w:t xml:space="preserve"> is</w:t>
      </w:r>
      <w:r w:rsidR="00D50A04" w:rsidRPr="007E4824">
        <w:t xml:space="preserve"> a guide for families and c</w:t>
      </w:r>
      <w:r w:rsidR="00597AFF">
        <w:t>arers of people with Autism</w:t>
      </w:r>
      <w:r w:rsidR="00D50A04" w:rsidRPr="007E4824">
        <w:t>.</w:t>
      </w:r>
    </w:p>
    <w:p w14:paraId="4018854C" w14:textId="77777777" w:rsidR="00AA4A42" w:rsidRDefault="003D3159" w:rsidP="00E4056A">
      <w:pPr>
        <w:pStyle w:val="Bullet1"/>
        <w:spacing w:before="0" w:after="0"/>
      </w:pPr>
      <w:r w:rsidRPr="007E4824">
        <w:t xml:space="preserve">IDEAS </w:t>
      </w:r>
      <w:hyperlink r:id="rId20" w:history="1">
        <w:r w:rsidR="004B7B3B" w:rsidRPr="00D85A36">
          <w:rPr>
            <w:rStyle w:val="Hyperlink"/>
          </w:rPr>
          <w:t>D</w:t>
        </w:r>
        <w:r w:rsidR="009B43EF" w:rsidRPr="00D85A36">
          <w:rPr>
            <w:rStyle w:val="Hyperlink"/>
          </w:rPr>
          <w:t>entist</w:t>
        </w:r>
        <w:r w:rsidR="00D50A04" w:rsidRPr="00D85A36">
          <w:rPr>
            <w:rStyle w:val="Hyperlink"/>
          </w:rPr>
          <w:t>s and Disability</w:t>
        </w:r>
      </w:hyperlink>
      <w:r w:rsidR="00D50A04" w:rsidRPr="007E4824">
        <w:t xml:space="preserve"> </w:t>
      </w:r>
      <w:r w:rsidRPr="007E4824">
        <w:t>website has oral health information and resources for people with disability.</w:t>
      </w:r>
    </w:p>
    <w:p w14:paraId="3E926933" w14:textId="19E9F995" w:rsidR="00FE2757" w:rsidRPr="007E4824" w:rsidRDefault="00315C28" w:rsidP="00E4056A">
      <w:pPr>
        <w:pStyle w:val="Bullet1"/>
        <w:spacing w:before="0" w:after="0"/>
      </w:pPr>
      <w:r w:rsidRPr="007E4824">
        <w:t xml:space="preserve">The </w:t>
      </w:r>
      <w:hyperlink r:id="rId21" w:history="1">
        <w:r w:rsidRPr="00D85A36">
          <w:rPr>
            <w:rStyle w:val="Hyperlink"/>
          </w:rPr>
          <w:t>Australian Dental Association</w:t>
        </w:r>
      </w:hyperlink>
      <w:r w:rsidR="009B06E6" w:rsidRPr="007E4824">
        <w:t xml:space="preserve"> also</w:t>
      </w:r>
      <w:r w:rsidRPr="007E4824">
        <w:t xml:space="preserve"> has a range of </w:t>
      </w:r>
      <w:r w:rsidR="009B06E6" w:rsidRPr="007E4824">
        <w:t xml:space="preserve">oral health </w:t>
      </w:r>
      <w:r w:rsidRPr="007E4824">
        <w:t xml:space="preserve">resources available </w:t>
      </w:r>
      <w:r w:rsidR="009B06E6" w:rsidRPr="007E4824">
        <w:t>for the general community.</w:t>
      </w:r>
    </w:p>
    <w:p w14:paraId="11DAA564" w14:textId="77777777" w:rsidR="00D50A04" w:rsidRDefault="00D50A04" w:rsidP="00054374">
      <w:pPr>
        <w:pStyle w:val="Heading2"/>
        <w:rPr>
          <w:lang w:val="en-US"/>
        </w:rPr>
      </w:pPr>
      <w:r>
        <w:rPr>
          <w:lang w:val="en-US"/>
        </w:rPr>
        <w:t>Information for providers</w:t>
      </w:r>
    </w:p>
    <w:p w14:paraId="01C2059F" w14:textId="70DDB57C" w:rsidR="00320923" w:rsidRDefault="00320923" w:rsidP="005317EC">
      <w:pPr>
        <w:pStyle w:val="Bullet1"/>
        <w:contextualSpacing/>
      </w:pPr>
      <w:r>
        <w:t xml:space="preserve">The </w:t>
      </w:r>
      <w:hyperlink r:id="rId22" w:history="1">
        <w:r w:rsidRPr="00D85A36">
          <w:rPr>
            <w:rStyle w:val="Hyperlink"/>
          </w:rPr>
          <w:t>NDIS Workforce Capability Framework</w:t>
        </w:r>
      </w:hyperlink>
      <w:r>
        <w:t xml:space="preserve"> is a guide attitudes, skills and knowledge expected of NDIS Workers.</w:t>
      </w:r>
    </w:p>
    <w:p w14:paraId="0C07BB55" w14:textId="77228129" w:rsidR="00D50A04" w:rsidRPr="005317EC" w:rsidRDefault="00515921" w:rsidP="005317EC">
      <w:pPr>
        <w:pStyle w:val="Bullet1"/>
        <w:contextualSpacing/>
      </w:pPr>
      <w:hyperlink r:id="rId23" w:history="1">
        <w:r w:rsidR="00D50A04" w:rsidRPr="00D85A36">
          <w:rPr>
            <w:rStyle w:val="Hyperlink"/>
          </w:rPr>
          <w:t>VicHealth Everysmile</w:t>
        </w:r>
      </w:hyperlink>
      <w:r w:rsidR="00D50A04" w:rsidRPr="005317EC">
        <w:t xml:space="preserve"> has tools</w:t>
      </w:r>
      <w:r w:rsidR="003D3159" w:rsidRPr="005317EC">
        <w:t>,</w:t>
      </w:r>
      <w:r w:rsidR="00D50A04" w:rsidRPr="005317EC">
        <w:t xml:space="preserve"> resources and ideas to improve oral health of people in supported accommodation services</w:t>
      </w:r>
      <w:r w:rsidR="003D3159" w:rsidRPr="005317EC">
        <w:t>.</w:t>
      </w:r>
      <w:r w:rsidR="00D50A04" w:rsidRPr="005317EC">
        <w:t xml:space="preserve"> </w:t>
      </w:r>
    </w:p>
    <w:p w14:paraId="1FAA62BB" w14:textId="77777777" w:rsidR="00D50A04" w:rsidRPr="005317EC" w:rsidRDefault="00515921" w:rsidP="005317EC">
      <w:pPr>
        <w:pStyle w:val="Bullet1"/>
        <w:contextualSpacing/>
      </w:pPr>
      <w:hyperlink r:id="rId24" w:history="1">
        <w:r w:rsidR="0086573E" w:rsidRPr="00D85A36">
          <w:rPr>
            <w:rStyle w:val="Hyperlink"/>
          </w:rPr>
          <w:t>Dental Practice Education Research Unit, Adelaide University</w:t>
        </w:r>
      </w:hyperlink>
      <w:r w:rsidR="00D50A04" w:rsidRPr="005317EC">
        <w:t>,</w:t>
      </w:r>
      <w:r w:rsidR="0086573E" w:rsidRPr="005317EC">
        <w:t xml:space="preserve"> has</w:t>
      </w:r>
      <w:r w:rsidR="00D50A04" w:rsidRPr="005317EC">
        <w:t xml:space="preserve"> </w:t>
      </w:r>
      <w:r w:rsidR="0086573E" w:rsidRPr="005317EC">
        <w:t>i</w:t>
      </w:r>
      <w:r w:rsidR="00D50A04" w:rsidRPr="005317EC">
        <w:t xml:space="preserve">nformation sheets for </w:t>
      </w:r>
      <w:r w:rsidR="004B7B3B">
        <w:t>Dental practitioner</w:t>
      </w:r>
      <w:r w:rsidR="00D50A04" w:rsidRPr="005317EC">
        <w:t>s and for Carers.</w:t>
      </w:r>
    </w:p>
    <w:p w14:paraId="669A51E9" w14:textId="77777777" w:rsidR="00D50A04" w:rsidRPr="005317EC" w:rsidRDefault="00515921" w:rsidP="005317EC">
      <w:pPr>
        <w:pStyle w:val="Bullet1"/>
        <w:contextualSpacing/>
      </w:pPr>
      <w:hyperlink r:id="rId25" w:history="1">
        <w:r w:rsidR="003D3159" w:rsidRPr="00D85A36">
          <w:rPr>
            <w:rStyle w:val="Hyperlink"/>
          </w:rPr>
          <w:t>Health Direct</w:t>
        </w:r>
      </w:hyperlink>
      <w:r w:rsidR="003D3159" w:rsidRPr="005317EC">
        <w:t xml:space="preserve"> has a guide to </w:t>
      </w:r>
      <w:r w:rsidR="0086573E" w:rsidRPr="005317EC">
        <w:t xml:space="preserve">accessing </w:t>
      </w:r>
      <w:r w:rsidR="003D3159" w:rsidRPr="005317EC">
        <w:t>oral health services</w:t>
      </w:r>
      <w:r w:rsidR="0086573E" w:rsidRPr="005317EC">
        <w:t xml:space="preserve"> in Australia.</w:t>
      </w:r>
    </w:p>
    <w:p w14:paraId="49453767" w14:textId="77777777" w:rsidR="00D50A04" w:rsidRPr="001D5593" w:rsidRDefault="00D50A04" w:rsidP="003D5EC1">
      <w:pPr>
        <w:pStyle w:val="Heading2"/>
      </w:pPr>
      <w:r w:rsidRPr="001D5593">
        <w:t>L</w:t>
      </w:r>
      <w:r>
        <w:t>inks to state and territory p</w:t>
      </w:r>
      <w:r w:rsidRPr="001D5593">
        <w:t xml:space="preserve">ublic </w:t>
      </w:r>
      <w:r>
        <w:t>dental h</w:t>
      </w:r>
      <w:r w:rsidRPr="001D5593">
        <w:t>ealth websites</w:t>
      </w:r>
    </w:p>
    <w:p w14:paraId="7F6B4980" w14:textId="77777777" w:rsidR="007E4824" w:rsidRPr="00D85A36" w:rsidRDefault="00515921" w:rsidP="007E4824">
      <w:pPr>
        <w:pStyle w:val="Bullet1"/>
        <w:spacing w:before="0" w:after="0"/>
        <w:contextualSpacing/>
        <w:rPr>
          <w:rStyle w:val="Hyperlink"/>
        </w:rPr>
      </w:pPr>
      <w:hyperlink r:id="rId26" w:history="1">
        <w:r w:rsidR="00D50A04" w:rsidRPr="00D85A36">
          <w:rPr>
            <w:rStyle w:val="Hyperlink"/>
          </w:rPr>
          <w:t>NSW Public Dental Health websites</w:t>
        </w:r>
      </w:hyperlink>
    </w:p>
    <w:p w14:paraId="51EFA098" w14:textId="77777777" w:rsidR="007E4824" w:rsidRPr="00D85A36" w:rsidRDefault="00515921" w:rsidP="007E4824">
      <w:pPr>
        <w:pStyle w:val="Bullet1"/>
        <w:spacing w:before="0" w:after="0"/>
        <w:contextualSpacing/>
        <w:rPr>
          <w:rStyle w:val="Hyperlink"/>
        </w:rPr>
      </w:pPr>
      <w:hyperlink r:id="rId27" w:history="1">
        <w:r w:rsidR="00D50A04" w:rsidRPr="00D85A36">
          <w:rPr>
            <w:rStyle w:val="Hyperlink"/>
          </w:rPr>
          <w:t>Qld Public Dental Health websites</w:t>
        </w:r>
      </w:hyperlink>
    </w:p>
    <w:p w14:paraId="70F0D30A" w14:textId="77777777" w:rsidR="007E4824" w:rsidRPr="00D85A36" w:rsidRDefault="00515921" w:rsidP="007E4824">
      <w:pPr>
        <w:pStyle w:val="Bullet1"/>
        <w:spacing w:before="0" w:after="0"/>
        <w:contextualSpacing/>
        <w:rPr>
          <w:rStyle w:val="Hyperlink"/>
        </w:rPr>
      </w:pPr>
      <w:hyperlink r:id="rId28" w:history="1">
        <w:r w:rsidR="00D50A04" w:rsidRPr="00D85A36">
          <w:rPr>
            <w:rStyle w:val="Hyperlink"/>
          </w:rPr>
          <w:t>Northern Territory Dental Health websites</w:t>
        </w:r>
      </w:hyperlink>
    </w:p>
    <w:p w14:paraId="61DD0F15" w14:textId="77777777" w:rsidR="007E4824" w:rsidRPr="00D85A36" w:rsidRDefault="00515921" w:rsidP="007E4824">
      <w:pPr>
        <w:pStyle w:val="Bullet1"/>
        <w:spacing w:before="0" w:after="0"/>
        <w:contextualSpacing/>
        <w:rPr>
          <w:rStyle w:val="Hyperlink"/>
        </w:rPr>
      </w:pPr>
      <w:hyperlink r:id="rId29" w:history="1">
        <w:r w:rsidR="00D50A04" w:rsidRPr="00D85A36">
          <w:rPr>
            <w:rStyle w:val="Hyperlink"/>
          </w:rPr>
          <w:t>Western Australia Dental Health websites</w:t>
        </w:r>
      </w:hyperlink>
    </w:p>
    <w:p w14:paraId="78987A8F" w14:textId="77777777" w:rsidR="007E4824" w:rsidRPr="00D85A36" w:rsidRDefault="00515921" w:rsidP="007E4824">
      <w:pPr>
        <w:pStyle w:val="Bullet1"/>
        <w:spacing w:before="0" w:after="0"/>
        <w:contextualSpacing/>
        <w:rPr>
          <w:rStyle w:val="Hyperlink"/>
        </w:rPr>
      </w:pPr>
      <w:hyperlink r:id="rId30" w:history="1">
        <w:r w:rsidR="00D50A04" w:rsidRPr="00D85A36">
          <w:rPr>
            <w:rStyle w:val="Hyperlink"/>
          </w:rPr>
          <w:t>South Australia Dental Health websites</w:t>
        </w:r>
      </w:hyperlink>
    </w:p>
    <w:p w14:paraId="0CA2A94D" w14:textId="77777777" w:rsidR="007E4824" w:rsidRPr="00D85A36" w:rsidRDefault="00515921" w:rsidP="007E4824">
      <w:pPr>
        <w:pStyle w:val="Bullet1"/>
        <w:spacing w:before="0" w:after="0"/>
        <w:contextualSpacing/>
        <w:rPr>
          <w:rStyle w:val="Hyperlink"/>
        </w:rPr>
      </w:pPr>
      <w:hyperlink r:id="rId31" w:history="1">
        <w:r w:rsidR="00D50A04" w:rsidRPr="00D85A36">
          <w:rPr>
            <w:rStyle w:val="Hyperlink"/>
          </w:rPr>
          <w:t>Tasmania Dental Health websites</w:t>
        </w:r>
      </w:hyperlink>
    </w:p>
    <w:p w14:paraId="5745B16F" w14:textId="77777777" w:rsidR="007E4824" w:rsidRPr="00D85A36" w:rsidRDefault="00515921" w:rsidP="007E4824">
      <w:pPr>
        <w:pStyle w:val="Bullet1"/>
        <w:spacing w:before="0" w:after="0"/>
        <w:contextualSpacing/>
        <w:rPr>
          <w:rStyle w:val="Hyperlink"/>
        </w:rPr>
      </w:pPr>
      <w:hyperlink r:id="rId32" w:history="1">
        <w:r w:rsidR="00D50A04" w:rsidRPr="00D85A36">
          <w:rPr>
            <w:rStyle w:val="Hyperlink"/>
          </w:rPr>
          <w:t>Victoria Dental Health websites</w:t>
        </w:r>
      </w:hyperlink>
    </w:p>
    <w:p w14:paraId="27B4CD96" w14:textId="77777777" w:rsidR="00D50A04" w:rsidRPr="00D85A36" w:rsidRDefault="00515921" w:rsidP="007E4824">
      <w:pPr>
        <w:pStyle w:val="Bullet1"/>
        <w:spacing w:before="0" w:after="0"/>
        <w:contextualSpacing/>
        <w:rPr>
          <w:rStyle w:val="Hyperlink"/>
        </w:rPr>
      </w:pPr>
      <w:hyperlink r:id="rId33" w:history="1">
        <w:r w:rsidR="00D50A04" w:rsidRPr="00D85A36">
          <w:rPr>
            <w:rStyle w:val="Hyperlink"/>
          </w:rPr>
          <w:t>ACT Public Dental Health websites</w:t>
        </w:r>
      </w:hyperlink>
    </w:p>
    <w:p w14:paraId="5E3FBA4C" w14:textId="77777777" w:rsidR="00D50A04" w:rsidRPr="00054374" w:rsidRDefault="00D50A04" w:rsidP="00054374">
      <w:pPr>
        <w:pStyle w:val="Heading1"/>
      </w:pPr>
      <w:r w:rsidRPr="00054374">
        <w:t>References</w:t>
      </w:r>
    </w:p>
    <w:sdt>
      <w:sdtPr>
        <w:rPr>
          <w:rFonts w:asciiTheme="minorHAnsi" w:hAnsiTheme="minorHAnsi" w:cstheme="minorBidi"/>
        </w:rPr>
        <w:id w:val="2022509553"/>
        <w:bibliography/>
      </w:sdtPr>
      <w:sdtEndPr>
        <w:rPr>
          <w:rFonts w:ascii="Calibri" w:hAnsi="Calibri" w:cs="Calibri"/>
        </w:rPr>
      </w:sdtEndPr>
      <w:sdtContent>
        <w:p w14:paraId="4F62695C" w14:textId="01FAD0DF" w:rsidR="00BE6F63" w:rsidRDefault="00BE6F63" w:rsidP="00CD0CAB">
          <w:pPr>
            <w:rPr>
              <w:rFonts w:asciiTheme="minorHAnsi" w:hAnsiTheme="minorHAnsi" w:cstheme="minorBidi"/>
            </w:rPr>
          </w:pPr>
          <w:r w:rsidRPr="00BE6F63">
            <w:rPr>
              <w:rFonts w:asciiTheme="minorHAnsi" w:hAnsiTheme="minorHAnsi" w:cstheme="minorBidi"/>
            </w:rPr>
            <w:t>Australian Institute of Health and Welfare (2022)</w:t>
          </w:r>
          <w:r>
            <w:rPr>
              <w:rFonts w:asciiTheme="minorHAnsi" w:hAnsiTheme="minorHAnsi" w:cstheme="minorBidi"/>
            </w:rPr>
            <w:t>,</w:t>
          </w:r>
          <w:r w:rsidRPr="00BE6F63">
            <w:rPr>
              <w:rFonts w:asciiTheme="minorHAnsi" w:hAnsiTheme="minorHAnsi" w:cstheme="minorBidi"/>
            </w:rPr>
            <w:t xml:space="preserve"> </w:t>
          </w:r>
          <w:r>
            <w:rPr>
              <w:rFonts w:asciiTheme="minorHAnsi" w:hAnsiTheme="minorHAnsi" w:cstheme="minorBidi"/>
            </w:rPr>
            <w:t>‘</w:t>
          </w:r>
          <w:hyperlink r:id="rId34" w:history="1">
            <w:r w:rsidRPr="00BE6F63">
              <w:rPr>
                <w:rStyle w:val="Hyperlink"/>
                <w:rFonts w:asciiTheme="minorHAnsi" w:hAnsiTheme="minorHAnsi" w:cstheme="minorBidi"/>
              </w:rPr>
              <w:t>Oral health and dental care in Australia</w:t>
            </w:r>
          </w:hyperlink>
          <w:r>
            <w:rPr>
              <w:rFonts w:asciiTheme="minorHAnsi" w:hAnsiTheme="minorHAnsi" w:cstheme="minorBidi"/>
            </w:rPr>
            <w:t>’</w:t>
          </w:r>
          <w:r w:rsidRPr="00BE6F63">
            <w:rPr>
              <w:rFonts w:asciiTheme="minorHAnsi" w:hAnsiTheme="minorHAnsi" w:cstheme="minorBidi"/>
            </w:rPr>
            <w:t xml:space="preserve">, </w:t>
          </w:r>
          <w:r w:rsidR="00354854" w:rsidRPr="00BE6F63">
            <w:rPr>
              <w:rFonts w:asciiTheme="minorHAnsi" w:hAnsiTheme="minorHAnsi" w:cstheme="minorBidi"/>
            </w:rPr>
            <w:t>Australian Institute of Health and Welfare</w:t>
          </w:r>
          <w:r w:rsidRPr="00BE6F63">
            <w:rPr>
              <w:rFonts w:asciiTheme="minorHAnsi" w:hAnsiTheme="minorHAnsi" w:cstheme="minorBidi"/>
            </w:rPr>
            <w:t>, Australian Govern</w:t>
          </w:r>
          <w:r>
            <w:rPr>
              <w:rFonts w:asciiTheme="minorHAnsi" w:hAnsiTheme="minorHAnsi" w:cstheme="minorBidi"/>
            </w:rPr>
            <w:t>ment, accessed 23 January 2023.</w:t>
          </w:r>
        </w:p>
        <w:p w14:paraId="3B70CCAB" w14:textId="5F3A4E71" w:rsidR="003F7263" w:rsidRDefault="000C4D6E" w:rsidP="00CD0CAB">
          <w:r>
            <w:t>Binkley</w:t>
          </w:r>
          <w:r w:rsidR="00CD0CAB" w:rsidRPr="00CD0CAB">
            <w:t xml:space="preserve"> C</w:t>
          </w:r>
          <w:r>
            <w:t>J, Knowlton WJ, Abadi M, Thompson K, Shamblen SR, Young L and Zaksek B (</w:t>
          </w:r>
          <w:r w:rsidR="00CD0CAB" w:rsidRPr="00CD0CAB">
            <w:t>2014</w:t>
          </w:r>
          <w:r w:rsidR="009E7BC1">
            <w:t>) ‘</w:t>
          </w:r>
          <w:r w:rsidR="00CD0CAB" w:rsidRPr="00CD0CAB">
            <w:t xml:space="preserve">Improving the oral health of residents with intellectual and developmental disabilities: An oral </w:t>
          </w:r>
          <w:r w:rsidR="009E7BC1">
            <w:t>health strategy and pilot study’,</w:t>
          </w:r>
          <w:r w:rsidR="00CD0CAB" w:rsidRPr="00CD0CAB">
            <w:t xml:space="preserve"> </w:t>
          </w:r>
          <w:r w:rsidR="00CD0CAB" w:rsidRPr="009E7BC1">
            <w:rPr>
              <w:i/>
            </w:rPr>
            <w:t>Evaluation and Program Planning</w:t>
          </w:r>
          <w:r w:rsidR="00CD0CAB" w:rsidRPr="00CD0CAB">
            <w:t xml:space="preserve">, </w:t>
          </w:r>
          <w:r w:rsidR="00BD5D69">
            <w:t>4:</w:t>
          </w:r>
          <w:r w:rsidR="00597AFF">
            <w:t>54-63, doi:</w:t>
          </w:r>
          <w:hyperlink r:id="rId35" w:history="1">
            <w:r w:rsidR="003F7263" w:rsidRPr="00AC08DE">
              <w:rPr>
                <w:rStyle w:val="Hyperlink"/>
              </w:rPr>
              <w:t>https://doi.org/10.1016/j.evalprogplan.2014.07.003</w:t>
            </w:r>
          </w:hyperlink>
          <w:r w:rsidR="003F7263">
            <w:t>.</w:t>
          </w:r>
        </w:p>
        <w:p w14:paraId="23D0B1E1" w14:textId="062E61AD" w:rsidR="00E84F86" w:rsidRPr="00CD0CAB" w:rsidRDefault="00E84F86" w:rsidP="00CD0CAB">
          <w:r>
            <w:t xml:space="preserve">Brocklehurst P (2019) </w:t>
          </w:r>
          <w:hyperlink r:id="rId36" w:history="1">
            <w:r w:rsidRPr="00E84F86">
              <w:rPr>
                <w:rStyle w:val="Hyperlink"/>
                <w:i/>
              </w:rPr>
              <w:t>‘Core Concepts: whole mouth health, oral health literacy, and behaviour change’</w:t>
            </w:r>
          </w:hyperlink>
          <w:r w:rsidRPr="00E84F86">
            <w:rPr>
              <w:i/>
            </w:rPr>
            <w:t xml:space="preserve"> </w:t>
          </w:r>
          <w:r>
            <w:t>[PDF</w:t>
          </w:r>
          <w:r w:rsidR="002E608E">
            <w:t xml:space="preserve"> 1,896KB</w:t>
          </w:r>
          <w:r>
            <w:t>] FDI World Dental Federation, accessed 24 June 2022.</w:t>
          </w:r>
        </w:p>
        <w:p w14:paraId="4D1FC34B" w14:textId="78EC8270" w:rsidR="00CD0CAB" w:rsidRPr="00CD0CAB" w:rsidRDefault="00BD5D69" w:rsidP="00CD0CAB">
          <w:r>
            <w:lastRenderedPageBreak/>
            <w:t>Chadwick D and Chapman MD (2018)</w:t>
          </w:r>
          <w:r w:rsidR="00CD0CAB" w:rsidRPr="00CD0CAB">
            <w:t xml:space="preserve"> </w:t>
          </w:r>
          <w:r>
            <w:t>‘</w:t>
          </w:r>
          <w:r w:rsidR="00CD0CAB" w:rsidRPr="00CD0CAB">
            <w:t>Factors affecting access to daily oral and dental care among adults with intellectual disabilities</w:t>
          </w:r>
          <w:r>
            <w:t>’,</w:t>
          </w:r>
          <w:r w:rsidR="00CD0CAB" w:rsidRPr="00CD0CAB">
            <w:t xml:space="preserve"> </w:t>
          </w:r>
          <w:r w:rsidR="00CD0CAB" w:rsidRPr="00BD5D69">
            <w:rPr>
              <w:i/>
            </w:rPr>
            <w:t>Journal of Applied Research in Intellectual Disabilities</w:t>
          </w:r>
          <w:r w:rsidR="00CD0CAB" w:rsidRPr="00CD0CAB">
            <w:t xml:space="preserve">, </w:t>
          </w:r>
          <w:r w:rsidR="003F7263">
            <w:t>31(3):379-394, doi:</w:t>
          </w:r>
          <w:hyperlink r:id="rId37" w:history="1">
            <w:r w:rsidR="003F7263" w:rsidRPr="003F7263">
              <w:rPr>
                <w:rStyle w:val="Hyperlink"/>
              </w:rPr>
              <w:t>https://doi.org/10.1111/jar.12415</w:t>
            </w:r>
          </w:hyperlink>
          <w:r w:rsidR="003F7263">
            <w:t>.</w:t>
          </w:r>
        </w:p>
        <w:p w14:paraId="5693E1DF" w14:textId="0DCF4BFD" w:rsidR="00CD0CAB" w:rsidRDefault="00BD5D69" w:rsidP="00CD0CAB">
          <w:r>
            <w:t>Couto</w:t>
          </w:r>
          <w:r w:rsidR="00CD0CAB" w:rsidRPr="00CD0CAB">
            <w:t xml:space="preserve"> P</w:t>
          </w:r>
          <w:r>
            <w:t>, Pereira PA, Nunes M and Mendes RA (2018)</w:t>
          </w:r>
          <w:r w:rsidR="00CD0CAB" w:rsidRPr="00CD0CAB">
            <w:t xml:space="preserve"> </w:t>
          </w:r>
          <w:r>
            <w:t>‘</w:t>
          </w:r>
          <w:r w:rsidR="00CD0CAB" w:rsidRPr="00CD0CAB">
            <w:t>Oral health-related quality of life of Portuguese adults with</w:t>
          </w:r>
          <w:r>
            <w:t xml:space="preserve"> mild intellectual disabilities’, </w:t>
          </w:r>
          <w:r>
            <w:rPr>
              <w:i/>
            </w:rPr>
            <w:t xml:space="preserve">PLOS ONE, </w:t>
          </w:r>
          <w:r w:rsidR="003F7263">
            <w:t>13(3):30193953, doi:</w:t>
          </w:r>
          <w:hyperlink r:id="rId38" w:history="1">
            <w:r w:rsidR="003F7263" w:rsidRPr="00AC08DE">
              <w:rPr>
                <w:rStyle w:val="Hyperlink"/>
              </w:rPr>
              <w:t>https://doi.org/10.1371/journal.pone.0193953</w:t>
            </w:r>
          </w:hyperlink>
          <w:r w:rsidR="003F7263">
            <w:t>.</w:t>
          </w:r>
        </w:p>
        <w:p w14:paraId="5E98729A" w14:textId="7F8989C7" w:rsidR="00E84F86" w:rsidRDefault="00E84F86" w:rsidP="00CD0CAB">
          <w:r>
            <w:t xml:space="preserve">Dartevelle, S (2019) </w:t>
          </w:r>
          <w:hyperlink r:id="rId39" w:history="1">
            <w:r w:rsidRPr="00E84F86">
              <w:rPr>
                <w:rStyle w:val="Hyperlink"/>
                <w:i/>
              </w:rPr>
              <w:t>‘Project statement of scope and purpose: Whole mouth health statement’</w:t>
            </w:r>
          </w:hyperlink>
          <w:r w:rsidRPr="00E84F86">
            <w:rPr>
              <w:i/>
            </w:rPr>
            <w:t xml:space="preserve"> </w:t>
          </w:r>
          <w:r>
            <w:t>[PDF], FDI World</w:t>
          </w:r>
          <w:r w:rsidR="003F7263">
            <w:t xml:space="preserve"> Dental Federation, accessed 24 June </w:t>
          </w:r>
          <w:r>
            <w:t>2022.</w:t>
          </w:r>
        </w:p>
        <w:p w14:paraId="6F42D356" w14:textId="069982E3" w:rsidR="00EA2768" w:rsidRDefault="00EA2768" w:rsidP="00CD0CAB">
          <w:r>
            <w:t>Dental Board of Australia (2021)</w:t>
          </w:r>
          <w:r w:rsidRPr="00EA2768">
            <w:rPr>
              <w:i/>
            </w:rPr>
            <w:t xml:space="preserve"> ‘</w:t>
          </w:r>
          <w:hyperlink r:id="rId40" w:history="1">
            <w:r w:rsidRPr="00EA2768">
              <w:rPr>
                <w:rStyle w:val="Hyperlink"/>
                <w:i/>
              </w:rPr>
              <w:t>Dental Board of Australia - Registration</w:t>
            </w:r>
          </w:hyperlink>
          <w:r w:rsidRPr="00EA2768">
            <w:rPr>
              <w:i/>
            </w:rPr>
            <w:t xml:space="preserve">’ </w:t>
          </w:r>
          <w:r>
            <w:t xml:space="preserve">website, </w:t>
          </w:r>
          <w:r w:rsidRPr="00EA2768">
            <w:t>Australian Health Practitioner Regulation Agency</w:t>
          </w:r>
          <w:r>
            <w:t>, accessed 23 January 2023.</w:t>
          </w:r>
        </w:p>
        <w:p w14:paraId="4A3F02CD" w14:textId="558FB5AE" w:rsidR="00EB171D" w:rsidRDefault="00EB171D" w:rsidP="00CD0CAB">
          <w:r>
            <w:t>Dental Board of Australia (2021)</w:t>
          </w:r>
          <w:r w:rsidRPr="00EA2768">
            <w:rPr>
              <w:i/>
            </w:rPr>
            <w:t xml:space="preserve"> ‘</w:t>
          </w:r>
          <w:hyperlink r:id="rId41" w:history="1">
            <w:r w:rsidR="00C413EC" w:rsidRPr="00C413EC">
              <w:rPr>
                <w:rStyle w:val="Hyperlink"/>
                <w:i/>
              </w:rPr>
              <w:t>Dental list of recognised specialties, related specialist titles and definitions</w:t>
            </w:r>
          </w:hyperlink>
          <w:r w:rsidRPr="00EA2768">
            <w:rPr>
              <w:i/>
            </w:rPr>
            <w:t xml:space="preserve">’ </w:t>
          </w:r>
          <w:r w:rsidR="00C413EC">
            <w:t>[PDF</w:t>
          </w:r>
          <w:r w:rsidR="00866310">
            <w:t xml:space="preserve"> 54KB</w:t>
          </w:r>
          <w:r w:rsidR="00C413EC">
            <w:t>]</w:t>
          </w:r>
          <w:r>
            <w:t xml:space="preserve">, </w:t>
          </w:r>
          <w:r w:rsidRPr="00EA2768">
            <w:t>Australian Health Practitioner Regulation Agency</w:t>
          </w:r>
          <w:r>
            <w:t>, accessed 23 January 2023.</w:t>
          </w:r>
        </w:p>
        <w:p w14:paraId="61F75D32" w14:textId="7191EFA7" w:rsidR="00E4056A" w:rsidRDefault="00E4056A" w:rsidP="00CD0CAB">
          <w:r>
            <w:t xml:space="preserve">Desai M, Brearley Messer L, Calache, H (2001) ‘A study of the dental treatment needs of children with disabilities in Melbourne, Australia’, </w:t>
          </w:r>
          <w:r w:rsidRPr="00011730">
            <w:rPr>
              <w:i/>
            </w:rPr>
            <w:t>Aust</w:t>
          </w:r>
          <w:r w:rsidR="003F7263">
            <w:rPr>
              <w:i/>
            </w:rPr>
            <w:t>ralian</w:t>
          </w:r>
          <w:r w:rsidRPr="00011730">
            <w:rPr>
              <w:i/>
            </w:rPr>
            <w:t xml:space="preserve"> Dent</w:t>
          </w:r>
          <w:r w:rsidR="003F7263">
            <w:rPr>
              <w:i/>
            </w:rPr>
            <w:t>al</w:t>
          </w:r>
          <w:r w:rsidRPr="00011730">
            <w:rPr>
              <w:i/>
            </w:rPr>
            <w:t xml:space="preserve"> J</w:t>
          </w:r>
          <w:r w:rsidR="003F7263">
            <w:rPr>
              <w:i/>
            </w:rPr>
            <w:t>ournal</w:t>
          </w:r>
          <w:r>
            <w:t>,</w:t>
          </w:r>
          <w:r w:rsidR="003F7263">
            <w:t xml:space="preserve"> 46(1):41-50, doi:</w:t>
          </w:r>
          <w:r w:rsidR="003F7263" w:rsidRPr="003F7263">
            <w:t>10</w:t>
          </w:r>
          <w:r w:rsidR="00581877">
            <w:t>.1111/j.1834-7819.2001.tb00273.</w:t>
          </w:r>
        </w:p>
        <w:p w14:paraId="4186559A" w14:textId="196D8BCE" w:rsidR="009C7330" w:rsidRDefault="009C7330" w:rsidP="00CD0CAB">
          <w:r>
            <w:t>Despott N, Punshon K, Zylan R, Calache H, Mekertichian K, Watson J, Bloomfield C, Pradhan A (2019)</w:t>
          </w:r>
          <w:r w:rsidRPr="009C7330">
            <w:t xml:space="preserve"> </w:t>
          </w:r>
          <w:hyperlink r:id="rId42" w:history="1">
            <w:r w:rsidRPr="009C7330">
              <w:rPr>
                <w:rStyle w:val="Hyperlink"/>
                <w:i/>
              </w:rPr>
              <w:t>‘Submission to Royal Commission into Violence, Abuse, Neglect and Exploitation of People with Disability’</w:t>
            </w:r>
          </w:hyperlink>
          <w:r w:rsidR="00E81B57">
            <w:t xml:space="preserve"> website,</w:t>
          </w:r>
          <w:r>
            <w:t xml:space="preserve"> Disability Royal Commission, accessed 24 June 2022.</w:t>
          </w:r>
        </w:p>
        <w:p w14:paraId="3B32594D" w14:textId="0AE6C447" w:rsidR="00581877" w:rsidRDefault="00E4056A" w:rsidP="00581877">
          <w:r>
            <w:t>Diéguez-Pérez M, de Nova-García MJ, Mourelle-Martínez MR, Bartolomé-Villar B (2016) ‘Oral health in children with physical (Cerebral palsy) and intellectual (Down Syndrome) dis</w:t>
          </w:r>
          <w:r w:rsidR="00581877">
            <w:t xml:space="preserve">abilities: Systematic review’, </w:t>
          </w:r>
          <w:r w:rsidRPr="00011730">
            <w:rPr>
              <w:i/>
            </w:rPr>
            <w:t>J</w:t>
          </w:r>
          <w:r w:rsidR="00581877">
            <w:rPr>
              <w:i/>
            </w:rPr>
            <w:t>ournal of</w:t>
          </w:r>
          <w:r w:rsidRPr="00011730">
            <w:rPr>
              <w:i/>
            </w:rPr>
            <w:t xml:space="preserve"> Clin</w:t>
          </w:r>
          <w:r w:rsidR="00581877">
            <w:rPr>
              <w:i/>
            </w:rPr>
            <w:t>ical and</w:t>
          </w:r>
          <w:r w:rsidRPr="00011730">
            <w:rPr>
              <w:i/>
            </w:rPr>
            <w:t xml:space="preserve"> Exp</w:t>
          </w:r>
          <w:r w:rsidR="00581877">
            <w:rPr>
              <w:i/>
            </w:rPr>
            <w:t>erimental</w:t>
          </w:r>
          <w:r w:rsidRPr="00011730">
            <w:rPr>
              <w:i/>
            </w:rPr>
            <w:t xml:space="preserve"> Dent</w:t>
          </w:r>
          <w:r w:rsidR="00292487">
            <w:rPr>
              <w:i/>
            </w:rPr>
            <w:t>istry</w:t>
          </w:r>
          <w:r>
            <w:t>,</w:t>
          </w:r>
          <w:r w:rsidR="00581877">
            <w:t xml:space="preserve"> 1(3):e337-43, doi:10.4317/jced.52922</w:t>
          </w:r>
          <w:r w:rsidR="00292487">
            <w:t>.</w:t>
          </w:r>
        </w:p>
        <w:p w14:paraId="439D00FB" w14:textId="11B44508" w:rsidR="00CD0CAB" w:rsidRPr="00CD0CAB" w:rsidRDefault="009C7330" w:rsidP="00CD0CAB">
          <w:r>
            <w:t>Faculty of Dental Surgery (2012)</w:t>
          </w:r>
          <w:r w:rsidR="00E81B57">
            <w:t xml:space="preserve"> ‘</w:t>
          </w:r>
          <w:hyperlink r:id="rId43" w:history="1">
            <w:r w:rsidR="00E81B57" w:rsidRPr="00E81B57">
              <w:rPr>
                <w:rStyle w:val="Hyperlink"/>
                <w:i/>
              </w:rPr>
              <w:t>Clinical guidelines and integrated care pathways for people with learning d</w:t>
            </w:r>
            <w:r w:rsidR="00CD0CAB" w:rsidRPr="00E81B57">
              <w:rPr>
                <w:rStyle w:val="Hyperlink"/>
                <w:i/>
              </w:rPr>
              <w:t>isabilities</w:t>
            </w:r>
          </w:hyperlink>
          <w:r w:rsidR="00866310">
            <w:t>’</w:t>
          </w:r>
          <w:r w:rsidR="00E81B57">
            <w:t>,</w:t>
          </w:r>
          <w:r w:rsidR="00CD0CAB" w:rsidRPr="00CD0CAB">
            <w:t xml:space="preserve"> Royal College of Surgeons</w:t>
          </w:r>
          <w:r w:rsidR="00E81B57">
            <w:t xml:space="preserve"> of</w:t>
          </w:r>
          <w:r w:rsidR="00CD0CAB" w:rsidRPr="00CD0CAB">
            <w:t xml:space="preserve"> England</w:t>
          </w:r>
          <w:r w:rsidR="00E81B57">
            <w:t>, accessed 24 June 2022.</w:t>
          </w:r>
          <w:r w:rsidR="00CD0CAB" w:rsidRPr="00CD0CAB">
            <w:t xml:space="preserve"> </w:t>
          </w:r>
        </w:p>
        <w:p w14:paraId="6B5FCBCC" w14:textId="6E84DC41" w:rsidR="00CD0CAB" w:rsidRPr="00CD0CAB" w:rsidRDefault="00E84F86" w:rsidP="00CD0CAB">
          <w:r>
            <w:t>Gallagher J Scambler S (2012)</w:t>
          </w:r>
          <w:r w:rsidR="00CD0CAB" w:rsidRPr="00CD0CAB">
            <w:t xml:space="preserve"> </w:t>
          </w:r>
          <w:r>
            <w:t xml:space="preserve">‘Disability and Oral Health’ </w:t>
          </w:r>
          <w:r w:rsidR="00CD0CAB" w:rsidRPr="00CB74B6">
            <w:rPr>
              <w:i/>
            </w:rPr>
            <w:t>Learning Disabilities</w:t>
          </w:r>
          <w:r w:rsidR="00CB74B6">
            <w:t>, doi: 10.5772/34299</w:t>
          </w:r>
          <w:r w:rsidR="00597AFF">
            <w:t>.</w:t>
          </w:r>
        </w:p>
        <w:p w14:paraId="551A52CF" w14:textId="4E5E169A" w:rsidR="00CD0CAB" w:rsidRDefault="00CB74B6" w:rsidP="00CD0CAB">
          <w:r>
            <w:t>Havercamp SM, Haleigh M and Scott MA (2015)</w:t>
          </w:r>
          <w:r w:rsidR="00CD0CAB" w:rsidRPr="00CD0CAB">
            <w:t xml:space="preserve"> </w:t>
          </w:r>
          <w:r w:rsidRPr="0033559E">
            <w:t>‘</w:t>
          </w:r>
          <w:r w:rsidR="00CD0CAB" w:rsidRPr="0033559E">
            <w:t>National health surveillance of adults with disabilities, adults with intellectual and developmental disabilities, and adults with no disabilities</w:t>
          </w:r>
          <w:r w:rsidRPr="0033559E">
            <w:t>’</w:t>
          </w:r>
          <w:r>
            <w:t xml:space="preserve">, </w:t>
          </w:r>
          <w:r w:rsidR="00CD0CAB" w:rsidRPr="00CD0CAB">
            <w:t xml:space="preserve"> </w:t>
          </w:r>
          <w:r w:rsidR="00CD0CAB" w:rsidRPr="00CB74B6">
            <w:rPr>
              <w:i/>
            </w:rPr>
            <w:t>Disability and Health Journal</w:t>
          </w:r>
          <w:r w:rsidR="00292487">
            <w:t>, 165-172, doi:</w:t>
          </w:r>
          <w:r w:rsidR="00292487" w:rsidRPr="00292487">
            <w:t>10.1016/j.dhjo.2014.11.002.</w:t>
          </w:r>
        </w:p>
        <w:p w14:paraId="4C469639" w14:textId="083BC2A2" w:rsidR="00292487" w:rsidRPr="00CD0CAB" w:rsidRDefault="00E4056A" w:rsidP="00CD0CAB">
          <w:r>
            <w:t>Kupzyk S and Allen KD (2019) ‘A review of strategies to increase comfort and compliance with medical/dental routines in persons with intellectual and developmental disabilities’</w:t>
          </w:r>
          <w:r w:rsidR="00011730">
            <w:t xml:space="preserve">, </w:t>
          </w:r>
          <w:r>
            <w:t xml:space="preserve"> </w:t>
          </w:r>
          <w:r w:rsidR="00011730" w:rsidRPr="00011730">
            <w:rPr>
              <w:i/>
              <w:iCs/>
            </w:rPr>
            <w:t>Journal of Developmental and Physical Disabilities, 31</w:t>
          </w:r>
          <w:r w:rsidR="00011730">
            <w:t>(2):</w:t>
          </w:r>
          <w:r w:rsidR="00011730" w:rsidRPr="00011730">
            <w:t>231–249</w:t>
          </w:r>
          <w:r w:rsidR="00292487">
            <w:t>, doi:</w:t>
          </w:r>
          <w:hyperlink r:id="rId44" w:history="1">
            <w:r w:rsidR="00292487" w:rsidRPr="00AC08DE">
              <w:rPr>
                <w:rStyle w:val="Hyperlink"/>
              </w:rPr>
              <w:t>https://doi.org/10.1007/s10882-018-09656-y</w:t>
            </w:r>
          </w:hyperlink>
          <w:r w:rsidR="00292487">
            <w:t>.</w:t>
          </w:r>
        </w:p>
        <w:p w14:paraId="6D5716AB" w14:textId="597337D7" w:rsidR="00292487" w:rsidRDefault="00CD0CAB" w:rsidP="00CD0CAB">
          <w:r w:rsidRPr="00CD0CAB">
            <w:t>Lim</w:t>
          </w:r>
          <w:r w:rsidR="00CB74B6">
            <w:t xml:space="preserve"> MA and Borromeo G (2020)</w:t>
          </w:r>
          <w:r w:rsidRPr="00CD0CAB">
            <w:t xml:space="preserve"> </w:t>
          </w:r>
          <w:r w:rsidR="00CB74B6" w:rsidRPr="00CB74B6">
            <w:t>‘</w:t>
          </w:r>
          <w:r w:rsidRPr="00CB74B6">
            <w:t>Utilisation of dental services for people with special health care ne</w:t>
          </w:r>
          <w:r w:rsidR="00CB74B6" w:rsidRPr="00CB74B6">
            <w:t>eds in Australia’</w:t>
          </w:r>
          <w:r w:rsidR="00CB74B6">
            <w:t xml:space="preserve">, </w:t>
          </w:r>
          <w:r w:rsidR="00CB74B6" w:rsidRPr="00695169">
            <w:rPr>
              <w:i/>
              <w:spacing w:val="-2"/>
            </w:rPr>
            <w:t>B</w:t>
          </w:r>
          <w:r w:rsidR="00292487" w:rsidRPr="00695169">
            <w:rPr>
              <w:i/>
              <w:spacing w:val="-2"/>
            </w:rPr>
            <w:t>io</w:t>
          </w:r>
          <w:r w:rsidR="00CB74B6" w:rsidRPr="00695169">
            <w:rPr>
              <w:i/>
              <w:spacing w:val="-2"/>
            </w:rPr>
            <w:t>M</w:t>
          </w:r>
          <w:r w:rsidR="00292487" w:rsidRPr="00695169">
            <w:rPr>
              <w:i/>
              <w:spacing w:val="-2"/>
            </w:rPr>
            <w:t>ed</w:t>
          </w:r>
          <w:r w:rsidR="00CB74B6" w:rsidRPr="00695169">
            <w:rPr>
              <w:i/>
              <w:spacing w:val="-2"/>
            </w:rPr>
            <w:t>C</w:t>
          </w:r>
          <w:r w:rsidR="00292487" w:rsidRPr="00695169">
            <w:rPr>
              <w:i/>
              <w:spacing w:val="-2"/>
            </w:rPr>
            <w:t>entral</w:t>
          </w:r>
          <w:r w:rsidR="00CB74B6" w:rsidRPr="00695169">
            <w:rPr>
              <w:i/>
              <w:spacing w:val="-2"/>
            </w:rPr>
            <w:t xml:space="preserve"> Oral Health</w:t>
          </w:r>
          <w:r w:rsidR="00292487">
            <w:t>, 20, doi:</w:t>
          </w:r>
          <w:hyperlink r:id="rId45" w:history="1">
            <w:r w:rsidR="00292487" w:rsidRPr="00AC08DE">
              <w:rPr>
                <w:rStyle w:val="Hyperlink"/>
              </w:rPr>
              <w:t>https://doi.org/10.1186/s12903-020-01354-6</w:t>
            </w:r>
          </w:hyperlink>
          <w:r w:rsidR="00292487">
            <w:t>.</w:t>
          </w:r>
        </w:p>
        <w:p w14:paraId="567DFAC6" w14:textId="5FD74358" w:rsidR="00E4056A" w:rsidRDefault="00E4056A" w:rsidP="00CD0CAB">
          <w:r>
            <w:t>Potter CN, Wetzel JL and Learman KE (2019)</w:t>
          </w:r>
          <w:r w:rsidRPr="00CD0CAB">
            <w:t xml:space="preserve"> </w:t>
          </w:r>
          <w:r>
            <w:t>‘</w:t>
          </w:r>
          <w:r w:rsidRPr="00CD0CAB">
            <w:t>Effect of sensory adaptions for routine dental care in individuals with intellectual and developmental disabilities: A preliminary study</w:t>
          </w:r>
          <w:r>
            <w:t xml:space="preserve">’, </w:t>
          </w:r>
          <w:r w:rsidRPr="00121E49">
            <w:rPr>
              <w:i/>
            </w:rPr>
            <w:t xml:space="preserve">Journal of Intellectual and Developmental Disabilities, </w:t>
          </w:r>
          <w:r w:rsidR="00292487">
            <w:t xml:space="preserve">44(3):305-314, </w:t>
          </w:r>
          <w:r w:rsidR="006228EC">
            <w:t>doi:</w:t>
          </w:r>
          <w:hyperlink r:id="rId46" w:history="1">
            <w:r w:rsidR="00292487" w:rsidRPr="00AC08DE">
              <w:rPr>
                <w:rStyle w:val="Hyperlink"/>
              </w:rPr>
              <w:t>https://doi.org/10.3109/13668</w:t>
            </w:r>
          </w:hyperlink>
          <w:r w:rsidR="00292487">
            <w:t>.</w:t>
          </w:r>
        </w:p>
        <w:p w14:paraId="6DB99A5E" w14:textId="3A4F779F" w:rsidR="00CD0CAB" w:rsidRPr="00CD0CAB" w:rsidRDefault="00CB74B6" w:rsidP="00CD0CAB">
          <w:r>
            <w:t>Pragnell SJ (2008)</w:t>
          </w:r>
          <w:r w:rsidR="00CD0CAB" w:rsidRPr="00CD0CAB">
            <w:t xml:space="preserve"> </w:t>
          </w:r>
          <w:r>
            <w:t>‘</w:t>
          </w:r>
          <w:r w:rsidR="00CD0CAB" w:rsidRPr="00CD0CAB">
            <w:t>A cognitive behavioural intervention for dental anxiety for people with lear</w:t>
          </w:r>
          <w:r>
            <w:t>ning disabilities: A case study’</w:t>
          </w:r>
          <w:r w:rsidR="0033559E">
            <w:t>,</w:t>
          </w:r>
          <w:r w:rsidR="00CD0CAB" w:rsidRPr="00CD0CAB">
            <w:t xml:space="preserve"> </w:t>
          </w:r>
          <w:r w:rsidR="00CD0CAB" w:rsidRPr="0033559E">
            <w:rPr>
              <w:i/>
            </w:rPr>
            <w:t>British Journal of Learning Disabilities</w:t>
          </w:r>
          <w:r w:rsidR="00CD0CAB" w:rsidRPr="00CD0CAB">
            <w:t>, 242-248</w:t>
          </w:r>
          <w:r w:rsidR="006228EC">
            <w:t>, doi:</w:t>
          </w:r>
          <w:r w:rsidR="006228EC" w:rsidRPr="006228EC">
            <w:t>10.1111/j.1468-3156.2008.00510.x</w:t>
          </w:r>
          <w:r w:rsidR="006228EC">
            <w:t>.</w:t>
          </w:r>
        </w:p>
        <w:p w14:paraId="04640043" w14:textId="185BEAD6" w:rsidR="00CD0CAB" w:rsidRPr="00CD0CAB" w:rsidRDefault="0033559E" w:rsidP="00CD0CAB">
          <w:r>
            <w:t>Moore G, du Toit A, Thompson S, Knight A and Gordon G</w:t>
          </w:r>
          <w:r w:rsidR="00CD0CAB" w:rsidRPr="00CD0CAB">
            <w:t xml:space="preserve"> (2020) </w:t>
          </w:r>
          <w:hyperlink r:id="rId47" w:history="1">
            <w:r w:rsidRPr="0033559E">
              <w:rPr>
                <w:rStyle w:val="Hyperlink"/>
                <w:i/>
              </w:rPr>
              <w:t>‘</w:t>
            </w:r>
            <w:r w:rsidR="00CD0CAB" w:rsidRPr="0033559E">
              <w:rPr>
                <w:rStyle w:val="Hyperlink"/>
                <w:i/>
              </w:rPr>
              <w:t>The effectiveness of oral health interventi</w:t>
            </w:r>
            <w:r w:rsidRPr="0033559E">
              <w:rPr>
                <w:rStyle w:val="Hyperlink"/>
                <w:i/>
              </w:rPr>
              <w:t>ons for people with disability’</w:t>
            </w:r>
          </w:hyperlink>
          <w:r>
            <w:t xml:space="preserve"> [PDF</w:t>
          </w:r>
          <w:r w:rsidR="00866310">
            <w:t xml:space="preserve"> 335KB</w:t>
          </w:r>
          <w:r>
            <w:t xml:space="preserve">], The Sax Institute, accessed 24 June 2022. </w:t>
          </w:r>
        </w:p>
        <w:p w14:paraId="0B6AC46A" w14:textId="2B4EE364" w:rsidR="00CD0CAB" w:rsidRPr="00CD0CAB" w:rsidRDefault="00CD0CAB" w:rsidP="00CD0CAB">
          <w:r w:rsidRPr="00CD0CAB">
            <w:t>Wo</w:t>
          </w:r>
          <w:r w:rsidR="0033559E">
            <w:t>rld Health Organization. (n.d.)</w:t>
          </w:r>
          <w:r w:rsidRPr="00CD0CAB">
            <w:t xml:space="preserve"> </w:t>
          </w:r>
          <w:hyperlink r:id="rId48" w:anchor="tab=tab_1" w:history="1">
            <w:r w:rsidR="0033559E" w:rsidRPr="0033559E">
              <w:rPr>
                <w:rStyle w:val="Hyperlink"/>
                <w:i/>
              </w:rPr>
              <w:t>‘</w:t>
            </w:r>
            <w:r w:rsidRPr="0033559E">
              <w:rPr>
                <w:rStyle w:val="Hyperlink"/>
                <w:i/>
              </w:rPr>
              <w:t>Oral Health</w:t>
            </w:r>
            <w:r w:rsidR="0033559E" w:rsidRPr="0033559E">
              <w:rPr>
                <w:rStyle w:val="Hyperlink"/>
                <w:i/>
              </w:rPr>
              <w:t>’</w:t>
            </w:r>
          </w:hyperlink>
          <w:r w:rsidR="0033559E">
            <w:t>,</w:t>
          </w:r>
          <w:r w:rsidRPr="0033559E">
            <w:rPr>
              <w:i/>
            </w:rPr>
            <w:t xml:space="preserve"> </w:t>
          </w:r>
          <w:r w:rsidRPr="00CD0CAB">
            <w:t>W</w:t>
          </w:r>
          <w:r w:rsidR="0033559E">
            <w:t xml:space="preserve">orld </w:t>
          </w:r>
          <w:r w:rsidRPr="00CD0CAB">
            <w:t>H</w:t>
          </w:r>
          <w:r w:rsidR="0033559E">
            <w:t xml:space="preserve">ealth </w:t>
          </w:r>
          <w:r w:rsidRPr="00CD0CAB">
            <w:t>O</w:t>
          </w:r>
          <w:r w:rsidR="00866310">
            <w:t xml:space="preserve">rganization, accessed 24 June </w:t>
          </w:r>
          <w:r w:rsidR="0033559E">
            <w:t>2022.</w:t>
          </w:r>
        </w:p>
        <w:p w14:paraId="00EF1527" w14:textId="77777777" w:rsidR="00ED51FF" w:rsidRDefault="00ED51FF">
          <w:r>
            <w:br w:type="page"/>
          </w:r>
        </w:p>
        <w:p w14:paraId="0D9FC373" w14:textId="3D22F3C8" w:rsidR="00011730" w:rsidRDefault="00011730" w:rsidP="00011730">
          <w:r>
            <w:lastRenderedPageBreak/>
            <w:t>Waldron</w:t>
          </w:r>
          <w:r w:rsidRPr="00011730">
            <w:t xml:space="preserve"> C, </w:t>
          </w:r>
          <w:r>
            <w:t>MacGiolla Phadraig</w:t>
          </w:r>
          <w:r w:rsidRPr="00011730">
            <w:t xml:space="preserve"> C, </w:t>
          </w:r>
          <w:r>
            <w:t>Nunn</w:t>
          </w:r>
          <w:r w:rsidRPr="00011730">
            <w:t xml:space="preserve"> J</w:t>
          </w:r>
          <w:r>
            <w:t xml:space="preserve"> (2020)</w:t>
          </w:r>
          <w:r w:rsidRPr="00011730">
            <w:t> </w:t>
          </w:r>
          <w:r>
            <w:t>‘</w:t>
          </w:r>
          <w:r w:rsidRPr="00011730">
            <w:t>What is it about carer-led oral hygiene interventions for people with intellectual disabilities that work and why? A realist review</w:t>
          </w:r>
          <w:r>
            <w:t>’,</w:t>
          </w:r>
          <w:r w:rsidRPr="00011730">
            <w:t> </w:t>
          </w:r>
          <w:r w:rsidRPr="00011730">
            <w:rPr>
              <w:i/>
              <w:iCs/>
            </w:rPr>
            <w:t>Community Dent</w:t>
          </w:r>
          <w:r w:rsidR="006228EC">
            <w:rPr>
              <w:i/>
              <w:iCs/>
            </w:rPr>
            <w:t>istry and</w:t>
          </w:r>
          <w:r w:rsidRPr="00011730">
            <w:rPr>
              <w:i/>
              <w:iCs/>
            </w:rPr>
            <w:t xml:space="preserve"> Oral Epidemiol</w:t>
          </w:r>
          <w:r w:rsidR="006228EC">
            <w:rPr>
              <w:i/>
              <w:iCs/>
            </w:rPr>
            <w:t>ogy</w:t>
          </w:r>
          <w:r w:rsidR="006228EC">
            <w:t xml:space="preserve">, </w:t>
          </w:r>
          <w:r w:rsidR="006228EC" w:rsidRPr="00011730">
            <w:t>4</w:t>
          </w:r>
          <w:r w:rsidR="006228EC">
            <w:t>8:522– 532 doi:</w:t>
          </w:r>
          <w:hyperlink r:id="rId49" w:history="1">
            <w:r w:rsidR="006228EC" w:rsidRPr="00AC08DE">
              <w:rPr>
                <w:rStyle w:val="Hyperlink"/>
              </w:rPr>
              <w:t>https://doi.org/10.1111/cdoe.12564</w:t>
            </w:r>
          </w:hyperlink>
          <w:r w:rsidR="006228EC">
            <w:t>.</w:t>
          </w:r>
        </w:p>
        <w:p w14:paraId="07FD491E" w14:textId="4F14CC0D" w:rsidR="00011730" w:rsidRDefault="0033559E" w:rsidP="00011730">
          <w:r>
            <w:t>Wilson N, Lin Z and</w:t>
          </w:r>
          <w:r w:rsidR="00CD0CAB" w:rsidRPr="00CD0CAB">
            <w:t xml:space="preserve"> Vi</w:t>
          </w:r>
          <w:r>
            <w:t>llarosa AE (2019) ‘</w:t>
          </w:r>
          <w:r w:rsidR="00CD0CAB" w:rsidRPr="00CD0CAB">
            <w:t>Countering the poor oral health of people with intellectual and developmental disabili</w:t>
          </w:r>
          <w:r>
            <w:t>ty: a literature review’</w:t>
          </w:r>
          <w:r w:rsidR="00730455">
            <w:t xml:space="preserve">, </w:t>
          </w:r>
          <w:r w:rsidR="00730455" w:rsidRPr="00730455">
            <w:rPr>
              <w:i/>
            </w:rPr>
            <w:t>Journal of Intellectual &amp; Developmental Disability</w:t>
          </w:r>
          <w:r w:rsidR="006228EC">
            <w:t>, 44(3):292-304, doi:</w:t>
          </w:r>
          <w:r w:rsidR="006228EC" w:rsidRPr="006228EC">
            <w:t>10.1186/s12889-019-7863-1</w:t>
          </w:r>
          <w:r w:rsidR="006228EC">
            <w:t>.</w:t>
          </w:r>
        </w:p>
        <w:p w14:paraId="4CD1A328" w14:textId="7DA14A36" w:rsidR="00D50A04" w:rsidRDefault="00011730" w:rsidP="00011730">
          <w:r w:rsidRPr="00011730">
            <w:t>Zhou</w:t>
          </w:r>
          <w:r>
            <w:t xml:space="preserve"> N, Wong HM, Wen YF, Mcgrath C ‘O</w:t>
          </w:r>
          <w:r w:rsidRPr="00011730">
            <w:t>ral health status of children and adolescents with intellectual disabilities: a syst</w:t>
          </w:r>
          <w:r>
            <w:t>ematic review and meta-analysis’,</w:t>
          </w:r>
          <w:r w:rsidRPr="00011730">
            <w:t xml:space="preserve"> </w:t>
          </w:r>
          <w:r w:rsidRPr="00BA258A">
            <w:rPr>
              <w:i/>
            </w:rPr>
            <w:t>Dev</w:t>
          </w:r>
          <w:r w:rsidR="000A5ED1">
            <w:rPr>
              <w:i/>
            </w:rPr>
            <w:t>elopmental</w:t>
          </w:r>
          <w:r w:rsidRPr="00BA258A">
            <w:rPr>
              <w:i/>
            </w:rPr>
            <w:t xml:space="preserve"> Med</w:t>
          </w:r>
          <w:r w:rsidR="000A5ED1">
            <w:rPr>
              <w:i/>
            </w:rPr>
            <w:t>icine and</w:t>
          </w:r>
          <w:r w:rsidRPr="00BA258A">
            <w:rPr>
              <w:i/>
            </w:rPr>
            <w:t xml:space="preserve"> Child Neurol</w:t>
          </w:r>
          <w:r w:rsidR="000A5ED1">
            <w:rPr>
              <w:i/>
            </w:rPr>
            <w:t>ogy</w:t>
          </w:r>
          <w:r>
            <w:rPr>
              <w:i/>
            </w:rPr>
            <w:t>,</w:t>
          </w:r>
          <w:r w:rsidRPr="00011730">
            <w:t xml:space="preserve"> 59(10):1019-1026</w:t>
          </w:r>
          <w:r w:rsidR="000A5ED1">
            <w:t>, doi:</w:t>
          </w:r>
          <w:r w:rsidR="000A5ED1" w:rsidRPr="000A5ED1">
            <w:t>10.1111/dmcn.13486.</w:t>
          </w:r>
        </w:p>
      </w:sdtContent>
    </w:sdt>
    <w:p w14:paraId="216D1418" w14:textId="77777777" w:rsidR="00000034" w:rsidRPr="007E4824" w:rsidRDefault="00000034" w:rsidP="007E4824">
      <w:pPr>
        <w:pStyle w:val="Heading1"/>
      </w:pPr>
      <w:r w:rsidRPr="007E4824">
        <w:t>General enquiries</w:t>
      </w:r>
    </w:p>
    <w:p w14:paraId="70A89909" w14:textId="517385D2" w:rsidR="00000034" w:rsidRDefault="00000034" w:rsidP="00642B46">
      <w:r w:rsidRPr="008F0C38">
        <w:rPr>
          <w:b/>
          <w:bCs/>
        </w:rPr>
        <w:t xml:space="preserve">Call: 1800 035 544 </w:t>
      </w:r>
      <w:r w:rsidRPr="008F0C38">
        <w:t xml:space="preserve">(free call from landlines). Our contact centre is open </w:t>
      </w:r>
      <w:r w:rsidR="004D3DC8" w:rsidRPr="008F0C38">
        <w:t>9.00am to 5.00pm (</w:t>
      </w:r>
      <w:r w:rsidRPr="008F0C38">
        <w:t>9.00am to 4.30pm in the NT</w:t>
      </w:r>
      <w:r w:rsidR="004D3DC8" w:rsidRPr="008F0C38">
        <w:t>)</w:t>
      </w:r>
      <w:r w:rsidRPr="008F0C38">
        <w:t xml:space="preserve"> Monday to Friday, excluding public holidays. </w:t>
      </w:r>
    </w:p>
    <w:p w14:paraId="57E1A3E0" w14:textId="2B5143E0" w:rsidR="001138BA" w:rsidRDefault="001138BA" w:rsidP="00642B46">
      <w:r w:rsidRPr="001138BA">
        <w:rPr>
          <w:rStyle w:val="Strong"/>
        </w:rPr>
        <w:t>Email</w:t>
      </w:r>
      <w:r>
        <w:t xml:space="preserve">: </w:t>
      </w:r>
      <w:hyperlink r:id="rId50" w:tooltip="Contact us" w:history="1">
        <w:r w:rsidRPr="001138BA">
          <w:rPr>
            <w:rStyle w:val="Hyperlink"/>
          </w:rPr>
          <w:t>contactcentre@ndiscommission.gov.au</w:t>
        </w:r>
      </w:hyperlink>
    </w:p>
    <w:p w14:paraId="687565A9" w14:textId="1D8FA5EC" w:rsidR="001138BA" w:rsidRPr="008F0C38" w:rsidRDefault="001138BA" w:rsidP="00642B46">
      <w:r w:rsidRPr="001138BA">
        <w:rPr>
          <w:rStyle w:val="Strong"/>
        </w:rPr>
        <w:t>Website</w:t>
      </w:r>
      <w:r>
        <w:t xml:space="preserve">: </w:t>
      </w:r>
      <w:hyperlink r:id="rId51" w:tooltip="NDIS Commission website" w:history="1">
        <w:r w:rsidRPr="001138BA">
          <w:rPr>
            <w:rStyle w:val="Hyperlink"/>
          </w:rPr>
          <w:t>www.ndiscommission.gov.au</w:t>
        </w:r>
      </w:hyperlink>
    </w:p>
    <w:sectPr w:rsidR="001138BA" w:rsidRPr="008F0C38" w:rsidSect="00362AB6">
      <w:headerReference w:type="default" r:id="rId52"/>
      <w:footerReference w:type="default" r:id="rId53"/>
      <w:headerReference w:type="first" r:id="rId54"/>
      <w:footerReference w:type="first" r:id="rId55"/>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CF824" w14:textId="77777777" w:rsidR="00515921" w:rsidRDefault="00515921" w:rsidP="008E21DE">
      <w:r>
        <w:separator/>
      </w:r>
    </w:p>
  </w:endnote>
  <w:endnote w:type="continuationSeparator" w:id="0">
    <w:p w14:paraId="72A028FB" w14:textId="77777777" w:rsidR="00515921" w:rsidRDefault="00515921" w:rsidP="008E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B36C2" w14:textId="77777777" w:rsidR="00E4056A" w:rsidRDefault="00E4056A" w:rsidP="00362AB6">
    <w:pPr>
      <w:pStyle w:val="Footer"/>
    </w:pPr>
  </w:p>
  <w:p w14:paraId="4E606A2C" w14:textId="43F2CCC0" w:rsidR="00E4056A" w:rsidRPr="00080615" w:rsidRDefault="00E4056A" w:rsidP="009D7A35">
    <w:pPr>
      <w:pStyle w:val="Footer"/>
      <w:pBdr>
        <w:top w:val="single" w:sz="4" w:space="1" w:color="auto"/>
      </w:pBdr>
      <w:jc w:val="both"/>
    </w:pPr>
    <w:r>
      <w:t>Practice Alert: Oral health</w:t>
    </w:r>
    <w:r>
      <w:tab/>
    </w:r>
    <w:r>
      <w:tab/>
      <w:t xml:space="preserve">Page </w:t>
    </w:r>
    <w:r>
      <w:fldChar w:fldCharType="begin"/>
    </w:r>
    <w:r>
      <w:instrText xml:space="preserve"> PAGE   \* MERGEFORMAT </w:instrText>
    </w:r>
    <w:r>
      <w:fldChar w:fldCharType="separate"/>
    </w:r>
    <w:r w:rsidR="00B76020">
      <w:rPr>
        <w:noProof/>
      </w:rPr>
      <w:t>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2E887" w14:textId="77777777" w:rsidR="00E4056A" w:rsidRDefault="00E4056A" w:rsidP="00715CAE">
    <w:pPr>
      <w:pStyle w:val="Footer"/>
      <w:jc w:val="right"/>
      <w:rPr>
        <w:sz w:val="18"/>
        <w:szCs w:val="18"/>
      </w:rPr>
    </w:pPr>
  </w:p>
  <w:p w14:paraId="12FF5F22" w14:textId="6BF76768" w:rsidR="00E4056A" w:rsidRPr="00080615" w:rsidRDefault="00E4056A" w:rsidP="009359E9">
    <w:pPr>
      <w:pStyle w:val="Footer"/>
      <w:pBdr>
        <w:top w:val="single" w:sz="4" w:space="1" w:color="auto"/>
      </w:pBdr>
      <w:jc w:val="both"/>
    </w:pPr>
    <w:r>
      <w:t>Practice Alert: Oral health</w:t>
    </w:r>
    <w:r>
      <w:tab/>
    </w:r>
    <w:r>
      <w:tab/>
      <w:t xml:space="preserve">Page </w:t>
    </w:r>
    <w:r>
      <w:fldChar w:fldCharType="begin"/>
    </w:r>
    <w:r>
      <w:instrText xml:space="preserve"> PAGE   \* MERGEFORMAT </w:instrText>
    </w:r>
    <w:r>
      <w:fldChar w:fldCharType="separate"/>
    </w:r>
    <w:r w:rsidR="00B76020">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028B4" w14:textId="77777777" w:rsidR="00515921" w:rsidRDefault="00515921" w:rsidP="008E21DE">
      <w:r>
        <w:separator/>
      </w:r>
    </w:p>
  </w:footnote>
  <w:footnote w:type="continuationSeparator" w:id="0">
    <w:p w14:paraId="7B3CCEDD" w14:textId="77777777" w:rsidR="00515921" w:rsidRDefault="00515921" w:rsidP="008E2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5FD3B" w14:textId="77777777" w:rsidR="00E4056A" w:rsidRDefault="00E4056A">
    <w:pPr>
      <w:pStyle w:val="Header"/>
    </w:pPr>
  </w:p>
  <w:p w14:paraId="23C0952E" w14:textId="77777777" w:rsidR="00E4056A" w:rsidRDefault="00E4056A">
    <w:pPr>
      <w:pStyle w:val="Header"/>
    </w:pPr>
    <w:r>
      <w:rPr>
        <w:b w:val="0"/>
        <w:bCs/>
        <w:noProof/>
        <w:lang w:eastAsia="en-AU"/>
      </w:rPr>
      <mc:AlternateContent>
        <mc:Choice Requires="wps">
          <w:drawing>
            <wp:inline distT="0" distB="0" distL="0" distR="0" wp14:anchorId="3EF20219" wp14:editId="65474E6C">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C775C72"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E8061" w14:textId="77777777" w:rsidR="00E4056A" w:rsidRDefault="00E4056A">
    <w:pPr>
      <w:pStyle w:val="Header"/>
    </w:pPr>
    <w:r>
      <w:rPr>
        <w:noProof/>
        <w:lang w:eastAsia="en-AU"/>
      </w:rPr>
      <w:ptab w:relativeTo="margin" w:alignment="left" w:leader="none"/>
    </w:r>
    <w:r>
      <w:rPr>
        <w:noProof/>
        <w:lang w:eastAsia="en-AU"/>
      </w:rPr>
      <w:drawing>
        <wp:inline distT="0" distB="0" distL="0" distR="0" wp14:anchorId="7B98812A" wp14:editId="77270F09">
          <wp:extent cx="3404235" cy="1223842"/>
          <wp:effectExtent l="0" t="0" r="5715" b="0"/>
          <wp:docPr id="11" name="Picture 11"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AU"/>
      </w:rPr>
      <w:tab/>
    </w:r>
    <w:r>
      <w:rPr>
        <w:noProof/>
        <w:lang w:eastAsia="en-AU"/>
      </w:rPr>
      <w:drawing>
        <wp:inline distT="0" distB="0" distL="0" distR="0" wp14:anchorId="2BFB6E1F" wp14:editId="2F1B98C5">
          <wp:extent cx="1114425" cy="1080770"/>
          <wp:effectExtent l="0" t="0" r="9525" b="5080"/>
          <wp:docPr id="1" name="Picture 1" descr="Australian Commission on Safety and Quality in Health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M0126\AppData\Local\Microsoft\Windows\INetCache\Content.Word\LOGO-ACSQHC-block-600px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1080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6571"/>
    <w:multiLevelType w:val="hybridMultilevel"/>
    <w:tmpl w:val="1AB050AA"/>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9552F4"/>
    <w:multiLevelType w:val="hybridMultilevel"/>
    <w:tmpl w:val="3B52420A"/>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0F3D54"/>
    <w:multiLevelType w:val="hybridMultilevel"/>
    <w:tmpl w:val="DC68FCA6"/>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77803FF"/>
    <w:multiLevelType w:val="hybridMultilevel"/>
    <w:tmpl w:val="36EA4152"/>
    <w:lvl w:ilvl="0" w:tplc="70C6FF94">
      <w:start w:val="1"/>
      <w:numFmt w:val="bullet"/>
      <w:pStyle w:val="6Abou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CA27DB"/>
    <w:multiLevelType w:val="hybridMultilevel"/>
    <w:tmpl w:val="883E2C30"/>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CE0828"/>
    <w:multiLevelType w:val="hybridMultilevel"/>
    <w:tmpl w:val="51AEEDA4"/>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7800F2"/>
    <w:multiLevelType w:val="hybridMultilevel"/>
    <w:tmpl w:val="45EE06A0"/>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397ADA"/>
    <w:multiLevelType w:val="hybridMultilevel"/>
    <w:tmpl w:val="184EB142"/>
    <w:lvl w:ilvl="0" w:tplc="E4F62E0E">
      <w:start w:val="1"/>
      <w:numFmt w:val="bullet"/>
      <w:pStyle w:val="ListParagraph"/>
      <w:lvlText w:val=""/>
      <w:lvlJc w:val="left"/>
      <w:pPr>
        <w:ind w:left="1440" w:hanging="360"/>
      </w:pPr>
      <w:rPr>
        <w:rFonts w:ascii="Symbol" w:hAnsi="Symbol" w:hint="default"/>
        <w:color w:val="612C69"/>
      </w:rPr>
    </w:lvl>
    <w:lvl w:ilvl="1" w:tplc="9FEA7FFC">
      <w:start w:val="1"/>
      <w:numFmt w:val="bullet"/>
      <w:pStyle w:val="ListparagraphL2"/>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80324AB"/>
    <w:multiLevelType w:val="hybridMultilevel"/>
    <w:tmpl w:val="E6CCE688"/>
    <w:lvl w:ilvl="0" w:tplc="35FEC1EC">
      <w:start w:val="1"/>
      <w:numFmt w:val="bullet"/>
      <w:lvlText w:val=""/>
      <w:lvlJc w:val="left"/>
      <w:pPr>
        <w:ind w:left="720" w:hanging="360"/>
      </w:pPr>
      <w:rPr>
        <w:rFonts w:ascii="Symbol" w:hAnsi="Symbol" w:hint="default"/>
        <w:color w:val="962C8B" w:themeColor="accen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A3370A"/>
    <w:multiLevelType w:val="hybridMultilevel"/>
    <w:tmpl w:val="507E5158"/>
    <w:lvl w:ilvl="0" w:tplc="35FEC1EC">
      <w:start w:val="1"/>
      <w:numFmt w:val="bullet"/>
      <w:lvlText w:val=""/>
      <w:lvlJc w:val="left"/>
      <w:pPr>
        <w:ind w:left="720" w:hanging="360"/>
      </w:pPr>
      <w:rPr>
        <w:rFonts w:ascii="Symbol" w:hAnsi="Symbol" w:hint="default"/>
        <w:color w:val="962C8B" w:themeColor="accen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C25DC1"/>
    <w:multiLevelType w:val="hybridMultilevel"/>
    <w:tmpl w:val="E4D8F208"/>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174160"/>
    <w:multiLevelType w:val="hybridMultilevel"/>
    <w:tmpl w:val="9EC43B8A"/>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7" w15:restartNumberingAfterBreak="0">
    <w:nsid w:val="456746FD"/>
    <w:multiLevelType w:val="hybridMultilevel"/>
    <w:tmpl w:val="4EF447CC"/>
    <w:lvl w:ilvl="0" w:tplc="DF22DF00">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8615703"/>
    <w:multiLevelType w:val="multilevel"/>
    <w:tmpl w:val="803CF862"/>
    <w:numStyleLink w:val="List1Numbered"/>
  </w:abstractNum>
  <w:abstractNum w:abstractNumId="21" w15:restartNumberingAfterBreak="0">
    <w:nsid w:val="634B7C9A"/>
    <w:multiLevelType w:val="hybridMultilevel"/>
    <w:tmpl w:val="FEBE5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0737C1"/>
    <w:multiLevelType w:val="hybridMultilevel"/>
    <w:tmpl w:val="5038F55E"/>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D4F423B"/>
    <w:multiLevelType w:val="multilevel"/>
    <w:tmpl w:val="4A7CCC2C"/>
    <w:numStyleLink w:val="DefaultBullets"/>
  </w:abstractNum>
  <w:abstractNum w:abstractNumId="2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790B67C4"/>
    <w:multiLevelType w:val="multilevel"/>
    <w:tmpl w:val="FE688822"/>
    <w:numStyleLink w:val="BoxedBullets"/>
  </w:abstractNum>
  <w:num w:numId="1">
    <w:abstractNumId w:val="3"/>
  </w:num>
  <w:num w:numId="2">
    <w:abstractNumId w:val="18"/>
  </w:num>
  <w:num w:numId="3">
    <w:abstractNumId w:val="25"/>
  </w:num>
  <w:num w:numId="4">
    <w:abstractNumId w:val="16"/>
  </w:num>
  <w:num w:numId="5">
    <w:abstractNumId w:val="7"/>
  </w:num>
  <w:num w:numId="6">
    <w:abstractNumId w:val="6"/>
  </w:num>
  <w:num w:numId="7">
    <w:abstractNumId w:val="20"/>
  </w:num>
  <w:num w:numId="8">
    <w:abstractNumId w:val="19"/>
  </w:num>
  <w:num w:numId="9">
    <w:abstractNumId w:val="8"/>
  </w:num>
  <w:num w:numId="10">
    <w:abstractNumId w:val="24"/>
  </w:num>
  <w:num w:numId="11">
    <w:abstractNumId w:val="2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4"/>
  </w:num>
  <w:num w:numId="13">
    <w:abstractNumId w:val="9"/>
  </w:num>
  <w:num w:numId="14">
    <w:abstractNumId w:val="13"/>
  </w:num>
  <w:num w:numId="15">
    <w:abstractNumId w:val="12"/>
  </w:num>
  <w:num w:numId="16">
    <w:abstractNumId w:val="15"/>
  </w:num>
  <w:num w:numId="17">
    <w:abstractNumId w:val="1"/>
  </w:num>
  <w:num w:numId="18">
    <w:abstractNumId w:val="0"/>
  </w:num>
  <w:num w:numId="19">
    <w:abstractNumId w:val="10"/>
  </w:num>
  <w:num w:numId="20">
    <w:abstractNumId w:val="2"/>
  </w:num>
  <w:num w:numId="21">
    <w:abstractNumId w:val="5"/>
  </w:num>
  <w:num w:numId="22">
    <w:abstractNumId w:val="22"/>
  </w:num>
  <w:num w:numId="23">
    <w:abstractNumId w:val="14"/>
  </w:num>
  <w:num w:numId="24">
    <w:abstractNumId w:val="2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25">
    <w:abstractNumId w:val="17"/>
  </w:num>
  <w:num w:numId="26">
    <w:abstractNumId w:val="21"/>
  </w:num>
  <w:num w:numId="27">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31F1A64-7BC4-4906-8D33-3678F9493643}"/>
    <w:docVar w:name="dgnword-eventsink" w:val="712642584"/>
  </w:docVars>
  <w:rsids>
    <w:rsidRoot w:val="00BB6F8E"/>
    <w:rsid w:val="00000034"/>
    <w:rsid w:val="00000A69"/>
    <w:rsid w:val="00011503"/>
    <w:rsid w:val="00011730"/>
    <w:rsid w:val="00043D08"/>
    <w:rsid w:val="00047F41"/>
    <w:rsid w:val="00054374"/>
    <w:rsid w:val="000563B0"/>
    <w:rsid w:val="00056D72"/>
    <w:rsid w:val="00060B5C"/>
    <w:rsid w:val="0006366C"/>
    <w:rsid w:val="000721DF"/>
    <w:rsid w:val="00073162"/>
    <w:rsid w:val="00080615"/>
    <w:rsid w:val="000838A9"/>
    <w:rsid w:val="000974C9"/>
    <w:rsid w:val="000A05D6"/>
    <w:rsid w:val="000A5ED1"/>
    <w:rsid w:val="000C1BBC"/>
    <w:rsid w:val="000C252F"/>
    <w:rsid w:val="000C4D6E"/>
    <w:rsid w:val="000C5959"/>
    <w:rsid w:val="000C7CE9"/>
    <w:rsid w:val="000D7AA7"/>
    <w:rsid w:val="000E48A1"/>
    <w:rsid w:val="000F3A54"/>
    <w:rsid w:val="000F3D0D"/>
    <w:rsid w:val="000F48FC"/>
    <w:rsid w:val="00100032"/>
    <w:rsid w:val="0010008B"/>
    <w:rsid w:val="001058AC"/>
    <w:rsid w:val="001133B0"/>
    <w:rsid w:val="001138BA"/>
    <w:rsid w:val="00117E87"/>
    <w:rsid w:val="00121E49"/>
    <w:rsid w:val="0013668F"/>
    <w:rsid w:val="001413AF"/>
    <w:rsid w:val="001503FA"/>
    <w:rsid w:val="00152D68"/>
    <w:rsid w:val="00157720"/>
    <w:rsid w:val="00164EB5"/>
    <w:rsid w:val="00175AC0"/>
    <w:rsid w:val="00182709"/>
    <w:rsid w:val="00190BCA"/>
    <w:rsid w:val="001916AA"/>
    <w:rsid w:val="00197591"/>
    <w:rsid w:val="001975E7"/>
    <w:rsid w:val="001A4048"/>
    <w:rsid w:val="001B233E"/>
    <w:rsid w:val="001C5241"/>
    <w:rsid w:val="001C5B60"/>
    <w:rsid w:val="001D00BA"/>
    <w:rsid w:val="001D218D"/>
    <w:rsid w:val="001D4196"/>
    <w:rsid w:val="001F137B"/>
    <w:rsid w:val="001F54F9"/>
    <w:rsid w:val="001F5C61"/>
    <w:rsid w:val="00201052"/>
    <w:rsid w:val="0020614A"/>
    <w:rsid w:val="00211F32"/>
    <w:rsid w:val="0022620F"/>
    <w:rsid w:val="002277F5"/>
    <w:rsid w:val="00231AAC"/>
    <w:rsid w:val="0024606F"/>
    <w:rsid w:val="00250DAB"/>
    <w:rsid w:val="00263BA3"/>
    <w:rsid w:val="0027344B"/>
    <w:rsid w:val="002760ED"/>
    <w:rsid w:val="002804D3"/>
    <w:rsid w:val="00282E8A"/>
    <w:rsid w:val="00284D1A"/>
    <w:rsid w:val="00292487"/>
    <w:rsid w:val="00292B50"/>
    <w:rsid w:val="00293890"/>
    <w:rsid w:val="002A0072"/>
    <w:rsid w:val="002A378E"/>
    <w:rsid w:val="002A3E23"/>
    <w:rsid w:val="002B5B22"/>
    <w:rsid w:val="002C6B40"/>
    <w:rsid w:val="002D0FE6"/>
    <w:rsid w:val="002D695D"/>
    <w:rsid w:val="002E608E"/>
    <w:rsid w:val="002E6D0E"/>
    <w:rsid w:val="0030095B"/>
    <w:rsid w:val="00304F8E"/>
    <w:rsid w:val="00315C28"/>
    <w:rsid w:val="00316DB6"/>
    <w:rsid w:val="00320923"/>
    <w:rsid w:val="00324A0F"/>
    <w:rsid w:val="0032768A"/>
    <w:rsid w:val="0033559E"/>
    <w:rsid w:val="00342127"/>
    <w:rsid w:val="003449A0"/>
    <w:rsid w:val="00344BB0"/>
    <w:rsid w:val="0034598E"/>
    <w:rsid w:val="00354854"/>
    <w:rsid w:val="00362AB6"/>
    <w:rsid w:val="00364E58"/>
    <w:rsid w:val="00395DDA"/>
    <w:rsid w:val="003972B2"/>
    <w:rsid w:val="003A515E"/>
    <w:rsid w:val="003A6ECC"/>
    <w:rsid w:val="003A764C"/>
    <w:rsid w:val="003B1061"/>
    <w:rsid w:val="003C2E8F"/>
    <w:rsid w:val="003C49B9"/>
    <w:rsid w:val="003C6C61"/>
    <w:rsid w:val="003C7D51"/>
    <w:rsid w:val="003D3159"/>
    <w:rsid w:val="003D3533"/>
    <w:rsid w:val="003D5EC1"/>
    <w:rsid w:val="003E2DA3"/>
    <w:rsid w:val="003E5826"/>
    <w:rsid w:val="003E70D2"/>
    <w:rsid w:val="003F29B8"/>
    <w:rsid w:val="003F3008"/>
    <w:rsid w:val="003F7263"/>
    <w:rsid w:val="00407E61"/>
    <w:rsid w:val="004154E2"/>
    <w:rsid w:val="004205A9"/>
    <w:rsid w:val="00425001"/>
    <w:rsid w:val="0042721D"/>
    <w:rsid w:val="00427EF6"/>
    <w:rsid w:val="00441D80"/>
    <w:rsid w:val="00443244"/>
    <w:rsid w:val="0045680C"/>
    <w:rsid w:val="00462C88"/>
    <w:rsid w:val="00467390"/>
    <w:rsid w:val="00472582"/>
    <w:rsid w:val="00477A13"/>
    <w:rsid w:val="00493DCF"/>
    <w:rsid w:val="0049413C"/>
    <w:rsid w:val="004A7C3E"/>
    <w:rsid w:val="004B2FB5"/>
    <w:rsid w:val="004B6057"/>
    <w:rsid w:val="004B7B3B"/>
    <w:rsid w:val="004C1633"/>
    <w:rsid w:val="004D3DC8"/>
    <w:rsid w:val="004D4273"/>
    <w:rsid w:val="004D460E"/>
    <w:rsid w:val="004E6EFB"/>
    <w:rsid w:val="004F2C6E"/>
    <w:rsid w:val="004F696B"/>
    <w:rsid w:val="0050020D"/>
    <w:rsid w:val="0050631E"/>
    <w:rsid w:val="00515921"/>
    <w:rsid w:val="00521E9C"/>
    <w:rsid w:val="00526DBC"/>
    <w:rsid w:val="005317EC"/>
    <w:rsid w:val="00534D53"/>
    <w:rsid w:val="00541593"/>
    <w:rsid w:val="00575F25"/>
    <w:rsid w:val="00581877"/>
    <w:rsid w:val="00581CD7"/>
    <w:rsid w:val="00593C19"/>
    <w:rsid w:val="00597AFF"/>
    <w:rsid w:val="005A21C7"/>
    <w:rsid w:val="005B053D"/>
    <w:rsid w:val="005C7439"/>
    <w:rsid w:val="005D05FF"/>
    <w:rsid w:val="005F21B4"/>
    <w:rsid w:val="006026AF"/>
    <w:rsid w:val="0060271B"/>
    <w:rsid w:val="00606B46"/>
    <w:rsid w:val="0060706F"/>
    <w:rsid w:val="006228EC"/>
    <w:rsid w:val="00625854"/>
    <w:rsid w:val="006336BE"/>
    <w:rsid w:val="00641512"/>
    <w:rsid w:val="00642B46"/>
    <w:rsid w:val="006451FE"/>
    <w:rsid w:val="00651348"/>
    <w:rsid w:val="00655F32"/>
    <w:rsid w:val="0066568F"/>
    <w:rsid w:val="00672C9E"/>
    <w:rsid w:val="00673A3C"/>
    <w:rsid w:val="00673DBD"/>
    <w:rsid w:val="00680A20"/>
    <w:rsid w:val="00680F04"/>
    <w:rsid w:val="00693FBE"/>
    <w:rsid w:val="00695169"/>
    <w:rsid w:val="006957E0"/>
    <w:rsid w:val="006B2C44"/>
    <w:rsid w:val="006D4FEC"/>
    <w:rsid w:val="006D6D91"/>
    <w:rsid w:val="006F35B0"/>
    <w:rsid w:val="00715CAE"/>
    <w:rsid w:val="007168C0"/>
    <w:rsid w:val="00725108"/>
    <w:rsid w:val="007270EB"/>
    <w:rsid w:val="00730455"/>
    <w:rsid w:val="00731335"/>
    <w:rsid w:val="00732399"/>
    <w:rsid w:val="007369E1"/>
    <w:rsid w:val="0073767E"/>
    <w:rsid w:val="00741BE9"/>
    <w:rsid w:val="00754943"/>
    <w:rsid w:val="00764424"/>
    <w:rsid w:val="00765384"/>
    <w:rsid w:val="00765AAF"/>
    <w:rsid w:val="0078103B"/>
    <w:rsid w:val="00784E6F"/>
    <w:rsid w:val="00784F74"/>
    <w:rsid w:val="00787702"/>
    <w:rsid w:val="00790399"/>
    <w:rsid w:val="0079067B"/>
    <w:rsid w:val="00796561"/>
    <w:rsid w:val="007A19DE"/>
    <w:rsid w:val="007A5887"/>
    <w:rsid w:val="007B0A73"/>
    <w:rsid w:val="007B2CF5"/>
    <w:rsid w:val="007C5024"/>
    <w:rsid w:val="007D71C8"/>
    <w:rsid w:val="007E4399"/>
    <w:rsid w:val="007E4824"/>
    <w:rsid w:val="00803925"/>
    <w:rsid w:val="008109A9"/>
    <w:rsid w:val="00817834"/>
    <w:rsid w:val="00820013"/>
    <w:rsid w:val="00837C11"/>
    <w:rsid w:val="00844FD8"/>
    <w:rsid w:val="008459B6"/>
    <w:rsid w:val="00846230"/>
    <w:rsid w:val="00846D1B"/>
    <w:rsid w:val="0086573E"/>
    <w:rsid w:val="00866310"/>
    <w:rsid w:val="00880F00"/>
    <w:rsid w:val="00884FB3"/>
    <w:rsid w:val="0089471F"/>
    <w:rsid w:val="00895461"/>
    <w:rsid w:val="00895DF7"/>
    <w:rsid w:val="008A1D61"/>
    <w:rsid w:val="008A649A"/>
    <w:rsid w:val="008B1694"/>
    <w:rsid w:val="008B7938"/>
    <w:rsid w:val="008C02F1"/>
    <w:rsid w:val="008C56E7"/>
    <w:rsid w:val="008D1526"/>
    <w:rsid w:val="008D50DA"/>
    <w:rsid w:val="008E21DE"/>
    <w:rsid w:val="008E50AF"/>
    <w:rsid w:val="008E6300"/>
    <w:rsid w:val="008F0C38"/>
    <w:rsid w:val="008F33AB"/>
    <w:rsid w:val="00901A4B"/>
    <w:rsid w:val="00904315"/>
    <w:rsid w:val="00905398"/>
    <w:rsid w:val="0090679C"/>
    <w:rsid w:val="00922E24"/>
    <w:rsid w:val="0092679E"/>
    <w:rsid w:val="00927DDF"/>
    <w:rsid w:val="00935716"/>
    <w:rsid w:val="009359E9"/>
    <w:rsid w:val="00943713"/>
    <w:rsid w:val="00944E48"/>
    <w:rsid w:val="00946AF7"/>
    <w:rsid w:val="00951325"/>
    <w:rsid w:val="009539C8"/>
    <w:rsid w:val="00953B8A"/>
    <w:rsid w:val="009573FC"/>
    <w:rsid w:val="00957487"/>
    <w:rsid w:val="00963C72"/>
    <w:rsid w:val="00967F8B"/>
    <w:rsid w:val="009754FE"/>
    <w:rsid w:val="009823DE"/>
    <w:rsid w:val="00984E80"/>
    <w:rsid w:val="00986521"/>
    <w:rsid w:val="00991E56"/>
    <w:rsid w:val="00994643"/>
    <w:rsid w:val="009B06E6"/>
    <w:rsid w:val="009B12C8"/>
    <w:rsid w:val="009B43EF"/>
    <w:rsid w:val="009C7330"/>
    <w:rsid w:val="009D06E2"/>
    <w:rsid w:val="009D1787"/>
    <w:rsid w:val="009D621F"/>
    <w:rsid w:val="009D7A35"/>
    <w:rsid w:val="009E5FA8"/>
    <w:rsid w:val="009E6C5B"/>
    <w:rsid w:val="009E7BC1"/>
    <w:rsid w:val="009F4EAA"/>
    <w:rsid w:val="009F740C"/>
    <w:rsid w:val="00A023FA"/>
    <w:rsid w:val="00A06F5D"/>
    <w:rsid w:val="00A07E4A"/>
    <w:rsid w:val="00A161FF"/>
    <w:rsid w:val="00A37710"/>
    <w:rsid w:val="00A37D9C"/>
    <w:rsid w:val="00A40E7F"/>
    <w:rsid w:val="00A60009"/>
    <w:rsid w:val="00A612E3"/>
    <w:rsid w:val="00A670D3"/>
    <w:rsid w:val="00A751BF"/>
    <w:rsid w:val="00A755CA"/>
    <w:rsid w:val="00A860DA"/>
    <w:rsid w:val="00A8647C"/>
    <w:rsid w:val="00A932F1"/>
    <w:rsid w:val="00A93861"/>
    <w:rsid w:val="00A93AE1"/>
    <w:rsid w:val="00A971E8"/>
    <w:rsid w:val="00AA094B"/>
    <w:rsid w:val="00AA2EAB"/>
    <w:rsid w:val="00AA4A42"/>
    <w:rsid w:val="00AB12D5"/>
    <w:rsid w:val="00AB1FDE"/>
    <w:rsid w:val="00AB3941"/>
    <w:rsid w:val="00AC08C8"/>
    <w:rsid w:val="00AD0168"/>
    <w:rsid w:val="00AD1B23"/>
    <w:rsid w:val="00AD336C"/>
    <w:rsid w:val="00AD735D"/>
    <w:rsid w:val="00AD7AD7"/>
    <w:rsid w:val="00AE52DE"/>
    <w:rsid w:val="00AF0899"/>
    <w:rsid w:val="00AF290F"/>
    <w:rsid w:val="00B00348"/>
    <w:rsid w:val="00B06893"/>
    <w:rsid w:val="00B06934"/>
    <w:rsid w:val="00B10AE9"/>
    <w:rsid w:val="00B21DCB"/>
    <w:rsid w:val="00B25115"/>
    <w:rsid w:val="00B259F9"/>
    <w:rsid w:val="00B328A6"/>
    <w:rsid w:val="00B353FA"/>
    <w:rsid w:val="00B42593"/>
    <w:rsid w:val="00B542B3"/>
    <w:rsid w:val="00B603C0"/>
    <w:rsid w:val="00B61A12"/>
    <w:rsid w:val="00B71B78"/>
    <w:rsid w:val="00B76020"/>
    <w:rsid w:val="00B83AB4"/>
    <w:rsid w:val="00B869EE"/>
    <w:rsid w:val="00BA258A"/>
    <w:rsid w:val="00BA4FF9"/>
    <w:rsid w:val="00BB2967"/>
    <w:rsid w:val="00BB2FD0"/>
    <w:rsid w:val="00BB6F8E"/>
    <w:rsid w:val="00BC2180"/>
    <w:rsid w:val="00BC3BA1"/>
    <w:rsid w:val="00BC5485"/>
    <w:rsid w:val="00BC5758"/>
    <w:rsid w:val="00BC6F8A"/>
    <w:rsid w:val="00BD0889"/>
    <w:rsid w:val="00BD1FF0"/>
    <w:rsid w:val="00BD23D0"/>
    <w:rsid w:val="00BD5D69"/>
    <w:rsid w:val="00BD776E"/>
    <w:rsid w:val="00BE1DEF"/>
    <w:rsid w:val="00BE6F63"/>
    <w:rsid w:val="00BE7941"/>
    <w:rsid w:val="00BE7F1E"/>
    <w:rsid w:val="00BF2169"/>
    <w:rsid w:val="00BF463B"/>
    <w:rsid w:val="00C0421C"/>
    <w:rsid w:val="00C0732B"/>
    <w:rsid w:val="00C10202"/>
    <w:rsid w:val="00C1305C"/>
    <w:rsid w:val="00C17A5F"/>
    <w:rsid w:val="00C216B0"/>
    <w:rsid w:val="00C21944"/>
    <w:rsid w:val="00C21D94"/>
    <w:rsid w:val="00C242C7"/>
    <w:rsid w:val="00C2682D"/>
    <w:rsid w:val="00C2698C"/>
    <w:rsid w:val="00C31B8D"/>
    <w:rsid w:val="00C31EAE"/>
    <w:rsid w:val="00C320EC"/>
    <w:rsid w:val="00C35CF9"/>
    <w:rsid w:val="00C413EC"/>
    <w:rsid w:val="00C470F8"/>
    <w:rsid w:val="00C52C59"/>
    <w:rsid w:val="00C60D1D"/>
    <w:rsid w:val="00C66717"/>
    <w:rsid w:val="00C710F9"/>
    <w:rsid w:val="00C73ACC"/>
    <w:rsid w:val="00C87F13"/>
    <w:rsid w:val="00C90DF2"/>
    <w:rsid w:val="00C94D68"/>
    <w:rsid w:val="00CB47DD"/>
    <w:rsid w:val="00CB64BD"/>
    <w:rsid w:val="00CB6D03"/>
    <w:rsid w:val="00CB74B6"/>
    <w:rsid w:val="00CC7E06"/>
    <w:rsid w:val="00CD0CAB"/>
    <w:rsid w:val="00CD54D0"/>
    <w:rsid w:val="00CE295B"/>
    <w:rsid w:val="00D04675"/>
    <w:rsid w:val="00D05C96"/>
    <w:rsid w:val="00D21508"/>
    <w:rsid w:val="00D22466"/>
    <w:rsid w:val="00D23537"/>
    <w:rsid w:val="00D240C2"/>
    <w:rsid w:val="00D25236"/>
    <w:rsid w:val="00D27D66"/>
    <w:rsid w:val="00D416A8"/>
    <w:rsid w:val="00D50A04"/>
    <w:rsid w:val="00D61BB5"/>
    <w:rsid w:val="00D63B2B"/>
    <w:rsid w:val="00D6525A"/>
    <w:rsid w:val="00D85A36"/>
    <w:rsid w:val="00D96B01"/>
    <w:rsid w:val="00D97274"/>
    <w:rsid w:val="00D9727A"/>
    <w:rsid w:val="00DB7E72"/>
    <w:rsid w:val="00DE418A"/>
    <w:rsid w:val="00DF74BA"/>
    <w:rsid w:val="00E012C4"/>
    <w:rsid w:val="00E01D48"/>
    <w:rsid w:val="00E0370F"/>
    <w:rsid w:val="00E06DAA"/>
    <w:rsid w:val="00E0739B"/>
    <w:rsid w:val="00E14A3C"/>
    <w:rsid w:val="00E17651"/>
    <w:rsid w:val="00E243C4"/>
    <w:rsid w:val="00E260AC"/>
    <w:rsid w:val="00E40290"/>
    <w:rsid w:val="00E4056A"/>
    <w:rsid w:val="00E47846"/>
    <w:rsid w:val="00E54D4C"/>
    <w:rsid w:val="00E7734F"/>
    <w:rsid w:val="00E81B57"/>
    <w:rsid w:val="00E829A6"/>
    <w:rsid w:val="00E8311A"/>
    <w:rsid w:val="00E84F86"/>
    <w:rsid w:val="00E867A4"/>
    <w:rsid w:val="00E93C7F"/>
    <w:rsid w:val="00EA2768"/>
    <w:rsid w:val="00EB171D"/>
    <w:rsid w:val="00EB5440"/>
    <w:rsid w:val="00ED51FF"/>
    <w:rsid w:val="00ED765A"/>
    <w:rsid w:val="00EE737C"/>
    <w:rsid w:val="00F10170"/>
    <w:rsid w:val="00F3209F"/>
    <w:rsid w:val="00F328ED"/>
    <w:rsid w:val="00F34A15"/>
    <w:rsid w:val="00F36173"/>
    <w:rsid w:val="00F41613"/>
    <w:rsid w:val="00F4684A"/>
    <w:rsid w:val="00F5000F"/>
    <w:rsid w:val="00F50728"/>
    <w:rsid w:val="00F50DD3"/>
    <w:rsid w:val="00F57DD2"/>
    <w:rsid w:val="00F651C1"/>
    <w:rsid w:val="00F70AE7"/>
    <w:rsid w:val="00F7398C"/>
    <w:rsid w:val="00F83A03"/>
    <w:rsid w:val="00F907FA"/>
    <w:rsid w:val="00F9318C"/>
    <w:rsid w:val="00FA142D"/>
    <w:rsid w:val="00FA24BD"/>
    <w:rsid w:val="00FA3160"/>
    <w:rsid w:val="00FB3FE3"/>
    <w:rsid w:val="00FB5DBE"/>
    <w:rsid w:val="00FB77A7"/>
    <w:rsid w:val="00FD66D7"/>
    <w:rsid w:val="00FE2757"/>
    <w:rsid w:val="00FE2D8F"/>
    <w:rsid w:val="00FE3CB2"/>
    <w:rsid w:val="00FE3DA3"/>
    <w:rsid w:val="00FF12AD"/>
    <w:rsid w:val="00FF6A64"/>
    <w:rsid w:val="09F661E1"/>
    <w:rsid w:val="37604C32"/>
    <w:rsid w:val="60A81920"/>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971E2"/>
  <w15:chartTrackingRefBased/>
  <w15:docId w15:val="{B0C88BE0-74CA-4A5F-9E3B-D92E37FF7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0EC"/>
    <w:rPr>
      <w:rFonts w:ascii="Calibri" w:hAnsi="Calibri" w:cs="Calibri"/>
      <w:color w:val="auto"/>
      <w:sz w:val="22"/>
      <w:szCs w:val="22"/>
    </w:rPr>
  </w:style>
  <w:style w:type="paragraph" w:styleId="Heading1">
    <w:name w:val="heading 1"/>
    <w:basedOn w:val="Normal"/>
    <w:next w:val="Normal"/>
    <w:link w:val="Heading1Char"/>
    <w:uiPriority w:val="9"/>
    <w:qFormat/>
    <w:rsid w:val="00C0732B"/>
    <w:pPr>
      <w:keepNext/>
      <w:keepLines/>
      <w:spacing w:before="240" w:line="276" w:lineRule="auto"/>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9"/>
    <w:qFormat/>
    <w:rsid w:val="0006366C"/>
    <w:pPr>
      <w:keepNext/>
      <w:keepLines/>
      <w:spacing w:line="24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9"/>
    <w:qFormat/>
    <w:rsid w:val="00284D1A"/>
    <w:pPr>
      <w:keepNext/>
      <w:keepLines/>
      <w:spacing w:before="240" w:line="276" w:lineRule="auto"/>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4D3DC8"/>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D3DC8"/>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06366C"/>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C0732B"/>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9"/>
    <w:rsid w:val="00284D1A"/>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pPr>
    <w:rPr>
      <w:rFonts w:asciiTheme="majorHAnsi" w:hAnsiTheme="majorHAnsi"/>
      <w:sz w:val="24"/>
    </w:rPr>
  </w:style>
  <w:style w:type="paragraph" w:styleId="TOC2">
    <w:name w:val="toc 2"/>
    <w:basedOn w:val="Normal"/>
    <w:next w:val="Normal"/>
    <w:autoRedefine/>
    <w:uiPriority w:val="39"/>
    <w:rsid w:val="00CB64BD"/>
    <w:pPr>
      <w:tabs>
        <w:tab w:val="right" w:leader="dot" w:pos="9628"/>
      </w:tabs>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basedOn w:val="Normal"/>
    <w:link w:val="ListParagraphChar"/>
    <w:uiPriority w:val="34"/>
    <w:qFormat/>
    <w:rsid w:val="00D85A36"/>
    <w:pPr>
      <w:numPr>
        <w:numId w:val="27"/>
      </w:numPr>
      <w:spacing w:before="0" w:after="0"/>
      <w:ind w:left="697" w:hanging="357"/>
    </w:pPr>
  </w:style>
  <w:style w:type="character" w:customStyle="1" w:styleId="published-date4">
    <w:name w:val="published-date4"/>
    <w:basedOn w:val="DefaultParagraphFont"/>
    <w:rsid w:val="00BB6F8E"/>
  </w:style>
  <w:style w:type="character" w:styleId="CommentReference">
    <w:name w:val="annotation reference"/>
    <w:basedOn w:val="DefaultParagraphFont"/>
    <w:uiPriority w:val="99"/>
    <w:semiHidden/>
    <w:unhideWhenUsed/>
    <w:rsid w:val="00BB6F8E"/>
    <w:rPr>
      <w:sz w:val="16"/>
      <w:szCs w:val="16"/>
    </w:rPr>
  </w:style>
  <w:style w:type="paragraph" w:styleId="CommentText">
    <w:name w:val="annotation text"/>
    <w:basedOn w:val="Normal"/>
    <w:link w:val="CommentTextChar"/>
    <w:uiPriority w:val="99"/>
    <w:unhideWhenUsed/>
    <w:rsid w:val="00BB6F8E"/>
    <w:rPr>
      <w:sz w:val="20"/>
      <w:szCs w:val="20"/>
    </w:rPr>
  </w:style>
  <w:style w:type="character" w:customStyle="1" w:styleId="CommentTextChar">
    <w:name w:val="Comment Text Char"/>
    <w:basedOn w:val="DefaultParagraphFont"/>
    <w:link w:val="CommentText"/>
    <w:uiPriority w:val="99"/>
    <w:rsid w:val="00BB6F8E"/>
    <w:rPr>
      <w:rFonts w:ascii="Calibri" w:hAnsi="Calibri" w:cs="Calibri"/>
      <w:color w:val="auto"/>
    </w:rPr>
  </w:style>
  <w:style w:type="paragraph" w:styleId="NormalWeb">
    <w:name w:val="Normal (Web)"/>
    <w:basedOn w:val="Normal"/>
    <w:uiPriority w:val="99"/>
    <w:semiHidden/>
    <w:unhideWhenUsed/>
    <w:rsid w:val="00BB6F8E"/>
    <w:pPr>
      <w:spacing w:after="180"/>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B6F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F8E"/>
    <w:rPr>
      <w:rFonts w:ascii="Segoe UI" w:hAnsi="Segoe UI" w:cs="Segoe UI"/>
      <w:color w:val="auto"/>
      <w:sz w:val="18"/>
      <w:szCs w:val="18"/>
    </w:rPr>
  </w:style>
  <w:style w:type="paragraph" w:styleId="CommentSubject">
    <w:name w:val="annotation subject"/>
    <w:basedOn w:val="CommentText"/>
    <w:next w:val="CommentText"/>
    <w:link w:val="CommentSubjectChar"/>
    <w:uiPriority w:val="99"/>
    <w:semiHidden/>
    <w:unhideWhenUsed/>
    <w:rsid w:val="00FB3FE3"/>
    <w:rPr>
      <w:b/>
      <w:bCs/>
    </w:rPr>
  </w:style>
  <w:style w:type="character" w:customStyle="1" w:styleId="CommentSubjectChar">
    <w:name w:val="Comment Subject Char"/>
    <w:basedOn w:val="CommentTextChar"/>
    <w:link w:val="CommentSubject"/>
    <w:uiPriority w:val="99"/>
    <w:semiHidden/>
    <w:rsid w:val="00FB3FE3"/>
    <w:rPr>
      <w:rFonts w:ascii="Calibri" w:hAnsi="Calibri" w:cs="Calibri"/>
      <w:b/>
      <w:bCs/>
      <w:color w:val="auto"/>
    </w:rPr>
  </w:style>
  <w:style w:type="paragraph" w:customStyle="1" w:styleId="Default">
    <w:name w:val="Default"/>
    <w:rsid w:val="00164EB5"/>
    <w:pPr>
      <w:autoSpaceDE w:val="0"/>
      <w:autoSpaceDN w:val="0"/>
      <w:adjustRightInd w:val="0"/>
      <w:spacing w:before="0" w:after="0"/>
    </w:pPr>
    <w:rPr>
      <w:rFonts w:ascii="Arial" w:hAnsi="Arial" w:cs="Arial"/>
      <w:color w:val="000000"/>
      <w:sz w:val="24"/>
      <w:szCs w:val="24"/>
    </w:rPr>
  </w:style>
  <w:style w:type="paragraph" w:styleId="Revision">
    <w:name w:val="Revision"/>
    <w:hidden/>
    <w:uiPriority w:val="99"/>
    <w:semiHidden/>
    <w:rsid w:val="00606B46"/>
    <w:pPr>
      <w:spacing w:before="0" w:after="0"/>
    </w:pPr>
    <w:rPr>
      <w:rFonts w:ascii="Calibri" w:hAnsi="Calibri" w:cs="Calibri"/>
      <w:color w:val="auto"/>
      <w:sz w:val="22"/>
      <w:szCs w:val="22"/>
    </w:rPr>
  </w:style>
  <w:style w:type="paragraph" w:customStyle="1" w:styleId="Body">
    <w:name w:val="Body"/>
    <w:basedOn w:val="Normal"/>
    <w:next w:val="Normal"/>
    <w:qFormat/>
    <w:rsid w:val="00000034"/>
    <w:pPr>
      <w:pBdr>
        <w:top w:val="nil"/>
        <w:left w:val="nil"/>
        <w:bottom w:val="nil"/>
        <w:right w:val="nil"/>
        <w:between w:val="nil"/>
        <w:bar w:val="nil"/>
      </w:pBdr>
      <w:spacing w:after="240"/>
      <w:ind w:right="-35"/>
    </w:pPr>
    <w:rPr>
      <w:rFonts w:eastAsia="Arial Unicode MS" w:cs="Arial Unicode MS"/>
      <w:color w:val="000000"/>
      <w:sz w:val="24"/>
      <w:szCs w:val="24"/>
      <w:bdr w:val="nil"/>
      <w:lang w:val="en-US"/>
      <w14:textOutline w14:w="0" w14:cap="flat" w14:cmpd="sng" w14:algn="ctr">
        <w14:noFill/>
        <w14:prstDash w14:val="solid"/>
        <w14:bevel/>
      </w14:textOutline>
    </w:rPr>
  </w:style>
  <w:style w:type="paragraph" w:customStyle="1" w:styleId="ContactUsheadingh4">
    <w:name w:val="Contact Us heading h4"/>
    <w:basedOn w:val="Normal"/>
    <w:next w:val="Heading4"/>
    <w:qFormat/>
    <w:rsid w:val="00000034"/>
    <w:pPr>
      <w:keepNext/>
      <w:pBdr>
        <w:top w:val="single" w:sz="48" w:space="6" w:color="5F2E74" w:themeColor="text2"/>
      </w:pBdr>
      <w:spacing w:before="360" w:after="200"/>
      <w:outlineLvl w:val="1"/>
    </w:pPr>
    <w:rPr>
      <w:rFonts w:eastAsia="Arial Unicode MS" w:cs="Arial Unicode MS"/>
      <w:b/>
      <w:bCs/>
      <w:color w:val="612C69"/>
      <w:sz w:val="40"/>
      <w:szCs w:val="40"/>
      <w:bdr w:val="nil"/>
      <w:lang w:val="en-US" w:eastAsia="en-AU"/>
      <w14:textOutline w14:w="0" w14:cap="flat" w14:cmpd="sng" w14:algn="ctr">
        <w14:noFill/>
        <w14:prstDash w14:val="solid"/>
        <w14:bevel/>
      </w14:textOutline>
    </w:rPr>
  </w:style>
  <w:style w:type="paragraph" w:customStyle="1" w:styleId="1PracticeAlert">
    <w:name w:val="1. Practice Alert"/>
    <w:qFormat/>
    <w:rsid w:val="004A7C3E"/>
    <w:pPr>
      <w:keepNext/>
      <w:pBdr>
        <w:top w:val="single" w:sz="8" w:space="5" w:color="auto"/>
        <w:left w:val="single" w:sz="8" w:space="10" w:color="auto"/>
        <w:bottom w:val="single" w:sz="8" w:space="10" w:color="auto"/>
        <w:right w:val="single" w:sz="8" w:space="10" w:color="auto"/>
      </w:pBdr>
      <w:shd w:val="clear" w:color="auto" w:fill="431C55"/>
      <w:spacing w:before="240" w:after="360" w:line="288" w:lineRule="auto"/>
      <w:ind w:right="-34"/>
    </w:pPr>
    <w:rPr>
      <w:rFonts w:ascii="Calibri" w:eastAsia="Arial Unicode MS" w:hAnsi="Calibri" w:cs="Arial Unicode MS"/>
      <w:b/>
      <w:bCs/>
      <w:color w:val="FFFFFF"/>
      <w:spacing w:val="6"/>
      <w:sz w:val="32"/>
      <w:szCs w:val="32"/>
      <w:bdr w:val="nil"/>
      <w:lang w:eastAsia="en-AU"/>
      <w14:textOutline w14:w="0" w14:cap="flat" w14:cmpd="sng" w14:algn="ctr">
        <w14:noFill/>
        <w14:prstDash w14:val="solid"/>
        <w14:bevel/>
      </w14:textOutline>
    </w:rPr>
  </w:style>
  <w:style w:type="paragraph" w:customStyle="1" w:styleId="3Title-H1">
    <w:name w:val="3. Title - H1"/>
    <w:next w:val="Heading3"/>
    <w:qFormat/>
    <w:rsid w:val="004A7C3E"/>
    <w:pPr>
      <w:keepNext/>
      <w:pBdr>
        <w:top w:val="single" w:sz="8" w:space="5" w:color="auto"/>
        <w:left w:val="single" w:sz="8" w:space="10" w:color="auto"/>
        <w:bottom w:val="single" w:sz="8" w:space="10" w:color="auto"/>
        <w:right w:val="single" w:sz="8" w:space="10" w:color="auto"/>
      </w:pBdr>
      <w:shd w:val="clear" w:color="auto" w:fill="431C55"/>
      <w:spacing w:before="0"/>
      <w:ind w:right="-34"/>
      <w:outlineLvl w:val="0"/>
    </w:pPr>
    <w:rPr>
      <w:rFonts w:ascii="Calibri" w:eastAsia="Arial Unicode MS" w:hAnsi="Calibri" w:cs="Arial Unicode MS"/>
      <w:b/>
      <w:bCs/>
      <w:color w:val="FFFFFF"/>
      <w:sz w:val="68"/>
      <w:szCs w:val="68"/>
      <w:bdr w:val="nil"/>
      <w:lang w:val="en-US" w:eastAsia="en-AU"/>
      <w14:textOutline w14:w="0" w14:cap="flat" w14:cmpd="sng" w14:algn="ctr">
        <w14:noFill/>
        <w14:prstDash w14:val="solid"/>
        <w14:bevel/>
      </w14:textOutline>
    </w:rPr>
  </w:style>
  <w:style w:type="paragraph" w:customStyle="1" w:styleId="4Titledescription">
    <w:name w:val="4. Title description"/>
    <w:next w:val="BodyText"/>
    <w:qFormat/>
    <w:rsid w:val="004A7C3E"/>
    <w:pPr>
      <w:pBdr>
        <w:top w:val="single" w:sz="8" w:space="5" w:color="auto"/>
        <w:left w:val="single" w:sz="8" w:space="10" w:color="auto"/>
        <w:bottom w:val="single" w:sz="8" w:space="10" w:color="auto"/>
        <w:right w:val="single" w:sz="8" w:space="10" w:color="auto"/>
      </w:pBdr>
      <w:shd w:val="clear" w:color="auto" w:fill="431C55"/>
      <w:spacing w:before="240" w:after="0"/>
      <w:ind w:right="-34"/>
    </w:pPr>
    <w:rPr>
      <w:rFonts w:ascii="Calibri" w:eastAsia="Arial Unicode MS" w:hAnsi="Calibri" w:cs="Arial Unicode MS"/>
      <w:color w:val="FFFFFF"/>
      <w:sz w:val="24"/>
      <w:szCs w:val="24"/>
      <w:bdr w:val="nil"/>
      <w:lang w:val="en-US" w:eastAsia="en-AU"/>
      <w14:textOutline w14:w="0" w14:cap="flat" w14:cmpd="sng" w14:algn="ctr">
        <w14:noFill/>
        <w14:prstDash w14:val="solid"/>
        <w14:bevel/>
      </w14:textOutline>
    </w:rPr>
  </w:style>
  <w:style w:type="paragraph" w:customStyle="1" w:styleId="Keypoints-H2">
    <w:name w:val="Key points - H2"/>
    <w:basedOn w:val="Normal"/>
    <w:next w:val="Heading4"/>
    <w:qFormat/>
    <w:rsid w:val="004A7C3E"/>
    <w:pPr>
      <w:keepNext/>
      <w:pBdr>
        <w:top w:val="single" w:sz="8" w:space="10" w:color="FBF7FD"/>
        <w:left w:val="single" w:sz="8" w:space="10" w:color="FBF7FD"/>
        <w:bottom w:val="single" w:sz="8" w:space="10" w:color="FBF7FD"/>
        <w:right w:val="single" w:sz="8" w:space="10" w:color="FBF7FD"/>
      </w:pBdr>
      <w:shd w:val="clear" w:color="auto" w:fill="F7F0FA"/>
      <w:spacing w:after="200"/>
      <w:ind w:right="-34"/>
      <w:outlineLvl w:val="1"/>
    </w:pPr>
    <w:rPr>
      <w:rFonts w:eastAsia="Arial Unicode MS" w:cs="Arial Unicode MS"/>
      <w:b/>
      <w:bCs/>
      <w:color w:val="612C69"/>
      <w:sz w:val="40"/>
      <w:szCs w:val="40"/>
      <w:bdr w:val="nil"/>
      <w:lang w:val="en-US" w:eastAsia="en-AU"/>
      <w14:textOutline w14:w="0" w14:cap="flat" w14:cmpd="sng" w14:algn="ctr">
        <w14:noFill/>
        <w14:prstDash w14:val="solid"/>
        <w14:bevel/>
      </w14:textOutline>
    </w:rPr>
  </w:style>
  <w:style w:type="paragraph" w:customStyle="1" w:styleId="6Aboutbullet">
    <w:name w:val="6. About bullet"/>
    <w:basedOn w:val="Normal"/>
    <w:link w:val="6AboutbulletChar"/>
    <w:qFormat/>
    <w:rsid w:val="009E5FA8"/>
    <w:pPr>
      <w:numPr>
        <w:numId w:val="12"/>
      </w:numPr>
      <w:pBdr>
        <w:top w:val="single" w:sz="8" w:space="10" w:color="FBF7FD"/>
        <w:left w:val="single" w:sz="8" w:space="10" w:color="FBF7FD"/>
        <w:bottom w:val="single" w:sz="8" w:space="10" w:color="FBF7FD"/>
        <w:right w:val="single" w:sz="8" w:space="10" w:color="FBF7FD"/>
      </w:pBdr>
      <w:shd w:val="clear" w:color="auto" w:fill="F7F0FA"/>
      <w:spacing w:after="240"/>
      <w:ind w:left="284" w:right="-35" w:hanging="284"/>
    </w:pPr>
    <w:rPr>
      <w:rFonts w:eastAsia="Arial Unicode MS" w:cs="Arial Unicode MS"/>
      <w:color w:val="000000"/>
      <w:sz w:val="24"/>
      <w:szCs w:val="24"/>
      <w:bdr w:val="nil"/>
      <w:lang w:val="en-US" w:eastAsia="en-AU"/>
      <w14:textOutline w14:w="0" w14:cap="flat" w14:cmpd="sng" w14:algn="ctr">
        <w14:noFill/>
        <w14:prstDash w14:val="solid"/>
        <w14:bevel/>
      </w14:textOutline>
    </w:rPr>
  </w:style>
  <w:style w:type="character" w:customStyle="1" w:styleId="6AboutbulletChar">
    <w:name w:val="6. About bullet Char"/>
    <w:basedOn w:val="DefaultParagraphFont"/>
    <w:link w:val="6Aboutbullet"/>
    <w:rsid w:val="009E5FA8"/>
    <w:rPr>
      <w:rFonts w:ascii="Calibri" w:eastAsia="Arial Unicode MS" w:hAnsi="Calibri" w:cs="Arial Unicode MS"/>
      <w:color w:val="000000"/>
      <w:sz w:val="24"/>
      <w:szCs w:val="24"/>
      <w:bdr w:val="nil"/>
      <w:shd w:val="clear" w:color="auto" w:fill="F7F0FA"/>
      <w:lang w:val="en-US" w:eastAsia="en-AU"/>
      <w14:textOutline w14:w="0" w14:cap="flat" w14:cmpd="sng" w14:algn="ctr">
        <w14:noFill/>
        <w14:prstDash w14:val="solid"/>
        <w14:bevel/>
      </w14:textOutline>
    </w:rPr>
  </w:style>
  <w:style w:type="paragraph" w:styleId="BodyText">
    <w:name w:val="Body Text"/>
    <w:basedOn w:val="Normal"/>
    <w:link w:val="BodyTextChar"/>
    <w:uiPriority w:val="99"/>
    <w:semiHidden/>
    <w:unhideWhenUsed/>
    <w:rsid w:val="009E5FA8"/>
  </w:style>
  <w:style w:type="character" w:customStyle="1" w:styleId="BodyTextChar">
    <w:name w:val="Body Text Char"/>
    <w:basedOn w:val="DefaultParagraphFont"/>
    <w:link w:val="BodyText"/>
    <w:uiPriority w:val="99"/>
    <w:semiHidden/>
    <w:rsid w:val="009E5FA8"/>
    <w:rPr>
      <w:rFonts w:ascii="Calibri" w:hAnsi="Calibri" w:cs="Calibri"/>
      <w:color w:val="auto"/>
      <w:sz w:val="22"/>
      <w:szCs w:val="22"/>
    </w:rPr>
  </w:style>
  <w:style w:type="character" w:customStyle="1" w:styleId="ListParagraphChar">
    <w:name w:val="List Paragraph Char"/>
    <w:basedOn w:val="DefaultParagraphFont"/>
    <w:link w:val="ListParagraph"/>
    <w:uiPriority w:val="34"/>
    <w:rsid w:val="00D85A36"/>
    <w:rPr>
      <w:rFonts w:ascii="Calibri" w:hAnsi="Calibri" w:cs="Calibri"/>
      <w:color w:val="auto"/>
      <w:sz w:val="22"/>
      <w:szCs w:val="22"/>
    </w:rPr>
  </w:style>
  <w:style w:type="character" w:customStyle="1" w:styleId="Heading8Char">
    <w:name w:val="Heading 8 Char"/>
    <w:basedOn w:val="DefaultParagraphFont"/>
    <w:link w:val="Heading8"/>
    <w:uiPriority w:val="9"/>
    <w:semiHidden/>
    <w:rsid w:val="004D3DC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D3DC8"/>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unhideWhenUsed/>
    <w:rsid w:val="00D50A04"/>
    <w:pPr>
      <w:spacing w:before="0" w:after="160" w:line="259" w:lineRule="auto"/>
    </w:pPr>
    <w:rPr>
      <w:rFonts w:asciiTheme="minorHAnsi" w:hAnsiTheme="minorHAnsi" w:cstheme="minorBidi"/>
    </w:rPr>
  </w:style>
  <w:style w:type="paragraph" w:customStyle="1" w:styleId="acthead2">
    <w:name w:val="acthead2"/>
    <w:basedOn w:val="Normal"/>
    <w:rsid w:val="0060271B"/>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harpartno">
    <w:name w:val="charpartno"/>
    <w:basedOn w:val="DefaultParagraphFont"/>
    <w:rsid w:val="0060271B"/>
  </w:style>
  <w:style w:type="character" w:customStyle="1" w:styleId="charparttext">
    <w:name w:val="charparttext"/>
    <w:basedOn w:val="DefaultParagraphFont"/>
    <w:rsid w:val="0060271B"/>
  </w:style>
  <w:style w:type="paragraph" w:customStyle="1" w:styleId="acthead3">
    <w:name w:val="acthead3"/>
    <w:basedOn w:val="Normal"/>
    <w:rsid w:val="0060271B"/>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hardivno">
    <w:name w:val="chardivno"/>
    <w:basedOn w:val="DefaultParagraphFont"/>
    <w:rsid w:val="0060271B"/>
  </w:style>
  <w:style w:type="character" w:customStyle="1" w:styleId="chardivtext">
    <w:name w:val="chardivtext"/>
    <w:basedOn w:val="DefaultParagraphFont"/>
    <w:rsid w:val="0060271B"/>
  </w:style>
  <w:style w:type="paragraph" w:customStyle="1" w:styleId="acthead5">
    <w:name w:val="acthead5"/>
    <w:basedOn w:val="Normal"/>
    <w:rsid w:val="0060271B"/>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60271B"/>
  </w:style>
  <w:style w:type="paragraph" w:customStyle="1" w:styleId="subsection">
    <w:name w:val="subsection"/>
    <w:basedOn w:val="Normal"/>
    <w:rsid w:val="0060271B"/>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notetext">
    <w:name w:val="notetext"/>
    <w:basedOn w:val="Normal"/>
    <w:rsid w:val="0060271B"/>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ListparagraphL2">
    <w:name w:val="List paragraph L2"/>
    <w:basedOn w:val="ListParagraph"/>
    <w:qFormat/>
    <w:rsid w:val="00292B50"/>
    <w:pPr>
      <w:numPr>
        <w:ilvl w:val="1"/>
      </w:numPr>
      <w:ind w:left="1418"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76627">
      <w:bodyDiv w:val="1"/>
      <w:marLeft w:val="0"/>
      <w:marRight w:val="0"/>
      <w:marTop w:val="0"/>
      <w:marBottom w:val="0"/>
      <w:divBdr>
        <w:top w:val="none" w:sz="0" w:space="0" w:color="auto"/>
        <w:left w:val="none" w:sz="0" w:space="0" w:color="auto"/>
        <w:bottom w:val="none" w:sz="0" w:space="0" w:color="auto"/>
        <w:right w:val="none" w:sz="0" w:space="0" w:color="auto"/>
      </w:divBdr>
      <w:divsChild>
        <w:div w:id="15473192">
          <w:marLeft w:val="0"/>
          <w:marRight w:val="0"/>
          <w:marTop w:val="0"/>
          <w:marBottom w:val="0"/>
          <w:divBdr>
            <w:top w:val="none" w:sz="0" w:space="0" w:color="auto"/>
            <w:left w:val="none" w:sz="0" w:space="0" w:color="auto"/>
            <w:bottom w:val="none" w:sz="0" w:space="0" w:color="auto"/>
            <w:right w:val="none" w:sz="0" w:space="0" w:color="auto"/>
          </w:divBdr>
          <w:divsChild>
            <w:div w:id="806776052">
              <w:marLeft w:val="0"/>
              <w:marRight w:val="0"/>
              <w:marTop w:val="0"/>
              <w:marBottom w:val="0"/>
              <w:divBdr>
                <w:top w:val="none" w:sz="0" w:space="0" w:color="auto"/>
                <w:left w:val="none" w:sz="0" w:space="0" w:color="auto"/>
                <w:bottom w:val="none" w:sz="0" w:space="0" w:color="auto"/>
                <w:right w:val="none" w:sz="0" w:space="0" w:color="auto"/>
              </w:divBdr>
              <w:divsChild>
                <w:div w:id="2795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564083">
      <w:bodyDiv w:val="1"/>
      <w:marLeft w:val="0"/>
      <w:marRight w:val="0"/>
      <w:marTop w:val="0"/>
      <w:marBottom w:val="0"/>
      <w:divBdr>
        <w:top w:val="none" w:sz="0" w:space="0" w:color="auto"/>
        <w:left w:val="none" w:sz="0" w:space="0" w:color="auto"/>
        <w:bottom w:val="none" w:sz="0" w:space="0" w:color="auto"/>
        <w:right w:val="none" w:sz="0" w:space="0" w:color="auto"/>
      </w:divBdr>
      <w:divsChild>
        <w:div w:id="739525250">
          <w:marLeft w:val="0"/>
          <w:marRight w:val="0"/>
          <w:marTop w:val="0"/>
          <w:marBottom w:val="0"/>
          <w:divBdr>
            <w:top w:val="none" w:sz="0" w:space="0" w:color="auto"/>
            <w:left w:val="none" w:sz="0" w:space="0" w:color="auto"/>
            <w:bottom w:val="none" w:sz="0" w:space="0" w:color="auto"/>
            <w:right w:val="none" w:sz="0" w:space="0" w:color="auto"/>
          </w:divBdr>
          <w:divsChild>
            <w:div w:id="189683426">
              <w:marLeft w:val="0"/>
              <w:marRight w:val="0"/>
              <w:marTop w:val="0"/>
              <w:marBottom w:val="0"/>
              <w:divBdr>
                <w:top w:val="none" w:sz="0" w:space="0" w:color="auto"/>
                <w:left w:val="none" w:sz="0" w:space="0" w:color="auto"/>
                <w:bottom w:val="none" w:sz="0" w:space="0" w:color="auto"/>
                <w:right w:val="none" w:sz="0" w:space="0" w:color="auto"/>
              </w:divBdr>
              <w:divsChild>
                <w:div w:id="298875836">
                  <w:marLeft w:val="0"/>
                  <w:marRight w:val="0"/>
                  <w:marTop w:val="0"/>
                  <w:marBottom w:val="0"/>
                  <w:divBdr>
                    <w:top w:val="none" w:sz="0" w:space="0" w:color="auto"/>
                    <w:left w:val="none" w:sz="0" w:space="0" w:color="auto"/>
                    <w:bottom w:val="none" w:sz="0" w:space="0" w:color="auto"/>
                    <w:right w:val="none" w:sz="0" w:space="0" w:color="auto"/>
                  </w:divBdr>
                  <w:divsChild>
                    <w:div w:id="40934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480483">
      <w:bodyDiv w:val="1"/>
      <w:marLeft w:val="0"/>
      <w:marRight w:val="0"/>
      <w:marTop w:val="0"/>
      <w:marBottom w:val="0"/>
      <w:divBdr>
        <w:top w:val="none" w:sz="0" w:space="0" w:color="auto"/>
        <w:left w:val="none" w:sz="0" w:space="0" w:color="auto"/>
        <w:bottom w:val="none" w:sz="0" w:space="0" w:color="auto"/>
        <w:right w:val="none" w:sz="0" w:space="0" w:color="auto"/>
      </w:divBdr>
    </w:div>
    <w:div w:id="985283424">
      <w:bodyDiv w:val="1"/>
      <w:marLeft w:val="0"/>
      <w:marRight w:val="0"/>
      <w:marTop w:val="0"/>
      <w:marBottom w:val="0"/>
      <w:divBdr>
        <w:top w:val="none" w:sz="0" w:space="0" w:color="auto"/>
        <w:left w:val="none" w:sz="0" w:space="0" w:color="auto"/>
        <w:bottom w:val="none" w:sz="0" w:space="0" w:color="auto"/>
        <w:right w:val="none" w:sz="0" w:space="0" w:color="auto"/>
      </w:divBdr>
      <w:divsChild>
        <w:div w:id="1665209283">
          <w:marLeft w:val="0"/>
          <w:marRight w:val="0"/>
          <w:marTop w:val="0"/>
          <w:marBottom w:val="0"/>
          <w:divBdr>
            <w:top w:val="none" w:sz="0" w:space="0" w:color="auto"/>
            <w:left w:val="none" w:sz="0" w:space="0" w:color="auto"/>
            <w:bottom w:val="none" w:sz="0" w:space="0" w:color="auto"/>
            <w:right w:val="none" w:sz="0" w:space="0" w:color="auto"/>
          </w:divBdr>
        </w:div>
      </w:divsChild>
    </w:div>
    <w:div w:id="1000236733">
      <w:bodyDiv w:val="1"/>
      <w:marLeft w:val="0"/>
      <w:marRight w:val="0"/>
      <w:marTop w:val="0"/>
      <w:marBottom w:val="0"/>
      <w:divBdr>
        <w:top w:val="none" w:sz="0" w:space="0" w:color="auto"/>
        <w:left w:val="none" w:sz="0" w:space="0" w:color="auto"/>
        <w:bottom w:val="none" w:sz="0" w:space="0" w:color="auto"/>
        <w:right w:val="none" w:sz="0" w:space="0" w:color="auto"/>
      </w:divBdr>
    </w:div>
    <w:div w:id="1298337850">
      <w:bodyDiv w:val="1"/>
      <w:marLeft w:val="0"/>
      <w:marRight w:val="0"/>
      <w:marTop w:val="0"/>
      <w:marBottom w:val="0"/>
      <w:divBdr>
        <w:top w:val="none" w:sz="0" w:space="0" w:color="auto"/>
        <w:left w:val="none" w:sz="0" w:space="0" w:color="auto"/>
        <w:bottom w:val="none" w:sz="0" w:space="0" w:color="auto"/>
        <w:right w:val="none" w:sz="0" w:space="0" w:color="auto"/>
      </w:divBdr>
    </w:div>
    <w:div w:id="1323971803">
      <w:bodyDiv w:val="1"/>
      <w:marLeft w:val="0"/>
      <w:marRight w:val="0"/>
      <w:marTop w:val="0"/>
      <w:marBottom w:val="0"/>
      <w:divBdr>
        <w:top w:val="none" w:sz="0" w:space="0" w:color="auto"/>
        <w:left w:val="none" w:sz="0" w:space="0" w:color="auto"/>
        <w:bottom w:val="none" w:sz="0" w:space="0" w:color="auto"/>
        <w:right w:val="none" w:sz="0" w:space="0" w:color="auto"/>
      </w:divBdr>
      <w:divsChild>
        <w:div w:id="305596061">
          <w:marLeft w:val="0"/>
          <w:marRight w:val="0"/>
          <w:marTop w:val="0"/>
          <w:marBottom w:val="0"/>
          <w:divBdr>
            <w:top w:val="single" w:sz="6" w:space="8" w:color="BBBBBB"/>
            <w:left w:val="single" w:sz="6" w:space="8" w:color="BBBBBB"/>
            <w:bottom w:val="single" w:sz="6" w:space="8" w:color="BBBBBB"/>
            <w:right w:val="single" w:sz="6" w:space="8" w:color="BBBBBB"/>
          </w:divBdr>
          <w:divsChild>
            <w:div w:id="14407629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06959503">
      <w:bodyDiv w:val="1"/>
      <w:marLeft w:val="0"/>
      <w:marRight w:val="0"/>
      <w:marTop w:val="0"/>
      <w:marBottom w:val="0"/>
      <w:divBdr>
        <w:top w:val="none" w:sz="0" w:space="0" w:color="auto"/>
        <w:left w:val="none" w:sz="0" w:space="0" w:color="auto"/>
        <w:bottom w:val="none" w:sz="0" w:space="0" w:color="auto"/>
        <w:right w:val="none" w:sz="0" w:space="0" w:color="auto"/>
      </w:divBdr>
      <w:divsChild>
        <w:div w:id="1733045699">
          <w:marLeft w:val="0"/>
          <w:marRight w:val="0"/>
          <w:marTop w:val="0"/>
          <w:marBottom w:val="0"/>
          <w:divBdr>
            <w:top w:val="none" w:sz="0" w:space="0" w:color="auto"/>
            <w:left w:val="none" w:sz="0" w:space="0" w:color="auto"/>
            <w:bottom w:val="none" w:sz="0" w:space="0" w:color="auto"/>
            <w:right w:val="none" w:sz="0" w:space="0" w:color="auto"/>
          </w:divBdr>
        </w:div>
      </w:divsChild>
    </w:div>
    <w:div w:id="1618028095">
      <w:bodyDiv w:val="1"/>
      <w:marLeft w:val="0"/>
      <w:marRight w:val="0"/>
      <w:marTop w:val="0"/>
      <w:marBottom w:val="0"/>
      <w:divBdr>
        <w:top w:val="none" w:sz="0" w:space="0" w:color="auto"/>
        <w:left w:val="none" w:sz="0" w:space="0" w:color="auto"/>
        <w:bottom w:val="none" w:sz="0" w:space="0" w:color="auto"/>
        <w:right w:val="none" w:sz="0" w:space="0" w:color="auto"/>
      </w:divBdr>
    </w:div>
    <w:div w:id="181089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au/Details/F2020C01088" TargetMode="External"/><Relationship Id="rId18" Type="http://schemas.openxmlformats.org/officeDocument/2006/relationships/hyperlink" Target="https://www.dental.wa.gov.au/pdfs/501%20MHPHDS%20Dental%20social%20stories_v4-screen-with-QR%20codeb.pdf" TargetMode="External"/><Relationship Id="rId26" Type="http://schemas.openxmlformats.org/officeDocument/2006/relationships/hyperlink" Target="https://www.health.nsw.gov.au/oralhealth/Pages/default.aspx" TargetMode="External"/><Relationship Id="rId39" Type="http://schemas.openxmlformats.org/officeDocument/2006/relationships/hyperlink" Target="https://www.fdiworlddental.org/sites/default/files/2020-11/fdi_wdc19-whole_mouth_health-proceedings.pdf" TargetMode="External"/><Relationship Id="rId21" Type="http://schemas.openxmlformats.org/officeDocument/2006/relationships/hyperlink" Target="https://www.ada.org.au/Your-Dental-Health/Home" TargetMode="External"/><Relationship Id="rId34" Type="http://schemas.openxmlformats.org/officeDocument/2006/relationships/hyperlink" Target="https://www.aihw.gov.au/reports/dental-oral-health/oral-health-and-dental-care-in-australia" TargetMode="External"/><Relationship Id="rId42" Type="http://schemas.openxmlformats.org/officeDocument/2006/relationships/hyperlink" Target="https://disability.royalcommission.gov.au/publications/exhibit-4-223-exp002200010046-oral-health-intellectual-disability-guide-dental-practitioners" TargetMode="External"/><Relationship Id="rId47" Type="http://schemas.openxmlformats.org/officeDocument/2006/relationships/hyperlink" Target="https://www.saxinstitute.org.au/wp-content/uploads/22.06_Evidence-Snapshot_The-effectiveness-of-oral-health-interventions-for-people-with-disability.pdf" TargetMode="External"/><Relationship Id="rId50" Type="http://schemas.openxmlformats.org/officeDocument/2006/relationships/hyperlink" Target="mailto:contactcentre@ndiscommission.gov.au" TargetMode="External"/><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ndiscommission.gov.au/providers/ndis-code-conduct" TargetMode="External"/><Relationship Id="rId17" Type="http://schemas.openxmlformats.org/officeDocument/2006/relationships/hyperlink" Target="https://inclusionmelbourne.org.au/projects/your-dental-health/" TargetMode="External"/><Relationship Id="rId25" Type="http://schemas.openxmlformats.org/officeDocument/2006/relationships/hyperlink" Target="https://www.healthdirect.gov.au/guide-to-dental-procedures" TargetMode="External"/><Relationship Id="rId33" Type="http://schemas.openxmlformats.org/officeDocument/2006/relationships/hyperlink" Target="https://www.health.act.gov.au/services/dental" TargetMode="External"/><Relationship Id="rId38" Type="http://schemas.openxmlformats.org/officeDocument/2006/relationships/hyperlink" Target="https://doi.org/10.1371/journal.pone.0193953" TargetMode="External"/><Relationship Id="rId46" Type="http://schemas.openxmlformats.org/officeDocument/2006/relationships/hyperlink" Target="https://doi.org/10.3109/13668" TargetMode="External"/><Relationship Id="rId2" Type="http://schemas.openxmlformats.org/officeDocument/2006/relationships/numbering" Target="numbering.xml"/><Relationship Id="rId16" Type="http://schemas.openxmlformats.org/officeDocument/2006/relationships/hyperlink" Target="https://inclusionmelbourne.org.au/projects/your-dental-health/" TargetMode="External"/><Relationship Id="rId20" Type="http://schemas.openxmlformats.org/officeDocument/2006/relationships/hyperlink" Target="https://www.ideas.org.au/blogs/dentists-disability.html" TargetMode="External"/><Relationship Id="rId29" Type="http://schemas.openxmlformats.org/officeDocument/2006/relationships/hyperlink" Target="https://ww2.health.wa.gov.au/Articles/A_E/Dental-Health-Services" TargetMode="External"/><Relationship Id="rId41" Type="http://schemas.openxmlformats.org/officeDocument/2006/relationships/hyperlink" Target="https://www.dentalboard.gov.au/documents/default.aspx?record=WD17%2f23744&amp;dbid=AP&amp;chksum=ZNdmNqeUIgEZjPqBogy66w%3d%3d"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rkforcecapability.ndiscommission.gov.au/framework" TargetMode="External"/><Relationship Id="rId24" Type="http://schemas.openxmlformats.org/officeDocument/2006/relationships/hyperlink" Target="https://www.adelaide.edu.au/arcpoh/dperu/special/disability/" TargetMode="External"/><Relationship Id="rId32" Type="http://schemas.openxmlformats.org/officeDocument/2006/relationships/hyperlink" Target="https://www.dhsv.org.au/" TargetMode="External"/><Relationship Id="rId37" Type="http://schemas.openxmlformats.org/officeDocument/2006/relationships/hyperlink" Target="https://doi.org/10.1111/jar.12415" TargetMode="External"/><Relationship Id="rId40" Type="http://schemas.openxmlformats.org/officeDocument/2006/relationships/hyperlink" Target="https://www.dentalboard.gov.au/registration.aspx" TargetMode="External"/><Relationship Id="rId45" Type="http://schemas.openxmlformats.org/officeDocument/2006/relationships/hyperlink" Target="https://doi.org/10.1186/s12903-020-01354-6"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discommission.gov.au/providers/registered-ndis-providers/provider-obligations-and-requirements/ndis-practice-standards-0" TargetMode="External"/><Relationship Id="rId23" Type="http://schemas.openxmlformats.org/officeDocument/2006/relationships/hyperlink" Target="https://everysmile.dhsv.org.au/" TargetMode="External"/><Relationship Id="rId28" Type="http://schemas.openxmlformats.org/officeDocument/2006/relationships/hyperlink" Target="https://nt.gov.au/wellbeing/hospitals-health-services/dental-services" TargetMode="External"/><Relationship Id="rId36" Type="http://schemas.openxmlformats.org/officeDocument/2006/relationships/hyperlink" Target="https://www.fdiworlddental.org/sites/default/files/2020-11/fdi_wdc19-whole_mouth_health-proceedings.pdf" TargetMode="External"/><Relationship Id="rId49" Type="http://schemas.openxmlformats.org/officeDocument/2006/relationships/hyperlink" Target="https://doi.org/10.1111/cdoe.12564" TargetMode="External"/><Relationship Id="rId57" Type="http://schemas.openxmlformats.org/officeDocument/2006/relationships/theme" Target="theme/theme1.xml"/><Relationship Id="rId10" Type="http://schemas.openxmlformats.org/officeDocument/2006/relationships/hyperlink" Target="https://workforcecapability.ndiscommission.gov.au/framework" TargetMode="External"/><Relationship Id="rId19" Type="http://schemas.openxmlformats.org/officeDocument/2006/relationships/hyperlink" Target="https://ddwa.org.au/shop/planning-to-go-to-the-dentist/" TargetMode="External"/><Relationship Id="rId31" Type="http://schemas.openxmlformats.org/officeDocument/2006/relationships/hyperlink" Target="http://www.dhhs.tas.gov.au/oralhealth" TargetMode="External"/><Relationship Id="rId44" Type="http://schemas.openxmlformats.org/officeDocument/2006/relationships/hyperlink" Target="https://doi.org/10.1007/s10882-018-09656-y"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discommission.gov.au/document/2411" TargetMode="External"/><Relationship Id="rId14" Type="http://schemas.openxmlformats.org/officeDocument/2006/relationships/hyperlink" Target="https://www.legislation.gov.au/Details/F2018N00041" TargetMode="External"/><Relationship Id="rId22" Type="http://schemas.openxmlformats.org/officeDocument/2006/relationships/hyperlink" Target="https://workforcecapability.ndiscommission.gov.au/" TargetMode="External"/><Relationship Id="rId27" Type="http://schemas.openxmlformats.org/officeDocument/2006/relationships/hyperlink" Target="https://www.health.qld.gov.au/oralhealth/services/adult" TargetMode="External"/><Relationship Id="rId30" Type="http://schemas.openxmlformats.org/officeDocument/2006/relationships/hyperlink" Target="https://www.health.qld.gov.au/oralhealth/services/adult" TargetMode="External"/><Relationship Id="rId35" Type="http://schemas.openxmlformats.org/officeDocument/2006/relationships/hyperlink" Target="https://doi.org/10.1016/j.evalprogplan.2014.07.003" TargetMode="External"/><Relationship Id="rId43" Type="http://schemas.openxmlformats.org/officeDocument/2006/relationships/hyperlink" Target="https://www.rcseng.ac.uk/library-and-publications/rcs-publications/docs/oral-health-care/" TargetMode="External"/><Relationship Id="rId48" Type="http://schemas.openxmlformats.org/officeDocument/2006/relationships/hyperlink" Target="https://www.who.int/health-topics/oral-health" TargetMode="External"/><Relationship Id="rId56" Type="http://schemas.openxmlformats.org/officeDocument/2006/relationships/fontTable" Target="fontTable.xml"/><Relationship Id="rId8" Type="http://schemas.openxmlformats.org/officeDocument/2006/relationships/image" Target="media/image1.gif"/><Relationship Id="rId51" Type="http://schemas.openxmlformats.org/officeDocument/2006/relationships/hyperlink" Target="https://www.ndiscommission.gov.au/"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FDI19</b:Tag>
    <b:SourceType>DocumentFromInternetSite</b:SourceType>
    <b:Guid>{C0F176E1-9186-4C84-B9C5-1551B0154CD0}</b:Guid>
    <b:Title>Oral health literacy,behaviour change and empowering patients to improve their health</b:Title>
    <b:Year>2019</b:Year>
    <b:Author>
      <b:Author>
        <b:Corporate>FDI World Dental Federation</b:Corporate>
      </b:Author>
    </b:Author>
    <b:ConferenceName>Proceedings of the Whole of Mouth Health Summit</b:ConferenceName>
    <b:City>San Fransisico</b:City>
    <b:Publisher>FDI World Dental Federation</b:Publisher>
    <b:InternetSiteTitle>FDI World Federation</b:InternetSiteTitle>
    <b:URL>https://www.fdiworlddental.org/resources/proceedings/introducing-the-whole-mouth-health-project-define-a-pathway-to-global-oral-health-literacy</b:URL>
    <b:RefOrder>1</b:RefOrder>
  </b:Source>
  <b:Source>
    <b:Tag>Lim20</b:Tag>
    <b:SourceType>JournalArticle</b:SourceType>
    <b:Guid>{1F5DF321-4D49-4FD9-BBAD-37BC149A6404}</b:Guid>
    <b:Author>
      <b:Author>
        <b:NameList>
          <b:Person>
            <b:Last>Lim</b:Last>
            <b:First>M</b:First>
            <b:Middle>A W T: Liberali, SA C</b:Middle>
          </b:Person>
          <b:Person>
            <b:Last>Borromeo</b:Last>
            <b:First>G.I</b:First>
          </b:Person>
        </b:NameList>
      </b:Author>
    </b:Author>
    <b:Title>Utilisation of dental services for people with special health care needs in Australia</b:Title>
    <b:JournalName>BMC Oral Health 20, 360</b:JournalName>
    <b:Year>2020</b:Year>
    <b:DOI>https://doi.org/10.1186/s12903-020-01354-6</b:DOI>
    <b:RefOrder>2</b:RefOrder>
  </b:Source>
  <b:Source>
    <b:Tag>Org</b:Tag>
    <b:SourceType>InternetSite</b:SourceType>
    <b:Guid>{E172B8E2-CCDC-47A6-8597-83FF5B70EC3D}</b:Guid>
    <b:Title>Oral Health</b:Title>
    <b:Author>
      <b:Author>
        <b:Corporate>WHO</b:Corporate>
      </b:Author>
    </b:Author>
    <b:InternetSiteTitle>WHO</b:InternetSiteTitle>
    <b:URL>https://www.who.int/news-room/fact-sheets/detail/oral-health#:~:text=The%20majority%20of%20oral%20health,the%20mouth%20mostly%20affecting%20children</b:URL>
    <b:RefOrder>3</b:RefOrder>
  </b:Source>
  <b:Source>
    <b:Tag>Wil19</b:Tag>
    <b:SourceType>JournalArticle</b:SourceType>
    <b:Guid>{E4C30016-24BD-4E71-9E08-0BB34E52FBA7}</b:Guid>
    <b:Title>Countering the poor oral health of people with intellectual and developmental disability: a scoping literature review</b:Title>
    <b:Year>2019</b:Year>
    <b:Author>
      <b:Author>
        <b:NameList>
          <b:Person>
            <b:Last>Wilson</b:Last>
            <b:First>N.J</b:First>
          </b:Person>
          <b:Person>
            <b:Last>Lin</b:Last>
            <b:First>Z</b:First>
          </b:Person>
          <b:Person>
            <b:Last>Villarosa</b:Last>
            <b:First>A.</b:First>
            <b:Middle>et al</b:Middle>
          </b:Person>
        </b:NameList>
      </b:Author>
    </b:Author>
    <b:JournalName>MC Public Health 19, 1530</b:JournalName>
    <b:DOI>https://doi.org/10.3109/13668250.2017.1409596</b:DOI>
    <b:RefOrder>4</b:RefOrder>
  </b:Source>
  <b:Source>
    <b:Tag>SAX201</b:Tag>
    <b:SourceType>Report</b:SourceType>
    <b:Guid>{B7C53A68-0154-4371-BB70-471A07FD0A10}</b:Guid>
    <b:Author>
      <b:Author>
        <b:Corporate>SAX Institute</b:Corporate>
      </b:Author>
    </b:Author>
    <b:Title>The effectiveness of oral health interventions for people with disability</b:Title>
    <b:Year>2020</b:Year>
    <b:RefOrder>5</b:RefOrder>
  </b:Source>
  <b:Source>
    <b:Tag>Joi20</b:Tag>
    <b:SourceType>Misc</b:SourceType>
    <b:Guid>{228E49C7-5B96-4FAE-B4BD-E05362CE4D0E}</b:Guid>
    <b:Title>Submission on Oral Health </b:Title>
    <b:Year>2020</b:Year>
    <b:Author>
      <b:Author>
        <b:Corporate>Disability Royal Commission</b:Corporate>
      </b:Author>
    </b:Author>
    <b:URL>https://disability.royalcommission.gov.au/publications/exhibit-4-223-exp002200010046-oral-health-intellectual-disability-guide-dental-practitioners</b:URL>
    <b:RefOrder>6</b:RefOrder>
  </b:Source>
  <b:Source>
    <b:Tag>Have2</b:Tag>
    <b:SourceType>JournalArticle</b:SourceType>
    <b:Guid>{C56BA039-2F02-4F47-BF3A-AF0D705105C7}</b:Guid>
    <b:Title>National health surveillance of adults with disabilities, adults with intellectual and developmental disabilities, and adults with no disabilities</b:Title>
    <b:JournalName>Disability and Health Journal</b:JournalName>
    <b:Year>2015 </b:Year>
    <b:Pages>165-172</b:Pages>
    <b:Author>
      <b:Author>
        <b:NameList>
          <b:Person>
            <b:Last>Havercamp</b:Last>
            <b:First>S</b:First>
            <b:Middle>M</b:Middle>
          </b:Person>
          <b:Person>
            <b:Last>Haleigh</b:Last>
            <b:First>M</b:First>
          </b:Person>
          <b:Person>
            <b:Last>Scott</b:Last>
            <b:First>M</b:First>
            <b:Middle>A</b:Middle>
          </b:Person>
        </b:NameList>
      </b:Author>
    </b:Author>
    <b:DOI>https://doi.org/10.1016/j.dhjo.2014.11.002</b:DOI>
    <b:RefOrder>7</b:RefOrder>
  </b:Source>
  <b:Source>
    <b:Tag>Gal12</b:Tag>
    <b:SourceType>BookSection</b:SourceType>
    <b:Guid>{25268F1A-5152-486B-805A-FF4203EA3395}</b:Guid>
    <b:Author>
      <b:Author>
        <b:NameList>
          <b:Person>
            <b:Last>Gallagher</b:Last>
            <b:First>J</b:First>
          </b:Person>
          <b:Person>
            <b:Last>Scambler</b:Last>
            <b:First>S</b:First>
          </b:Person>
        </b:NameList>
      </b:Author>
      <b:BookAuthor>
        <b:NameList>
          <b:Person>
            <b:Last>Institute</b:Last>
            <b:First>London</b:First>
            <b:Middle>Dental</b:Middle>
          </b:Person>
        </b:NameList>
      </b:BookAuthor>
    </b:Author>
    <b:Title>Disability and Oral Health</b:Title>
    <b:Year>2012</b:Year>
    <b:BookTitle>Learning Disabilities</b:BookTitle>
    <b:Publisher>Kingdom</b:Publisher>
    <b:ChapterNumber>12</b:ChapterNumber>
    <b:RefOrder>8</b:RefOrder>
  </b:Source>
  <b:Source>
    <b:Tag>htt</b:Tag>
    <b:SourceType>JournalArticle</b:SourceType>
    <b:Guid>{E169B8C0-CFB6-4C7B-95E1-6E0447E28BDB}</b:Guid>
    <b:DOI>https://doi.org/10.1016/j.evalprogplan.2014.07.003.</b:DOI>
    <b:Title>Improving the oral health of residents with intellectual and developmental disabilities: An oral health strategy and pilot study</b:Title>
    <b:Year>2014; Vol 47</b:Year>
    <b:JournalName>Evaluation and Program Planning</b:JournalName>
    <b:Pages>54-63</b:Pages>
    <b:Author>
      <b:Author>
        <b:NameList>
          <b:Person>
            <b:Last>Binkley</b:Last>
            <b:First>Catherine</b:First>
            <b:Middle>J</b:Middle>
          </b:Person>
          <b:Person>
            <b:Last>et</b:Last>
            <b:First>al</b:First>
          </b:Person>
        </b:NameList>
      </b:Author>
    </b:Author>
    <b:RefOrder>9</b:RefOrder>
  </b:Source>
  <b:Source>
    <b:Tag>FDI20</b:Tag>
    <b:SourceType>InternetSite</b:SourceType>
    <b:Guid>{9B3BC947-CC71-441B-B86C-9FB8B027CC06}</b:Guid>
    <b:Title>FDI's Definition of Oral Health</b:Title>
    <b:Year>2020</b:Year>
    <b:Author>
      <b:Author>
        <b:Corporate>FDI World Dental Federation</b:Corporate>
      </b:Author>
    </b:Author>
    <b:InternetSiteTitle>FDI World Dental Federation</b:InternetSiteTitle>
    <b:URL>https://www.fdiworlddental.org/oral-health/fdi-definition-of-oral-health</b:URL>
    <b:RefOrder>10</b:RefOrder>
  </b:Source>
  <b:Source>
    <b:Tag>Cou18</b:Tag>
    <b:SourceType>JournalArticle</b:SourceType>
    <b:Guid>{3EAA09BA-BDFF-48D7-BA00-5C87720B9B45}</b:Guid>
    <b:Author>
      <b:Author>
        <b:NameList>
          <b:Person>
            <b:Last>Couto</b:Last>
            <b:First>P</b:First>
          </b:Person>
        </b:NameList>
      </b:Author>
    </b:Author>
    <b:Title>Oral health-related quality of life of Portuguese adults with mild intellectual disabilities</b:Title>
    <b:Year>2018</b:Year>
    <b:JournalName>PLoS One</b:JournalName>
    <b:DOI> https://doi.org/10.1371/journal.pone.0193953</b:DOI>
    <b:RefOrder>11</b:RefOrder>
  </b:Source>
  <b:Source>
    <b:Tag>Fac12</b:Tag>
    <b:SourceType>DocumentFromInternetSite</b:SourceType>
    <b:Guid>{866DE1A7-94FF-4EDE-BCC8-1E43AB15F742}</b:Guid>
    <b:Title>Clinical Guidelines and Integrated Care Pathways for People with Learning Disabilities</b:Title>
    <b:Year>2012</b:Year>
    <b:InternetSiteTitle>Royal College of Suregeons England</b:InternetSiteTitle>
    <b:URL>https://www.rcseng.ac.uk/library-and-publications/rcs-publications/docs/oral-health-care/</b:URL>
    <b:Author>
      <b:Author>
        <b:Corporate>Faculty of Dental Surgery</b:Corporate>
      </b:Author>
    </b:Author>
    <b:RefOrder>12</b:RefOrder>
  </b:Source>
  <b:Source>
    <b:Tag>Cha18</b:Tag>
    <b:SourceType>JournalArticle</b:SourceType>
    <b:Guid>{A68FA058-BFF8-46DD-9368-41F20C65D967}</b:Guid>
    <b:Author>
      <b:Author>
        <b:NameList>
          <b:Person>
            <b:Last>Chadwick</b:Last>
            <b:First>D</b:First>
          </b:Person>
          <b:Person>
            <b:Last>Chapman</b:Last>
            <b:First>M:</b:First>
            <b:Middle>Davies, G</b:Middle>
          </b:Person>
        </b:NameList>
      </b:Author>
    </b:Author>
    <b:Title>Factors affecting access to daily oral and dental care among adults with intellectual disabilities</b:Title>
    <b:JournalName>Journal of Applied Research in Intellectual Disabilities</b:JournalName>
    <b:Year>2018</b:Year>
    <b:Pages>379-394.</b:Pages>
    <b:DOI>doi:10.1111/jar.12415</b:DOI>
    <b:RefOrder>13</b:RefOrder>
  </b:Source>
  <b:Source>
    <b:Tag>Pra36</b:Tag>
    <b:SourceType>JournalArticle</b:SourceType>
    <b:Guid>{F75E6874-301C-47B6-BFC3-E9BEDE519ECD}</b:Guid>
    <b:Title>A cognitive behavioural intervention for dental anxiety for people with learning disabilities: A case study</b:Title>
    <b:JournalName>British Journal of Learning Disabilities</b:JournalName>
    <b:Year>2008; 36</b:Year>
    <b:Pages>242-248</b:Pages>
    <b:Author>
      <b:Author>
        <b:NameList>
          <b:Person>
            <b:Last>Pragnell</b:Last>
            <b:First>S</b:First>
            <b:Middle>J, Green, K</b:Middle>
          </b:Person>
        </b:NameList>
      </b:Author>
    </b:Author>
    <b:DOI>doi:10.1111/j.1468-3156.2008.00510.x. </b:DOI>
    <b:RefOrder>14</b:RefOrder>
  </b:Source>
  <b:Source>
    <b:Tag>Cyn19</b:Tag>
    <b:SourceType>JournalArticle</b:SourceType>
    <b:Guid>{66E8B8E8-05CB-4300-B794-D4ECAE8D6924}</b:Guid>
    <b:Author>
      <b:Author>
        <b:NameList>
          <b:Person>
            <b:Last>N</b:Last>
            <b:First>Cynthia</b:First>
          </b:Person>
          <b:Person>
            <b:Last>L</b:Last>
            <b:First>Potter</b:First>
            <b:Middle>J</b:Middle>
          </b:Person>
          <b:Person>
            <b:Last>W</b:Last>
            <b:First>Learman</b:First>
          </b:Person>
          <b:Person>
            <b:Last>K</b:Last>
            <b:First>Learman</b:First>
          </b:Person>
        </b:NameList>
      </b:Author>
    </b:Author>
    <b:Year>2019, 44:3</b:Year>
    <b:Title>Effect of sensory adaptions for routine dental care in individuals with intellectual and developmental disabilities: A preliminary study</b:Title>
    <b:JournalName>Journal of intellectual and developmental disabilities</b:JournalName>
    <b:Pages>305-314</b:Pages>
    <b:DOI>DOI: 10.3109/13668250.2017.1409597</b:DOI>
    <b:RefOrder>15</b:RefOrder>
  </b:Source>
</b:Sources>
</file>

<file path=customXml/itemProps1.xml><?xml version="1.0" encoding="utf-8"?>
<ds:datastoreItem xmlns:ds="http://schemas.openxmlformats.org/officeDocument/2006/customXml" ds:itemID="{BE44F357-48ED-48BE-BA05-DB9F38CC9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2961</Words>
  <Characters>17740</Characters>
  <Application>Microsoft Office Word</Application>
  <DocSecurity>0</DocSecurity>
  <Lines>288</Lines>
  <Paragraphs>137</Paragraphs>
  <ScaleCrop>false</ScaleCrop>
  <HeadingPairs>
    <vt:vector size="2" baseType="variant">
      <vt:variant>
        <vt:lpstr>Title</vt:lpstr>
      </vt:variant>
      <vt:variant>
        <vt:i4>1</vt:i4>
      </vt:variant>
    </vt:vector>
  </HeadingPairs>
  <TitlesOfParts>
    <vt:vector size="1" baseType="lpstr">
      <vt:lpstr>Practice alert: Oral health</vt:lpstr>
    </vt:vector>
  </TitlesOfParts>
  <Company/>
  <LinksUpToDate>false</LinksUpToDate>
  <CharactersWithSpaces>20675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alert: Oral health</dc:title>
  <dc:subject/>
  <dc:creator>NDIS Quality and Safeguards Commission</dc:creator>
  <cp:keywords>[SEC=OFFICIAL]</cp:keywords>
  <dc:description/>
  <cp:lastModifiedBy>MARTIN, Jessica</cp:lastModifiedBy>
  <cp:revision>2</cp:revision>
  <cp:lastPrinted>2023-02-13T00:18:00Z</cp:lastPrinted>
  <dcterms:created xsi:type="dcterms:W3CDTF">2023-02-13T05:10:00Z</dcterms:created>
  <dcterms:modified xsi:type="dcterms:W3CDTF">2023-02-13T05:10:00Z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977838AE6C844034A0C1356DC0E6750F</vt:lpwstr>
  </property>
  <property fmtid="{D5CDD505-2E9C-101B-9397-08002B2CF9AE}" pid="9" name="PM_ProtectiveMarkingValue_Footer">
    <vt:lpwstr>OFFICIAL</vt:lpwstr>
  </property>
  <property fmtid="{D5CDD505-2E9C-101B-9397-08002B2CF9AE}" pid="10" name="PM_Originator_Hash_SHA1">
    <vt:lpwstr>38F9BF24E34B9020E28CEEAE4D48B506C0CA5314</vt:lpwstr>
  </property>
  <property fmtid="{D5CDD505-2E9C-101B-9397-08002B2CF9AE}" pid="11" name="PM_OriginationTimeStamp">
    <vt:lpwstr>2023-02-13T05:09:52Z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A4A79D1534DC147F0C5D6D9CEB7A6FEF</vt:lpwstr>
  </property>
  <property fmtid="{D5CDD505-2E9C-101B-9397-08002B2CF9AE}" pid="20" name="PM_Hash_Salt">
    <vt:lpwstr>32F0995844F4189D04C5211358B28306</vt:lpwstr>
  </property>
  <property fmtid="{D5CDD505-2E9C-101B-9397-08002B2CF9AE}" pid="21" name="PM_Hash_SHA1">
    <vt:lpwstr>DDE528A134EF40000349874B351BB60F194A257D</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_OriginatorUserAccountName_SHA256">
    <vt:lpwstr>3DA78915B1F95C35574819ADC34E0E42975CBC4ACA644FA473261B0E401EB5BC</vt:lpwstr>
  </property>
  <property fmtid="{D5CDD505-2E9C-101B-9397-08002B2CF9AE}" pid="26" name="PM_OriginatorDomainName_SHA256">
    <vt:lpwstr>CE53151D70EF3143B9B6CA1DC053F41E858E2C804CF2EE5AE813E5CCE407743B</vt:lpwstr>
  </property>
</Properties>
</file>