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C37BD" w14:textId="77777777" w:rsidR="00981D61" w:rsidRDefault="00981D61">
      <w:pPr>
        <w:pStyle w:val="TOC1"/>
        <w:rPr>
          <w:rFonts w:ascii="Calibri Light" w:eastAsiaTheme="majorEastAsia" w:hAnsi="Calibri Light" w:cs="Calibri Light"/>
          <w:color w:val="612C69"/>
          <w:sz w:val="48"/>
          <w:szCs w:val="48"/>
        </w:rPr>
      </w:pPr>
      <w:bookmarkStart w:id="0" w:name="_GoBack"/>
      <w:bookmarkEnd w:id="0"/>
      <w:r w:rsidRPr="00981D61">
        <w:rPr>
          <w:rFonts w:ascii="Calibri Light" w:eastAsiaTheme="majorEastAsia" w:hAnsi="Calibri Light" w:cs="Calibri Light"/>
          <w:b/>
          <w:color w:val="612C69"/>
          <w:sz w:val="48"/>
          <w:szCs w:val="48"/>
        </w:rPr>
        <w:t>Public Health Order vaccination mandate dates</w:t>
      </w:r>
      <w:r w:rsidRPr="00981D61">
        <w:rPr>
          <w:rFonts w:ascii="Calibri Light" w:eastAsiaTheme="majorEastAsia" w:hAnsi="Calibri Light" w:cs="Calibri Light"/>
          <w:color w:val="612C69"/>
          <w:sz w:val="48"/>
          <w:szCs w:val="48"/>
        </w:rPr>
        <w:t xml:space="preserve"> </w:t>
      </w:r>
    </w:p>
    <w:p w14:paraId="7DB36647" w14:textId="6DBDC401" w:rsidR="00FE2888" w:rsidRDefault="005D2A18">
      <w:pPr>
        <w:pStyle w:val="TOC1"/>
        <w:rPr>
          <w:rFonts w:asciiTheme="minorHAnsi" w:eastAsiaTheme="minorEastAsia" w:hAnsiTheme="minorHAnsi"/>
          <w:noProof/>
          <w:sz w:val="22"/>
          <w:lang w:eastAsia="en-AU"/>
        </w:rPr>
      </w:pPr>
      <w:r>
        <w:fldChar w:fldCharType="begin"/>
      </w:r>
      <w:r>
        <w:instrText xml:space="preserve"> TOC \o "1-1" \h \z \u </w:instrText>
      </w:r>
      <w:r>
        <w:fldChar w:fldCharType="separate"/>
      </w:r>
      <w:hyperlink w:anchor="_Toc114669961" w:history="1">
        <w:r w:rsidR="00FE2888" w:rsidRPr="0039622C">
          <w:rPr>
            <w:rStyle w:val="Hyperlink"/>
            <w:noProof/>
          </w:rPr>
          <w:t>New South Wales</w:t>
        </w:r>
        <w:r w:rsidR="00FE2888">
          <w:rPr>
            <w:noProof/>
            <w:webHidden/>
          </w:rPr>
          <w:tab/>
        </w:r>
        <w:r w:rsidR="00FE2888">
          <w:rPr>
            <w:noProof/>
            <w:webHidden/>
          </w:rPr>
          <w:fldChar w:fldCharType="begin"/>
        </w:r>
        <w:r w:rsidR="00FE2888">
          <w:rPr>
            <w:noProof/>
            <w:webHidden/>
          </w:rPr>
          <w:instrText xml:space="preserve"> PAGEREF _Toc114669961 \h </w:instrText>
        </w:r>
        <w:r w:rsidR="00FE2888">
          <w:rPr>
            <w:noProof/>
            <w:webHidden/>
          </w:rPr>
        </w:r>
        <w:r w:rsidR="00FE2888">
          <w:rPr>
            <w:noProof/>
            <w:webHidden/>
          </w:rPr>
          <w:fldChar w:fldCharType="separate"/>
        </w:r>
        <w:r w:rsidR="00FE2888">
          <w:rPr>
            <w:noProof/>
            <w:webHidden/>
          </w:rPr>
          <w:t>2</w:t>
        </w:r>
        <w:r w:rsidR="00FE2888">
          <w:rPr>
            <w:noProof/>
            <w:webHidden/>
          </w:rPr>
          <w:fldChar w:fldCharType="end"/>
        </w:r>
      </w:hyperlink>
    </w:p>
    <w:p w14:paraId="6667A8C7" w14:textId="1BFC0B4C" w:rsidR="00FE2888" w:rsidRDefault="001032A6">
      <w:pPr>
        <w:pStyle w:val="TOC1"/>
        <w:rPr>
          <w:rFonts w:asciiTheme="minorHAnsi" w:eastAsiaTheme="minorEastAsia" w:hAnsiTheme="minorHAnsi"/>
          <w:noProof/>
          <w:sz w:val="22"/>
          <w:lang w:eastAsia="en-AU"/>
        </w:rPr>
      </w:pPr>
      <w:hyperlink w:anchor="_Toc114669962" w:history="1">
        <w:r w:rsidR="00FE2888" w:rsidRPr="0039622C">
          <w:rPr>
            <w:rStyle w:val="Hyperlink"/>
            <w:noProof/>
          </w:rPr>
          <w:t>Victoria</w:t>
        </w:r>
        <w:r w:rsidR="00FE2888">
          <w:rPr>
            <w:noProof/>
            <w:webHidden/>
          </w:rPr>
          <w:tab/>
        </w:r>
        <w:r w:rsidR="005707BF">
          <w:rPr>
            <w:noProof/>
            <w:webHidden/>
          </w:rPr>
          <w:t>3</w:t>
        </w:r>
      </w:hyperlink>
    </w:p>
    <w:p w14:paraId="31C2C538" w14:textId="72B1C71E" w:rsidR="00FE2888" w:rsidRDefault="001032A6">
      <w:pPr>
        <w:pStyle w:val="TOC1"/>
        <w:rPr>
          <w:rFonts w:asciiTheme="minorHAnsi" w:eastAsiaTheme="minorEastAsia" w:hAnsiTheme="minorHAnsi"/>
          <w:noProof/>
          <w:sz w:val="22"/>
          <w:lang w:eastAsia="en-AU"/>
        </w:rPr>
      </w:pPr>
      <w:hyperlink w:anchor="_Toc114669963" w:history="1">
        <w:r w:rsidR="00FE2888" w:rsidRPr="0039622C">
          <w:rPr>
            <w:rStyle w:val="Hyperlink"/>
            <w:noProof/>
          </w:rPr>
          <w:t>Australian Capital Territory</w:t>
        </w:r>
        <w:r w:rsidR="00FE2888">
          <w:rPr>
            <w:noProof/>
            <w:webHidden/>
          </w:rPr>
          <w:tab/>
        </w:r>
        <w:r w:rsidR="005707BF">
          <w:rPr>
            <w:noProof/>
            <w:webHidden/>
          </w:rPr>
          <w:t>4</w:t>
        </w:r>
      </w:hyperlink>
    </w:p>
    <w:p w14:paraId="6CC564A3" w14:textId="1B1568BB" w:rsidR="00FE2888" w:rsidRDefault="001032A6">
      <w:pPr>
        <w:pStyle w:val="TOC1"/>
        <w:rPr>
          <w:rFonts w:asciiTheme="minorHAnsi" w:eastAsiaTheme="minorEastAsia" w:hAnsiTheme="minorHAnsi"/>
          <w:noProof/>
          <w:sz w:val="22"/>
          <w:lang w:eastAsia="en-AU"/>
        </w:rPr>
      </w:pPr>
      <w:hyperlink w:anchor="_Toc114669964" w:history="1">
        <w:r w:rsidR="00FE2888" w:rsidRPr="0039622C">
          <w:rPr>
            <w:rStyle w:val="Hyperlink"/>
            <w:noProof/>
          </w:rPr>
          <w:t>Northern Territory</w:t>
        </w:r>
        <w:r w:rsidR="00FE2888">
          <w:rPr>
            <w:noProof/>
            <w:webHidden/>
          </w:rPr>
          <w:tab/>
        </w:r>
        <w:r w:rsidR="000038F6">
          <w:rPr>
            <w:noProof/>
            <w:webHidden/>
          </w:rPr>
          <w:t>4</w:t>
        </w:r>
      </w:hyperlink>
    </w:p>
    <w:p w14:paraId="6BB2BE7E" w14:textId="36F9C62F" w:rsidR="00FE2888" w:rsidRDefault="001032A6">
      <w:pPr>
        <w:pStyle w:val="TOC1"/>
        <w:rPr>
          <w:rFonts w:asciiTheme="minorHAnsi" w:eastAsiaTheme="minorEastAsia" w:hAnsiTheme="minorHAnsi"/>
          <w:noProof/>
          <w:sz w:val="22"/>
          <w:lang w:eastAsia="en-AU"/>
        </w:rPr>
      </w:pPr>
      <w:hyperlink w:anchor="_Toc114669966" w:history="1">
        <w:r w:rsidR="00FE2888" w:rsidRPr="0039622C">
          <w:rPr>
            <w:rStyle w:val="Hyperlink"/>
            <w:noProof/>
          </w:rPr>
          <w:t>Tasmania</w:t>
        </w:r>
        <w:r w:rsidR="00FE2888">
          <w:rPr>
            <w:noProof/>
            <w:webHidden/>
          </w:rPr>
          <w:tab/>
        </w:r>
        <w:r w:rsidR="000038F6">
          <w:rPr>
            <w:noProof/>
            <w:webHidden/>
          </w:rPr>
          <w:t>5</w:t>
        </w:r>
      </w:hyperlink>
    </w:p>
    <w:p w14:paraId="77154739" w14:textId="44959557" w:rsidR="00FE2888" w:rsidRDefault="001032A6">
      <w:pPr>
        <w:pStyle w:val="TOC1"/>
        <w:rPr>
          <w:rFonts w:asciiTheme="minorHAnsi" w:eastAsiaTheme="minorEastAsia" w:hAnsiTheme="minorHAnsi"/>
          <w:noProof/>
          <w:sz w:val="22"/>
          <w:lang w:eastAsia="en-AU"/>
        </w:rPr>
      </w:pPr>
      <w:hyperlink w:anchor="_Toc114669968" w:history="1">
        <w:r w:rsidR="00FE2888" w:rsidRPr="0039622C">
          <w:rPr>
            <w:rStyle w:val="Hyperlink"/>
            <w:noProof/>
          </w:rPr>
          <w:t>South Australia</w:t>
        </w:r>
        <w:r w:rsidR="00FE2888">
          <w:rPr>
            <w:noProof/>
            <w:webHidden/>
          </w:rPr>
          <w:tab/>
        </w:r>
        <w:r w:rsidR="000038F6">
          <w:rPr>
            <w:noProof/>
            <w:webHidden/>
          </w:rPr>
          <w:t>5</w:t>
        </w:r>
      </w:hyperlink>
    </w:p>
    <w:p w14:paraId="065A42A8" w14:textId="411E7AD9" w:rsidR="00FE2888" w:rsidRDefault="001032A6">
      <w:pPr>
        <w:pStyle w:val="TOC1"/>
        <w:rPr>
          <w:rFonts w:asciiTheme="minorHAnsi" w:eastAsiaTheme="minorEastAsia" w:hAnsiTheme="minorHAnsi"/>
          <w:noProof/>
          <w:sz w:val="22"/>
          <w:lang w:eastAsia="en-AU"/>
        </w:rPr>
      </w:pPr>
      <w:hyperlink w:anchor="_Toc114669969" w:history="1">
        <w:r w:rsidR="00FE2888" w:rsidRPr="0039622C">
          <w:rPr>
            <w:rStyle w:val="Hyperlink"/>
            <w:noProof/>
          </w:rPr>
          <w:t>Queensland</w:t>
        </w:r>
        <w:r w:rsidR="00FE2888">
          <w:rPr>
            <w:noProof/>
            <w:webHidden/>
          </w:rPr>
          <w:tab/>
        </w:r>
        <w:r w:rsidR="000038F6">
          <w:rPr>
            <w:noProof/>
            <w:webHidden/>
          </w:rPr>
          <w:t>6</w:t>
        </w:r>
      </w:hyperlink>
    </w:p>
    <w:p w14:paraId="4FBBDEB4" w14:textId="6A120D8A" w:rsidR="00FE2888" w:rsidRDefault="001032A6">
      <w:pPr>
        <w:pStyle w:val="TOC1"/>
        <w:rPr>
          <w:rFonts w:asciiTheme="minorHAnsi" w:eastAsiaTheme="minorEastAsia" w:hAnsiTheme="minorHAnsi"/>
          <w:noProof/>
          <w:sz w:val="22"/>
          <w:lang w:eastAsia="en-AU"/>
        </w:rPr>
      </w:pPr>
      <w:hyperlink w:anchor="_Toc114669970" w:history="1">
        <w:r w:rsidR="00FE2888" w:rsidRPr="0039622C">
          <w:rPr>
            <w:rStyle w:val="Hyperlink"/>
            <w:noProof/>
          </w:rPr>
          <w:t>Western Australia</w:t>
        </w:r>
        <w:r w:rsidR="00FE2888">
          <w:rPr>
            <w:noProof/>
            <w:webHidden/>
          </w:rPr>
          <w:tab/>
        </w:r>
        <w:r w:rsidR="000038F6">
          <w:rPr>
            <w:noProof/>
            <w:webHidden/>
          </w:rPr>
          <w:t>7</w:t>
        </w:r>
      </w:hyperlink>
    </w:p>
    <w:p w14:paraId="2866DA23" w14:textId="763F1F85" w:rsidR="00981D61" w:rsidRDefault="005D2A18" w:rsidP="00981D61">
      <w:r>
        <w:fldChar w:fldCharType="end"/>
      </w:r>
      <w:bookmarkStart w:id="1" w:name="_Toc78465102"/>
      <w:bookmarkStart w:id="2" w:name="_Toc78471708"/>
    </w:p>
    <w:p w14:paraId="0CCB3B46" w14:textId="77777777" w:rsidR="00981D61" w:rsidRPr="00981D61" w:rsidRDefault="00981D61" w:rsidP="00981D61">
      <w:pPr>
        <w:rPr>
          <w:sz w:val="20"/>
          <w:szCs w:val="20"/>
        </w:rPr>
      </w:pPr>
      <w:r w:rsidRPr="00981D61">
        <w:rPr>
          <w:sz w:val="20"/>
          <w:szCs w:val="20"/>
        </w:rPr>
        <w:t>The below</w:t>
      </w:r>
      <w:r>
        <w:rPr>
          <w:sz w:val="20"/>
          <w:szCs w:val="20"/>
        </w:rPr>
        <w:t xml:space="preserve"> information</w:t>
      </w:r>
      <w:r w:rsidRPr="00981D61">
        <w:rPr>
          <w:sz w:val="20"/>
          <w:szCs w:val="20"/>
        </w:rPr>
        <w:t xml:space="preserve"> provides a summary of the COVID-19 vaccination requirements applying to workers delivering NDIS-funded supports or services. The table provides high level guidance only and does not address a range of variables under each state and territory Public Health Order or Direction.</w:t>
      </w:r>
    </w:p>
    <w:p w14:paraId="6BAD95A3" w14:textId="792D6EA0" w:rsidR="00981D61" w:rsidRDefault="00981D61" w:rsidP="00981D61">
      <w:pPr>
        <w:rPr>
          <w:sz w:val="20"/>
          <w:szCs w:val="20"/>
        </w:rPr>
      </w:pPr>
      <w:r w:rsidRPr="00981D61">
        <w:rPr>
          <w:b/>
          <w:sz w:val="20"/>
          <w:szCs w:val="20"/>
        </w:rPr>
        <w:t>NOTE:</w:t>
      </w:r>
      <w:r w:rsidRPr="00981D61">
        <w:rPr>
          <w:sz w:val="20"/>
          <w:szCs w:val="20"/>
        </w:rPr>
        <w:t xml:space="preserve"> The information in this table is accurate as at </w:t>
      </w:r>
      <w:r w:rsidR="00E31B7F">
        <w:rPr>
          <w:b/>
          <w:sz w:val="20"/>
          <w:szCs w:val="20"/>
        </w:rPr>
        <w:t>14 November</w:t>
      </w:r>
      <w:r w:rsidRPr="00981D61">
        <w:rPr>
          <w:b/>
          <w:sz w:val="20"/>
          <w:szCs w:val="20"/>
        </w:rPr>
        <w:t xml:space="preserve"> 2022</w:t>
      </w:r>
      <w:r w:rsidRPr="00981D61">
        <w:rPr>
          <w:sz w:val="20"/>
          <w:szCs w:val="20"/>
        </w:rPr>
        <w:t xml:space="preserve">. You are responsible for confirming whether there have been any changes to the Public Health Orders or Directions made after that date. </w:t>
      </w:r>
    </w:p>
    <w:p w14:paraId="7D528AAB" w14:textId="77777777" w:rsidR="00981D61" w:rsidRDefault="00981D61" w:rsidP="00981D61">
      <w:pPr>
        <w:rPr>
          <w:rFonts w:ascii="Times New Roman" w:hAnsi="Times New Roman"/>
          <w:i/>
          <w:iCs/>
        </w:rPr>
      </w:pPr>
      <w:r>
        <w:rPr>
          <w:i/>
          <w:iCs/>
        </w:rPr>
        <w:t xml:space="preserve">The material in this Reference Guide is of a general nature and should not be regarded as legal advice or relied on for assistance in any particular circumstance or emergency situation. In any important matter, you should seek appropriate independent professional advice in relation to your own circumstances. The Reference Guide contains material that is a simplified interpretation of the law relating to State and Territory COVID-19 vaccination requirements for ease of comprehension. Individual circumstances may require a greater level of understanding than provided for in the Reference Guide. Users should note that COVID vaccination requirements are a constantly evolving area and relevant law and mandates change over time. The NDIS Quality and Safeguards Commission accepts no responsibility or liability for any damage, loss or expense incurred as a result of the reliance on information contained in this Reference Guide. This Reference Guide has been prepared for reference material only and does not indicate the NDIS Quality and Safeguards Commission’s commitment to a particular course of action. Additionally, any third party views or recommendations included in this Reference Guide do not reflect the views of the NDIS Quality and Safeguards Commission, or indicate its commitment to a particular course of action. </w:t>
      </w:r>
    </w:p>
    <w:p w14:paraId="629EB715" w14:textId="77777777" w:rsidR="00981D61" w:rsidRPr="00981D61" w:rsidRDefault="00981D61" w:rsidP="00981D61">
      <w:pPr>
        <w:rPr>
          <w:sz w:val="20"/>
          <w:szCs w:val="20"/>
        </w:rPr>
      </w:pPr>
    </w:p>
    <w:p w14:paraId="7DE28F4B" w14:textId="77777777" w:rsidR="005227A3" w:rsidRPr="005707BF" w:rsidRDefault="005227A3" w:rsidP="00C815F8">
      <w:pPr>
        <w:pStyle w:val="Heading1"/>
        <w:rPr>
          <w:u w:val="single"/>
        </w:rPr>
      </w:pPr>
      <w:bookmarkStart w:id="3" w:name="_Toc114669961"/>
      <w:r w:rsidRPr="005707BF">
        <w:rPr>
          <w:u w:val="single"/>
        </w:rPr>
        <w:lastRenderedPageBreak/>
        <w:t>New South Wales</w:t>
      </w:r>
      <w:bookmarkEnd w:id="3"/>
      <w:r w:rsidRPr="005707BF">
        <w:rPr>
          <w:u w:val="single"/>
        </w:rPr>
        <w:t xml:space="preserve"> </w:t>
      </w:r>
      <w:bookmarkEnd w:id="1"/>
      <w:bookmarkEnd w:id="2"/>
    </w:p>
    <w:p w14:paraId="77A03B4F" w14:textId="77777777" w:rsidR="00981D61" w:rsidRDefault="00981D61" w:rsidP="00C815F8">
      <w:pPr>
        <w:pStyle w:val="Heading2"/>
      </w:pPr>
      <w:bookmarkStart w:id="4" w:name="_Toc78465103"/>
      <w:r w:rsidRPr="00981D61">
        <w:t>Vaccine doses required by Public Health Order/Directions</w:t>
      </w:r>
    </w:p>
    <w:p w14:paraId="59104AB2" w14:textId="77777777" w:rsidR="004860F8" w:rsidRDefault="004860F8" w:rsidP="004860F8">
      <w:pPr>
        <w:spacing w:before="120" w:after="120"/>
        <w:rPr>
          <w:sz w:val="20"/>
          <w:szCs w:val="20"/>
        </w:rPr>
      </w:pPr>
      <w:r>
        <w:rPr>
          <w:sz w:val="20"/>
          <w:szCs w:val="20"/>
        </w:rPr>
        <w:t>Three (3) doses of a COVID-19 vaccine</w:t>
      </w:r>
    </w:p>
    <w:p w14:paraId="610E7863" w14:textId="77777777" w:rsidR="004860F8" w:rsidRPr="00E70817" w:rsidRDefault="004860F8" w:rsidP="004860F8">
      <w:pPr>
        <w:spacing w:before="120" w:after="120"/>
        <w:rPr>
          <w:b/>
          <w:sz w:val="20"/>
          <w:szCs w:val="20"/>
        </w:rPr>
      </w:pPr>
      <w:r w:rsidRPr="00E70817">
        <w:rPr>
          <w:b/>
          <w:sz w:val="20"/>
          <w:szCs w:val="20"/>
        </w:rPr>
        <w:t>OR</w:t>
      </w:r>
    </w:p>
    <w:p w14:paraId="032D531F" w14:textId="77777777" w:rsidR="004860F8" w:rsidRDefault="004860F8" w:rsidP="004860F8">
      <w:pPr>
        <w:spacing w:before="120" w:after="120"/>
        <w:rPr>
          <w:sz w:val="20"/>
          <w:szCs w:val="20"/>
        </w:rPr>
      </w:pPr>
      <w:r>
        <w:rPr>
          <w:sz w:val="20"/>
          <w:szCs w:val="20"/>
        </w:rPr>
        <w:t>Two (2) doses of a COVID-19 vaccine AND it is not after the later of the following dates:</w:t>
      </w:r>
    </w:p>
    <w:p w14:paraId="7CDA87FA" w14:textId="77777777" w:rsidR="004860F8" w:rsidRDefault="004860F8" w:rsidP="004860F8">
      <w:pPr>
        <w:pStyle w:val="ListParagraph"/>
        <w:numPr>
          <w:ilvl w:val="0"/>
          <w:numId w:val="19"/>
        </w:numPr>
        <w:spacing w:before="120" w:after="120"/>
        <w:ind w:left="438"/>
        <w:rPr>
          <w:sz w:val="20"/>
          <w:szCs w:val="20"/>
        </w:rPr>
      </w:pPr>
      <w:r w:rsidRPr="00E70817">
        <w:rPr>
          <w:sz w:val="20"/>
          <w:szCs w:val="20"/>
        </w:rPr>
        <w:t>12 April 2022</w:t>
      </w:r>
      <w:r>
        <w:rPr>
          <w:sz w:val="20"/>
          <w:szCs w:val="20"/>
        </w:rPr>
        <w:t>;</w:t>
      </w:r>
      <w:r w:rsidRPr="00E70817">
        <w:rPr>
          <w:sz w:val="20"/>
          <w:szCs w:val="20"/>
        </w:rPr>
        <w:t xml:space="preserve"> or</w:t>
      </w:r>
    </w:p>
    <w:p w14:paraId="669F791B" w14:textId="77777777" w:rsidR="004860F8" w:rsidRDefault="004860F8" w:rsidP="004860F8">
      <w:pPr>
        <w:pStyle w:val="ListParagraph"/>
        <w:numPr>
          <w:ilvl w:val="0"/>
          <w:numId w:val="19"/>
        </w:numPr>
        <w:spacing w:before="120" w:after="120"/>
        <w:ind w:left="438"/>
        <w:rPr>
          <w:sz w:val="20"/>
          <w:szCs w:val="20"/>
        </w:rPr>
      </w:pPr>
      <w:r>
        <w:rPr>
          <w:sz w:val="20"/>
          <w:szCs w:val="20"/>
        </w:rPr>
        <w:t>Six (6) weeks after the due date* for the person’s third dose of a COVID-19 vaccine</w:t>
      </w:r>
    </w:p>
    <w:p w14:paraId="0EF5F853" w14:textId="77777777" w:rsidR="004860F8" w:rsidRPr="00E70817" w:rsidRDefault="004860F8" w:rsidP="004860F8">
      <w:pPr>
        <w:spacing w:before="120" w:after="120"/>
        <w:rPr>
          <w:b/>
          <w:sz w:val="20"/>
          <w:szCs w:val="20"/>
        </w:rPr>
      </w:pPr>
      <w:r>
        <w:rPr>
          <w:b/>
          <w:sz w:val="20"/>
          <w:szCs w:val="20"/>
        </w:rPr>
        <w:t>OR</w:t>
      </w:r>
    </w:p>
    <w:p w14:paraId="0D4430C4" w14:textId="77777777" w:rsidR="004860F8" w:rsidRDefault="004860F8" w:rsidP="004860F8">
      <w:pPr>
        <w:spacing w:before="120" w:after="120"/>
        <w:rPr>
          <w:sz w:val="20"/>
          <w:szCs w:val="20"/>
        </w:rPr>
      </w:pPr>
      <w:r>
        <w:rPr>
          <w:sz w:val="20"/>
          <w:szCs w:val="20"/>
        </w:rPr>
        <w:t>Valid exemption applies</w:t>
      </w:r>
    </w:p>
    <w:p w14:paraId="0C0F93EA" w14:textId="77777777" w:rsidR="00981D61" w:rsidRPr="00981D61" w:rsidRDefault="00981D61" w:rsidP="004860F8">
      <w:pPr>
        <w:pStyle w:val="Heading2"/>
      </w:pPr>
      <w:r w:rsidRPr="00981D61">
        <w:t>Link to State/Territory public health guidance about vaccine requirements for disability workers</w:t>
      </w:r>
    </w:p>
    <w:p w14:paraId="4CAA4123" w14:textId="77777777" w:rsidR="004860F8" w:rsidRPr="004860F8" w:rsidRDefault="001032A6" w:rsidP="004860F8">
      <w:pPr>
        <w:spacing w:before="120" w:after="120"/>
        <w:rPr>
          <w:rStyle w:val="Hyperlink"/>
          <w:sz w:val="20"/>
          <w:szCs w:val="20"/>
        </w:rPr>
      </w:pPr>
      <w:hyperlink r:id="rId8" w:history="1">
        <w:r w:rsidR="004860F8" w:rsidRPr="004860F8">
          <w:rPr>
            <w:rStyle w:val="Hyperlink"/>
            <w:sz w:val="20"/>
            <w:szCs w:val="20"/>
          </w:rPr>
          <w:t>Disability service providers - COVID-19 (Coronavirus) (nsw.gov.au)</w:t>
        </w:r>
      </w:hyperlink>
    </w:p>
    <w:p w14:paraId="3A91C058" w14:textId="77777777" w:rsidR="004860F8" w:rsidRPr="004860F8" w:rsidRDefault="001032A6" w:rsidP="004860F8">
      <w:pPr>
        <w:spacing w:before="120" w:after="120"/>
        <w:rPr>
          <w:rStyle w:val="Hyperlink"/>
          <w:sz w:val="20"/>
          <w:szCs w:val="20"/>
        </w:rPr>
      </w:pPr>
      <w:hyperlink r:id="rId9" w:history="1">
        <w:r w:rsidR="004860F8" w:rsidRPr="004860F8">
          <w:rPr>
            <w:rStyle w:val="Hyperlink"/>
            <w:sz w:val="20"/>
            <w:szCs w:val="20"/>
          </w:rPr>
          <w:t>Advice to residential disability care facilities (RDCF) - COVID-19 (Coronavirus) (nsw.gov.au)</w:t>
        </w:r>
      </w:hyperlink>
    </w:p>
    <w:p w14:paraId="048CC7A4" w14:textId="77777777" w:rsidR="00981D61" w:rsidRPr="00981D61" w:rsidRDefault="00981D61" w:rsidP="004860F8">
      <w:pPr>
        <w:pStyle w:val="Heading2"/>
      </w:pPr>
      <w:r w:rsidRPr="00981D61">
        <w:t>Public Health Orders/Directions</w:t>
      </w:r>
    </w:p>
    <w:p w14:paraId="27D37FA0" w14:textId="77777777" w:rsidR="00B84931" w:rsidRPr="00115894" w:rsidRDefault="001032A6" w:rsidP="00B84931">
      <w:pPr>
        <w:spacing w:before="120"/>
        <w:rPr>
          <w:rStyle w:val="Hyperlink"/>
          <w:rFonts w:cs="Arial"/>
          <w:sz w:val="20"/>
          <w:szCs w:val="20"/>
        </w:rPr>
      </w:pPr>
      <w:hyperlink r:id="rId10" w:history="1">
        <w:r w:rsidR="00B84931" w:rsidRPr="00115894">
          <w:rPr>
            <w:rStyle w:val="Hyperlink"/>
            <w:rFonts w:cs="Arial"/>
            <w:sz w:val="20"/>
            <w:szCs w:val="20"/>
          </w:rPr>
          <w:t>Public Health (COVID-19 Care Services) Order (No 3) 2022</w:t>
        </w:r>
      </w:hyperlink>
    </w:p>
    <w:p w14:paraId="77D3D492" w14:textId="5BD63F60" w:rsidR="00B84931" w:rsidRPr="00F542B2" w:rsidRDefault="001032A6" w:rsidP="004860F8">
      <w:pPr>
        <w:spacing w:before="120" w:after="120"/>
        <w:rPr>
          <w:rStyle w:val="Hyperlink"/>
        </w:rPr>
      </w:pPr>
      <w:hyperlink r:id="rId11" w:history="1">
        <w:r w:rsidR="00B84931" w:rsidRPr="00115894">
          <w:rPr>
            <w:rStyle w:val="Hyperlink"/>
            <w:rFonts w:cs="Arial"/>
            <w:sz w:val="20"/>
            <w:szCs w:val="20"/>
          </w:rPr>
          <w:t>Exemption (in relation to essential disability workers) under the Public Health (COVID-19 Care Services) Order (No 3) 2022</w:t>
        </w:r>
      </w:hyperlink>
    </w:p>
    <w:p w14:paraId="148ECEC4" w14:textId="77777777" w:rsidR="004860F8" w:rsidRDefault="001032A6" w:rsidP="004860F8">
      <w:pPr>
        <w:spacing w:before="120" w:after="120"/>
        <w:rPr>
          <w:rStyle w:val="Hyperlink"/>
          <w:sz w:val="20"/>
          <w:szCs w:val="20"/>
        </w:rPr>
      </w:pPr>
      <w:hyperlink r:id="rId12" w:history="1">
        <w:r w:rsidR="004860F8" w:rsidRPr="00000406">
          <w:rPr>
            <w:rStyle w:val="Hyperlink"/>
            <w:sz w:val="20"/>
            <w:szCs w:val="20"/>
          </w:rPr>
          <w:t>Exemption (in relation to persons under 16) under the Public Health (COVID-19 Care Services) Order 2022</w:t>
        </w:r>
      </w:hyperlink>
    </w:p>
    <w:p w14:paraId="459EF411" w14:textId="77777777" w:rsidR="004860F8" w:rsidRPr="00000406" w:rsidRDefault="001032A6" w:rsidP="004860F8">
      <w:pPr>
        <w:spacing w:before="120" w:after="120"/>
        <w:rPr>
          <w:sz w:val="20"/>
          <w:szCs w:val="20"/>
        </w:rPr>
      </w:pPr>
      <w:hyperlink r:id="rId13" w:history="1">
        <w:r w:rsidR="004860F8" w:rsidRPr="006C671F">
          <w:rPr>
            <w:rStyle w:val="Hyperlink"/>
            <w:sz w:val="20"/>
            <w:szCs w:val="20"/>
          </w:rPr>
          <w:t>Exemption under Public Health (COVID-19 Care Services) Order 2022</w:t>
        </w:r>
      </w:hyperlink>
      <w:r w:rsidR="004860F8">
        <w:rPr>
          <w:sz w:val="20"/>
          <w:szCs w:val="20"/>
        </w:rPr>
        <w:t xml:space="preserve"> </w:t>
      </w:r>
    </w:p>
    <w:p w14:paraId="7E061939" w14:textId="77777777" w:rsidR="00981D61" w:rsidRDefault="00981D61" w:rsidP="00981D61">
      <w:pPr>
        <w:pStyle w:val="Heading2"/>
      </w:pPr>
      <w:r w:rsidRPr="00981D61">
        <w:t>Key details of vaccination requirements in Public Health Orders/Directions</w:t>
      </w:r>
    </w:p>
    <w:p w14:paraId="4B0292DF" w14:textId="77777777" w:rsidR="004860F8" w:rsidRPr="00E20592" w:rsidRDefault="004860F8" w:rsidP="004860F8">
      <w:pPr>
        <w:pStyle w:val="ListParagraph"/>
        <w:numPr>
          <w:ilvl w:val="0"/>
          <w:numId w:val="14"/>
        </w:numPr>
        <w:spacing w:before="120" w:after="120"/>
        <w:rPr>
          <w:sz w:val="20"/>
          <w:szCs w:val="20"/>
        </w:rPr>
      </w:pPr>
      <w:r w:rsidRPr="005B3AE6">
        <w:rPr>
          <w:b/>
          <w:sz w:val="20"/>
          <w:szCs w:val="20"/>
        </w:rPr>
        <w:t>Applies to people who</w:t>
      </w:r>
      <w:r>
        <w:rPr>
          <w:b/>
          <w:sz w:val="20"/>
          <w:szCs w:val="20"/>
        </w:rPr>
        <w:t xml:space="preserve"> provide</w:t>
      </w:r>
      <w:r w:rsidRPr="005B3AE6">
        <w:rPr>
          <w:b/>
          <w:sz w:val="20"/>
          <w:szCs w:val="20"/>
        </w:rPr>
        <w:t xml:space="preserve"> ‘disability service</w:t>
      </w:r>
      <w:r>
        <w:rPr>
          <w:b/>
          <w:sz w:val="20"/>
          <w:szCs w:val="20"/>
        </w:rPr>
        <w:t>s</w:t>
      </w:r>
      <w:r w:rsidRPr="005B3AE6">
        <w:rPr>
          <w:b/>
          <w:sz w:val="20"/>
          <w:szCs w:val="20"/>
        </w:rPr>
        <w:t xml:space="preserve">’ </w:t>
      </w:r>
      <w:r>
        <w:rPr>
          <w:b/>
          <w:sz w:val="20"/>
          <w:szCs w:val="20"/>
        </w:rPr>
        <w:t xml:space="preserve">which includes </w:t>
      </w:r>
      <w:r w:rsidRPr="005B3AE6">
        <w:rPr>
          <w:b/>
          <w:sz w:val="20"/>
          <w:szCs w:val="20"/>
        </w:rPr>
        <w:t xml:space="preserve">services </w:t>
      </w:r>
      <w:r>
        <w:rPr>
          <w:b/>
          <w:sz w:val="20"/>
          <w:szCs w:val="20"/>
        </w:rPr>
        <w:t xml:space="preserve">provided in person to a person with a disability, including services </w:t>
      </w:r>
      <w:r w:rsidRPr="005B3AE6">
        <w:rPr>
          <w:b/>
          <w:sz w:val="20"/>
          <w:szCs w:val="20"/>
        </w:rPr>
        <w:t>funded or provided by the NDIS</w:t>
      </w:r>
      <w:r>
        <w:rPr>
          <w:b/>
          <w:sz w:val="20"/>
          <w:szCs w:val="20"/>
        </w:rPr>
        <w:t xml:space="preserve"> (disability service workers).</w:t>
      </w:r>
    </w:p>
    <w:p w14:paraId="3CC955E5" w14:textId="77777777" w:rsidR="004860F8" w:rsidRDefault="004860F8" w:rsidP="004860F8">
      <w:pPr>
        <w:pStyle w:val="ListParagraph"/>
        <w:numPr>
          <w:ilvl w:val="0"/>
          <w:numId w:val="14"/>
        </w:numPr>
        <w:spacing w:before="120" w:after="120"/>
        <w:rPr>
          <w:sz w:val="20"/>
          <w:szCs w:val="20"/>
        </w:rPr>
      </w:pPr>
      <w:r>
        <w:rPr>
          <w:sz w:val="20"/>
          <w:szCs w:val="20"/>
        </w:rPr>
        <w:t>Requires such workers to have received the following doses of a COVID-19 vaccine to provide disability services unless an exemption applies:</w:t>
      </w:r>
    </w:p>
    <w:p w14:paraId="12F106B7" w14:textId="77777777" w:rsidR="004860F8" w:rsidRDefault="004860F8" w:rsidP="004860F8">
      <w:pPr>
        <w:pStyle w:val="ListParagraph"/>
        <w:numPr>
          <w:ilvl w:val="0"/>
          <w:numId w:val="20"/>
        </w:numPr>
        <w:spacing w:before="120" w:after="120"/>
        <w:rPr>
          <w:sz w:val="20"/>
          <w:szCs w:val="20"/>
        </w:rPr>
      </w:pPr>
      <w:r>
        <w:rPr>
          <w:sz w:val="20"/>
          <w:szCs w:val="20"/>
        </w:rPr>
        <w:t>Three (3) doses of a COVID-19 vaccine; OR</w:t>
      </w:r>
    </w:p>
    <w:p w14:paraId="439B49C3" w14:textId="77777777" w:rsidR="004860F8" w:rsidRDefault="004860F8" w:rsidP="004860F8">
      <w:pPr>
        <w:pStyle w:val="ListParagraph"/>
        <w:numPr>
          <w:ilvl w:val="0"/>
          <w:numId w:val="20"/>
        </w:numPr>
        <w:spacing w:before="120" w:after="120"/>
        <w:rPr>
          <w:sz w:val="20"/>
          <w:szCs w:val="20"/>
        </w:rPr>
      </w:pPr>
      <w:r>
        <w:rPr>
          <w:sz w:val="20"/>
          <w:szCs w:val="20"/>
        </w:rPr>
        <w:t>T</w:t>
      </w:r>
      <w:r w:rsidRPr="004116AA">
        <w:rPr>
          <w:sz w:val="20"/>
          <w:szCs w:val="20"/>
        </w:rPr>
        <w:t xml:space="preserve">wo </w:t>
      </w:r>
      <w:r>
        <w:rPr>
          <w:sz w:val="20"/>
          <w:szCs w:val="20"/>
        </w:rPr>
        <w:t xml:space="preserve">(2) </w:t>
      </w:r>
      <w:r w:rsidRPr="004116AA">
        <w:rPr>
          <w:sz w:val="20"/>
          <w:szCs w:val="20"/>
        </w:rPr>
        <w:t xml:space="preserve">doses of a COVID-19 vaccine AND it is not after the later of the following dates: 12 April 2022 or </w:t>
      </w:r>
      <w:r>
        <w:rPr>
          <w:sz w:val="20"/>
          <w:szCs w:val="20"/>
        </w:rPr>
        <w:t>six (6)</w:t>
      </w:r>
      <w:r w:rsidRPr="004116AA">
        <w:rPr>
          <w:sz w:val="20"/>
          <w:szCs w:val="20"/>
        </w:rPr>
        <w:t xml:space="preserve"> weeks after the due date for the worker’s second COVID-19 vaccine dose (</w:t>
      </w:r>
      <w:r>
        <w:rPr>
          <w:sz w:val="20"/>
          <w:szCs w:val="20"/>
        </w:rPr>
        <w:t>*t</w:t>
      </w:r>
      <w:r w:rsidRPr="004116AA">
        <w:rPr>
          <w:sz w:val="20"/>
          <w:szCs w:val="20"/>
        </w:rPr>
        <w:t xml:space="preserve">he due date is the day which is </w:t>
      </w:r>
      <w:r>
        <w:rPr>
          <w:sz w:val="20"/>
          <w:szCs w:val="20"/>
        </w:rPr>
        <w:t>13</w:t>
      </w:r>
      <w:r w:rsidRPr="004116AA">
        <w:rPr>
          <w:sz w:val="20"/>
          <w:szCs w:val="20"/>
        </w:rPr>
        <w:t xml:space="preserve"> weeks after the second COVID-19 vaccine dose</w:t>
      </w:r>
      <w:r>
        <w:rPr>
          <w:sz w:val="20"/>
          <w:szCs w:val="20"/>
        </w:rPr>
        <w:t>).</w:t>
      </w:r>
    </w:p>
    <w:p w14:paraId="376988EB" w14:textId="77777777" w:rsidR="004860F8" w:rsidRPr="00E70817" w:rsidRDefault="004860F8" w:rsidP="004860F8">
      <w:pPr>
        <w:pStyle w:val="ListParagraph"/>
        <w:numPr>
          <w:ilvl w:val="0"/>
          <w:numId w:val="14"/>
        </w:numPr>
        <w:spacing w:before="120" w:after="120"/>
        <w:rPr>
          <w:sz w:val="20"/>
          <w:szCs w:val="20"/>
        </w:rPr>
      </w:pPr>
      <w:r>
        <w:rPr>
          <w:sz w:val="20"/>
          <w:szCs w:val="20"/>
        </w:rPr>
        <w:t>Exemptions are:</w:t>
      </w:r>
    </w:p>
    <w:p w14:paraId="66B6795C" w14:textId="77777777" w:rsidR="004860F8" w:rsidRDefault="004860F8" w:rsidP="004860F8">
      <w:pPr>
        <w:pStyle w:val="ListParagraph"/>
        <w:numPr>
          <w:ilvl w:val="0"/>
          <w:numId w:val="20"/>
        </w:numPr>
        <w:spacing w:before="120" w:after="120"/>
        <w:rPr>
          <w:sz w:val="20"/>
          <w:szCs w:val="20"/>
        </w:rPr>
      </w:pPr>
      <w:r>
        <w:rPr>
          <w:sz w:val="20"/>
          <w:szCs w:val="20"/>
        </w:rPr>
        <w:t xml:space="preserve">Disability service worker is unable, </w:t>
      </w:r>
      <w:r w:rsidRPr="00255FCF">
        <w:rPr>
          <w:sz w:val="20"/>
          <w:szCs w:val="20"/>
        </w:rPr>
        <w:t>due to a medical contraindication, to</w:t>
      </w:r>
      <w:r>
        <w:rPr>
          <w:sz w:val="20"/>
          <w:szCs w:val="20"/>
        </w:rPr>
        <w:t xml:space="preserve"> be vaccinated against COVID-19, and presents a medical contraindication certificate.</w:t>
      </w:r>
    </w:p>
    <w:p w14:paraId="015A9E09" w14:textId="77777777" w:rsidR="004860F8" w:rsidRDefault="004860F8" w:rsidP="004860F8">
      <w:pPr>
        <w:pStyle w:val="ListParagraph"/>
        <w:numPr>
          <w:ilvl w:val="0"/>
          <w:numId w:val="20"/>
        </w:numPr>
        <w:spacing w:before="120" w:after="120"/>
        <w:rPr>
          <w:sz w:val="20"/>
          <w:szCs w:val="20"/>
        </w:rPr>
      </w:pPr>
      <w:r>
        <w:rPr>
          <w:sz w:val="20"/>
          <w:szCs w:val="20"/>
        </w:rPr>
        <w:lastRenderedPageBreak/>
        <w:t xml:space="preserve">An exemption granted by the Minister if the Minister is satisfied the exemption is necessary to protect the health and well-being of persons. </w:t>
      </w:r>
    </w:p>
    <w:p w14:paraId="0C6D6A0F" w14:textId="5E286823" w:rsidR="004860F8" w:rsidRDefault="004860F8" w:rsidP="004860F8">
      <w:pPr>
        <w:pStyle w:val="ListParagraph"/>
        <w:numPr>
          <w:ilvl w:val="0"/>
          <w:numId w:val="20"/>
        </w:numPr>
        <w:spacing w:before="120" w:after="120"/>
        <w:rPr>
          <w:sz w:val="20"/>
          <w:szCs w:val="20"/>
        </w:rPr>
      </w:pPr>
      <w:r>
        <w:rPr>
          <w:sz w:val="20"/>
          <w:szCs w:val="20"/>
        </w:rPr>
        <w:t xml:space="preserve">Disability service worker has had two (2) doses of a COVID-19 vaccine AND has been assessed by the responsible person as essential to the operation of the provision of services to people with disability. </w:t>
      </w:r>
      <w:r w:rsidRPr="00D8128A">
        <w:rPr>
          <w:sz w:val="20"/>
          <w:szCs w:val="20"/>
        </w:rPr>
        <w:t>The exemption is also subject to the condition that the worker take reasonable steps to get vaccinated as soon as p</w:t>
      </w:r>
      <w:r>
        <w:rPr>
          <w:sz w:val="20"/>
          <w:szCs w:val="20"/>
        </w:rPr>
        <w:t xml:space="preserve">racticable. </w:t>
      </w:r>
      <w:r w:rsidR="00B76758" w:rsidRPr="00115894">
        <w:rPr>
          <w:rFonts w:cs="Arial"/>
          <w:sz w:val="20"/>
          <w:szCs w:val="20"/>
        </w:rPr>
        <w:t>This exemption has been extended until 4 December 2022</w:t>
      </w:r>
      <w:r w:rsidR="00B76758">
        <w:rPr>
          <w:rFonts w:cs="Arial"/>
          <w:sz w:val="20"/>
          <w:szCs w:val="20"/>
        </w:rPr>
        <w:t>.</w:t>
      </w:r>
    </w:p>
    <w:p w14:paraId="5C8A6A0F" w14:textId="77777777" w:rsidR="004860F8" w:rsidRDefault="004860F8" w:rsidP="004860F8">
      <w:pPr>
        <w:pStyle w:val="ListParagraph"/>
        <w:numPr>
          <w:ilvl w:val="0"/>
          <w:numId w:val="20"/>
        </w:numPr>
        <w:spacing w:before="120" w:after="120"/>
        <w:rPr>
          <w:sz w:val="20"/>
          <w:szCs w:val="20"/>
        </w:rPr>
      </w:pPr>
      <w:r>
        <w:rPr>
          <w:sz w:val="20"/>
          <w:szCs w:val="20"/>
        </w:rPr>
        <w:t xml:space="preserve">A person who is under the age of 16 years, who has had at least two (2) doses of a COVID-19 vaccine, who provides disability services and the responsible person for a disability service worker allows the person to provide services. </w:t>
      </w:r>
    </w:p>
    <w:p w14:paraId="4513B806" w14:textId="77777777" w:rsidR="004860F8" w:rsidRPr="00E70817" w:rsidRDefault="004860F8" w:rsidP="004860F8">
      <w:pPr>
        <w:pStyle w:val="ListParagraph"/>
        <w:numPr>
          <w:ilvl w:val="0"/>
          <w:numId w:val="20"/>
        </w:numPr>
        <w:spacing w:before="120" w:after="120"/>
        <w:rPr>
          <w:sz w:val="20"/>
          <w:szCs w:val="20"/>
        </w:rPr>
      </w:pPr>
      <w:r>
        <w:rPr>
          <w:sz w:val="20"/>
          <w:szCs w:val="20"/>
        </w:rPr>
        <w:t xml:space="preserve">A person who has had two (2) doses of a COVID-19 vaccine AND was diagnosed with COVID-19 within last four (4) months AND provides evidence of the diagnosis to a responsible person can provide disability services. </w:t>
      </w:r>
    </w:p>
    <w:p w14:paraId="2CBD3C14" w14:textId="77777777" w:rsidR="00E31B7F" w:rsidRPr="00E31B7F" w:rsidRDefault="004860F8" w:rsidP="0044282C">
      <w:pPr>
        <w:pStyle w:val="ListParagraph"/>
        <w:numPr>
          <w:ilvl w:val="0"/>
          <w:numId w:val="14"/>
        </w:numPr>
        <w:spacing w:before="120" w:after="120"/>
      </w:pPr>
      <w:r w:rsidRPr="00F50064">
        <w:rPr>
          <w:sz w:val="20"/>
          <w:szCs w:val="20"/>
        </w:rPr>
        <w:t>Requires disability services workers to provide evidence of the required vaccination if requested to do so.</w:t>
      </w:r>
      <w:bookmarkStart w:id="5" w:name="_Toc114669962"/>
    </w:p>
    <w:p w14:paraId="58C81FF9" w14:textId="77777777" w:rsidR="00E31B7F" w:rsidRPr="005707BF" w:rsidRDefault="00E31B7F" w:rsidP="00E31B7F">
      <w:pPr>
        <w:pStyle w:val="Heading1"/>
        <w:rPr>
          <w:u w:val="single"/>
        </w:rPr>
      </w:pPr>
      <w:bookmarkStart w:id="6" w:name="_Toc114669963"/>
      <w:bookmarkEnd w:id="5"/>
      <w:r w:rsidRPr="005707BF">
        <w:rPr>
          <w:u w:val="single"/>
        </w:rPr>
        <w:t>Victoria</w:t>
      </w:r>
    </w:p>
    <w:p w14:paraId="143893B2" w14:textId="77777777" w:rsidR="009E4E81" w:rsidRDefault="009E4E81" w:rsidP="009E4E81">
      <w:pPr>
        <w:pStyle w:val="Heading2"/>
      </w:pPr>
      <w:r w:rsidRPr="00981D61">
        <w:t>Vaccine doses required by Public Health Order/Directions</w:t>
      </w:r>
    </w:p>
    <w:p w14:paraId="2623FAFF" w14:textId="11788CA1" w:rsidR="009E4E81" w:rsidRDefault="00E31B7F" w:rsidP="009E4E81">
      <w:pPr>
        <w:spacing w:before="120" w:after="120"/>
        <w:rPr>
          <w:sz w:val="20"/>
          <w:szCs w:val="20"/>
        </w:rPr>
      </w:pPr>
      <w:r w:rsidRPr="00E31B7F">
        <w:rPr>
          <w:sz w:val="20"/>
          <w:szCs w:val="20"/>
        </w:rPr>
        <w:t>The mandatory vaccination direction ended as at 12 October 2022.</w:t>
      </w:r>
    </w:p>
    <w:p w14:paraId="4D60D909" w14:textId="77777777" w:rsidR="009E4E81" w:rsidRDefault="009E4E81" w:rsidP="009E4E81">
      <w:pPr>
        <w:pStyle w:val="Heading2"/>
      </w:pPr>
      <w:r w:rsidRPr="00981D61">
        <w:t>Link to State/Territory public health guidance about vaccine requirements for disability workers</w:t>
      </w:r>
    </w:p>
    <w:p w14:paraId="1773044A" w14:textId="2652DC73" w:rsidR="009E4E81" w:rsidRDefault="001032A6" w:rsidP="009E4E81">
      <w:pPr>
        <w:rPr>
          <w:rStyle w:val="Hyperlink"/>
          <w:sz w:val="20"/>
          <w:szCs w:val="20"/>
        </w:rPr>
      </w:pPr>
      <w:hyperlink r:id="rId14" w:anchor="rpl-skip-link" w:history="1">
        <w:r w:rsidR="009E4E81" w:rsidRPr="009E4E81">
          <w:rPr>
            <w:rStyle w:val="Hyperlink"/>
            <w:sz w:val="20"/>
            <w:szCs w:val="20"/>
          </w:rPr>
          <w:t>Vaccination for healthcare workers</w:t>
        </w:r>
      </w:hyperlink>
    </w:p>
    <w:p w14:paraId="32785271" w14:textId="77777777" w:rsidR="009E4E81" w:rsidRDefault="009E4E81" w:rsidP="009E4E81">
      <w:pPr>
        <w:pStyle w:val="Heading2"/>
      </w:pPr>
      <w:r w:rsidRPr="00981D61">
        <w:t>Public Health Orders/Directions</w:t>
      </w:r>
    </w:p>
    <w:p w14:paraId="4CFF7E6F" w14:textId="36AA01FE" w:rsidR="009E4E81" w:rsidRPr="008A0617" w:rsidRDefault="001032A6" w:rsidP="009E4E81">
      <w:pPr>
        <w:rPr>
          <w:rStyle w:val="Hyperlink"/>
          <w:sz w:val="20"/>
          <w:szCs w:val="20"/>
        </w:rPr>
      </w:pPr>
      <w:hyperlink r:id="rId15" w:history="1">
        <w:r w:rsidR="009E4E81" w:rsidRPr="008A0617">
          <w:rPr>
            <w:sz w:val="20"/>
            <w:szCs w:val="20"/>
          </w:rPr>
          <w:t>N</w:t>
        </w:r>
        <w:r w:rsidR="009E4E81">
          <w:rPr>
            <w:sz w:val="20"/>
            <w:szCs w:val="20"/>
          </w:rPr>
          <w:t>/</w:t>
        </w:r>
        <w:r w:rsidR="009E4E81" w:rsidRPr="008A0617">
          <w:rPr>
            <w:sz w:val="20"/>
            <w:szCs w:val="20"/>
          </w:rPr>
          <w:t>A</w:t>
        </w:r>
      </w:hyperlink>
    </w:p>
    <w:p w14:paraId="00A249CF" w14:textId="77777777" w:rsidR="009E4E81" w:rsidRDefault="009E4E81" w:rsidP="009E4E81">
      <w:pPr>
        <w:pStyle w:val="Heading2"/>
      </w:pPr>
      <w:r w:rsidRPr="00981D61">
        <w:t>Key details of vaccination requirements in Public Health Orders/Directions</w:t>
      </w:r>
    </w:p>
    <w:p w14:paraId="7ADCE7CB" w14:textId="4FFCB7E0" w:rsidR="009E4E81" w:rsidRDefault="009E4E81" w:rsidP="009E4E81">
      <w:pPr>
        <w:pStyle w:val="Heading1"/>
        <w:rPr>
          <w:rFonts w:ascii="Calibri" w:eastAsiaTheme="minorHAnsi" w:hAnsi="Calibri" w:cstheme="minorBidi"/>
          <w:b w:val="0"/>
          <w:color w:val="auto"/>
          <w:sz w:val="20"/>
          <w:szCs w:val="20"/>
        </w:rPr>
      </w:pPr>
      <w:r w:rsidRPr="004860F8">
        <w:rPr>
          <w:rFonts w:ascii="Calibri" w:eastAsiaTheme="minorHAnsi" w:hAnsi="Calibri" w:cstheme="minorBidi"/>
          <w:b w:val="0"/>
          <w:color w:val="auto"/>
          <w:sz w:val="20"/>
          <w:szCs w:val="20"/>
        </w:rPr>
        <w:t>The mandatory vaccinati</w:t>
      </w:r>
      <w:r>
        <w:rPr>
          <w:rFonts w:ascii="Calibri" w:eastAsiaTheme="minorHAnsi" w:hAnsi="Calibri" w:cstheme="minorBidi"/>
          <w:b w:val="0"/>
          <w:color w:val="auto"/>
          <w:sz w:val="20"/>
          <w:szCs w:val="20"/>
        </w:rPr>
        <w:t>on direction ended as at 12 October 2022.</w:t>
      </w:r>
    </w:p>
    <w:p w14:paraId="534E3497" w14:textId="77777777" w:rsidR="009E4E81" w:rsidRDefault="009E4E81">
      <w:pPr>
        <w:spacing w:before="120" w:after="120" w:line="240" w:lineRule="auto"/>
        <w:rPr>
          <w:sz w:val="20"/>
          <w:szCs w:val="20"/>
        </w:rPr>
      </w:pPr>
      <w:r>
        <w:rPr>
          <w:b/>
          <w:sz w:val="20"/>
          <w:szCs w:val="20"/>
        </w:rPr>
        <w:br w:type="page"/>
      </w:r>
    </w:p>
    <w:p w14:paraId="11BC55E3" w14:textId="65D7F358" w:rsidR="00981D61" w:rsidRPr="005707BF" w:rsidRDefault="00981D61" w:rsidP="009E4E81">
      <w:pPr>
        <w:pStyle w:val="Heading1"/>
        <w:rPr>
          <w:u w:val="single"/>
        </w:rPr>
      </w:pPr>
      <w:r w:rsidRPr="005707BF">
        <w:rPr>
          <w:u w:val="single"/>
        </w:rPr>
        <w:lastRenderedPageBreak/>
        <w:t>Australian Capital Territory</w:t>
      </w:r>
      <w:bookmarkEnd w:id="6"/>
    </w:p>
    <w:p w14:paraId="013796FF" w14:textId="77777777" w:rsidR="00981D61" w:rsidRDefault="00981D61" w:rsidP="00981D61">
      <w:pPr>
        <w:pStyle w:val="Heading2"/>
      </w:pPr>
      <w:r w:rsidRPr="00981D61">
        <w:t>Vaccine doses required by Public Health Order/Directions</w:t>
      </w:r>
    </w:p>
    <w:p w14:paraId="04A8E5B2" w14:textId="30D918F6" w:rsidR="004860F8" w:rsidRDefault="00E31B7F" w:rsidP="004860F8">
      <w:pPr>
        <w:spacing w:before="120" w:after="120"/>
        <w:rPr>
          <w:sz w:val="20"/>
          <w:szCs w:val="20"/>
        </w:rPr>
      </w:pPr>
      <w:r w:rsidRPr="00E31B7F">
        <w:rPr>
          <w:sz w:val="20"/>
          <w:szCs w:val="20"/>
        </w:rPr>
        <w:t>The mandatory vaccination direction ended as at 30 September 2022.</w:t>
      </w:r>
    </w:p>
    <w:p w14:paraId="5E809CAE" w14:textId="77777777" w:rsidR="00981D61" w:rsidRDefault="00981D61" w:rsidP="00981D61">
      <w:pPr>
        <w:pStyle w:val="Heading2"/>
      </w:pPr>
      <w:r w:rsidRPr="00981D61">
        <w:t>Link to State/Territory public health guidance about vaccine requirements for disability workers</w:t>
      </w:r>
    </w:p>
    <w:p w14:paraId="666178D6" w14:textId="77777777" w:rsidR="009E4E81" w:rsidRDefault="001032A6" w:rsidP="00981D61">
      <w:pPr>
        <w:pStyle w:val="Heading2"/>
        <w:rPr>
          <w:rFonts w:ascii="Calibri" w:eastAsiaTheme="minorHAnsi" w:hAnsi="Calibri" w:cstheme="minorBidi"/>
          <w:b w:val="0"/>
          <w:color w:val="auto"/>
          <w:sz w:val="22"/>
          <w:szCs w:val="22"/>
        </w:rPr>
      </w:pPr>
      <w:hyperlink r:id="rId16" w:history="1">
        <w:r w:rsidR="009E4E81" w:rsidRPr="009E4E81">
          <w:rPr>
            <w:rStyle w:val="Hyperlink"/>
            <w:rFonts w:ascii="Calibri" w:eastAsiaTheme="minorHAnsi" w:hAnsi="Calibri" w:cstheme="minorBidi"/>
            <w:b w:val="0"/>
            <w:sz w:val="22"/>
            <w:szCs w:val="22"/>
          </w:rPr>
          <w:t>COVID-19 management - COVID-19 (act.gov.au)</w:t>
        </w:r>
      </w:hyperlink>
    </w:p>
    <w:p w14:paraId="49DED77B" w14:textId="5D782CF4" w:rsidR="00981D61" w:rsidRDefault="00981D61" w:rsidP="00981D61">
      <w:pPr>
        <w:pStyle w:val="Heading2"/>
      </w:pPr>
      <w:r w:rsidRPr="00981D61">
        <w:t>Public Health Orders/Directions</w:t>
      </w:r>
    </w:p>
    <w:p w14:paraId="04FD6E17" w14:textId="34CEB404" w:rsidR="006E6F39" w:rsidRPr="008A0617" w:rsidRDefault="001032A6" w:rsidP="006E6F39">
      <w:pPr>
        <w:rPr>
          <w:rStyle w:val="Hyperlink"/>
          <w:sz w:val="20"/>
          <w:szCs w:val="20"/>
        </w:rPr>
      </w:pPr>
      <w:hyperlink r:id="rId17" w:history="1">
        <w:r w:rsidR="008A0617" w:rsidRPr="008A0617">
          <w:rPr>
            <w:sz w:val="20"/>
            <w:szCs w:val="20"/>
          </w:rPr>
          <w:t>N</w:t>
        </w:r>
        <w:r w:rsidR="008A0617">
          <w:rPr>
            <w:sz w:val="20"/>
            <w:szCs w:val="20"/>
          </w:rPr>
          <w:t>/</w:t>
        </w:r>
        <w:r w:rsidR="008A0617" w:rsidRPr="008A0617">
          <w:rPr>
            <w:sz w:val="20"/>
            <w:szCs w:val="20"/>
          </w:rPr>
          <w:t>A</w:t>
        </w:r>
      </w:hyperlink>
    </w:p>
    <w:p w14:paraId="09752B1F" w14:textId="77777777" w:rsidR="00981D61" w:rsidRDefault="00981D61" w:rsidP="00981D61">
      <w:pPr>
        <w:pStyle w:val="Heading2"/>
      </w:pPr>
      <w:r w:rsidRPr="00981D61">
        <w:t>Key details of vaccination requirements in Public Health Orders/Directions</w:t>
      </w:r>
    </w:p>
    <w:p w14:paraId="1D0DE8EF" w14:textId="77777777" w:rsidR="00E31B7F" w:rsidRDefault="00FA7F47" w:rsidP="004860F8">
      <w:pPr>
        <w:pStyle w:val="Heading1"/>
        <w:rPr>
          <w:rFonts w:ascii="Calibri" w:eastAsiaTheme="minorHAnsi" w:hAnsi="Calibri" w:cstheme="minorBidi"/>
          <w:b w:val="0"/>
          <w:color w:val="auto"/>
          <w:sz w:val="20"/>
          <w:szCs w:val="20"/>
        </w:rPr>
      </w:pPr>
      <w:r w:rsidRPr="004860F8">
        <w:rPr>
          <w:rFonts w:ascii="Calibri" w:eastAsiaTheme="minorHAnsi" w:hAnsi="Calibri" w:cstheme="minorBidi"/>
          <w:b w:val="0"/>
          <w:color w:val="auto"/>
          <w:sz w:val="20"/>
          <w:szCs w:val="20"/>
        </w:rPr>
        <w:t>The mandatory vaccinati</w:t>
      </w:r>
      <w:r>
        <w:rPr>
          <w:rFonts w:ascii="Calibri" w:eastAsiaTheme="minorHAnsi" w:hAnsi="Calibri" w:cstheme="minorBidi"/>
          <w:b w:val="0"/>
          <w:color w:val="auto"/>
          <w:sz w:val="20"/>
          <w:szCs w:val="20"/>
        </w:rPr>
        <w:t>on direction ended as at 30</w:t>
      </w:r>
      <w:r w:rsidRPr="004860F8">
        <w:rPr>
          <w:rFonts w:ascii="Calibri" w:eastAsiaTheme="minorHAnsi" w:hAnsi="Calibri" w:cstheme="minorBidi"/>
          <w:b w:val="0"/>
          <w:color w:val="auto"/>
          <w:sz w:val="20"/>
          <w:szCs w:val="20"/>
        </w:rPr>
        <w:t xml:space="preserve"> </w:t>
      </w:r>
      <w:r>
        <w:rPr>
          <w:rFonts w:ascii="Calibri" w:eastAsiaTheme="minorHAnsi" w:hAnsi="Calibri" w:cstheme="minorBidi"/>
          <w:b w:val="0"/>
          <w:color w:val="auto"/>
          <w:sz w:val="20"/>
          <w:szCs w:val="20"/>
        </w:rPr>
        <w:t>S</w:t>
      </w:r>
      <w:r w:rsidR="00B1061E">
        <w:rPr>
          <w:rFonts w:ascii="Calibri" w:eastAsiaTheme="minorHAnsi" w:hAnsi="Calibri" w:cstheme="minorBidi"/>
          <w:b w:val="0"/>
          <w:color w:val="auto"/>
          <w:sz w:val="20"/>
          <w:szCs w:val="20"/>
        </w:rPr>
        <w:t>eptember</w:t>
      </w:r>
      <w:r w:rsidR="00B4492F">
        <w:rPr>
          <w:rFonts w:ascii="Calibri" w:eastAsiaTheme="minorHAnsi" w:hAnsi="Calibri" w:cstheme="minorBidi"/>
          <w:b w:val="0"/>
          <w:color w:val="auto"/>
          <w:sz w:val="20"/>
          <w:szCs w:val="20"/>
        </w:rPr>
        <w:t xml:space="preserve"> 2022</w:t>
      </w:r>
      <w:r w:rsidR="00B43079">
        <w:rPr>
          <w:rFonts w:ascii="Calibri" w:eastAsiaTheme="minorHAnsi" w:hAnsi="Calibri" w:cstheme="minorBidi"/>
          <w:b w:val="0"/>
          <w:color w:val="auto"/>
          <w:sz w:val="20"/>
          <w:szCs w:val="20"/>
        </w:rPr>
        <w:t>.</w:t>
      </w:r>
      <w:bookmarkStart w:id="7" w:name="_Toc114669964"/>
    </w:p>
    <w:p w14:paraId="5DB09081" w14:textId="0E563A79" w:rsidR="00981D61" w:rsidRPr="005707BF" w:rsidRDefault="00981D61" w:rsidP="004860F8">
      <w:pPr>
        <w:pStyle w:val="Heading1"/>
        <w:rPr>
          <w:u w:val="single"/>
        </w:rPr>
      </w:pPr>
      <w:r w:rsidRPr="005707BF">
        <w:rPr>
          <w:u w:val="single"/>
        </w:rPr>
        <w:t>Northern Territory</w:t>
      </w:r>
      <w:bookmarkEnd w:id="7"/>
    </w:p>
    <w:p w14:paraId="59A48C7D" w14:textId="77777777" w:rsidR="00981D61" w:rsidRDefault="00981D61" w:rsidP="00981D61">
      <w:pPr>
        <w:pStyle w:val="Heading2"/>
      </w:pPr>
      <w:r w:rsidRPr="00981D61">
        <w:t>Vaccine doses required by Public Health Order/Directions</w:t>
      </w:r>
    </w:p>
    <w:p w14:paraId="18AE7945" w14:textId="676747A3" w:rsidR="006E6F39" w:rsidRPr="008A0617" w:rsidRDefault="00E31B7F" w:rsidP="006E6F39">
      <w:pPr>
        <w:spacing w:before="120" w:after="120"/>
        <w:rPr>
          <w:sz w:val="20"/>
          <w:szCs w:val="20"/>
        </w:rPr>
      </w:pPr>
      <w:r w:rsidRPr="00E31B7F">
        <w:rPr>
          <w:rFonts w:cs="Arial"/>
          <w:sz w:val="20"/>
          <w:szCs w:val="20"/>
          <w:shd w:val="clear" w:color="auto" w:fill="FFFFFF"/>
        </w:rPr>
        <w:t>The mandatory vaccination direction ended as at 16 June 2022.</w:t>
      </w:r>
    </w:p>
    <w:p w14:paraId="786F0815" w14:textId="77777777" w:rsidR="00981D61" w:rsidRDefault="00981D61" w:rsidP="00981D61">
      <w:pPr>
        <w:pStyle w:val="Heading2"/>
      </w:pPr>
      <w:r w:rsidRPr="00981D61">
        <w:t>Link to State/Territory public health guidance about vaccine requirements for disability workers</w:t>
      </w:r>
    </w:p>
    <w:p w14:paraId="1213AE80" w14:textId="77777777" w:rsidR="00AB2D9A" w:rsidRDefault="001032A6" w:rsidP="00981D61">
      <w:pPr>
        <w:pStyle w:val="Heading2"/>
        <w:rPr>
          <w:rFonts w:ascii="Calibri" w:eastAsiaTheme="minorHAnsi" w:hAnsi="Calibri" w:cstheme="minorBidi"/>
          <w:b w:val="0"/>
          <w:color w:val="auto"/>
          <w:sz w:val="22"/>
          <w:szCs w:val="22"/>
        </w:rPr>
      </w:pPr>
      <w:hyperlink r:id="rId18" w:anchor="booster" w:history="1">
        <w:r w:rsidR="00AB2D9A" w:rsidRPr="00AB2D9A">
          <w:rPr>
            <w:rStyle w:val="Hyperlink"/>
            <w:rFonts w:ascii="Calibri" w:eastAsiaTheme="minorHAnsi" w:hAnsi="Calibri" w:cstheme="minorBidi"/>
            <w:b w:val="0"/>
            <w:sz w:val="22"/>
            <w:szCs w:val="22"/>
          </w:rPr>
          <w:t>Vaccine | NT Health - COVID-19</w:t>
        </w:r>
      </w:hyperlink>
    </w:p>
    <w:p w14:paraId="52B4F78C" w14:textId="0CC8E55C" w:rsidR="00981D61" w:rsidRDefault="00981D61" w:rsidP="00981D61">
      <w:pPr>
        <w:pStyle w:val="Heading2"/>
      </w:pPr>
      <w:r w:rsidRPr="00981D61">
        <w:t>Public Health Orders/Directions</w:t>
      </w:r>
    </w:p>
    <w:p w14:paraId="0389886F" w14:textId="77777777" w:rsidR="006E6F39" w:rsidRPr="00AA3CFC" w:rsidRDefault="001032A6" w:rsidP="006E6F39">
      <w:pPr>
        <w:spacing w:before="120" w:after="120"/>
        <w:rPr>
          <w:sz w:val="20"/>
          <w:shd w:val="clear" w:color="auto" w:fill="FFFFFF"/>
        </w:rPr>
      </w:pPr>
      <w:hyperlink r:id="rId19" w:history="1">
        <w:r w:rsidR="004860F8" w:rsidRPr="00AA3CFC">
          <w:rPr>
            <w:sz w:val="20"/>
            <w:shd w:val="clear" w:color="auto" w:fill="FFFFFF"/>
          </w:rPr>
          <w:t>N/A</w:t>
        </w:r>
      </w:hyperlink>
    </w:p>
    <w:p w14:paraId="4E43C43E" w14:textId="77777777" w:rsidR="00981D61" w:rsidRDefault="00981D61" w:rsidP="00981D61">
      <w:pPr>
        <w:pStyle w:val="Heading2"/>
      </w:pPr>
      <w:r w:rsidRPr="00981D61">
        <w:t>Key details of vaccination requirements in Public Health Orders/Directions</w:t>
      </w:r>
    </w:p>
    <w:p w14:paraId="18CC6806" w14:textId="24265832" w:rsidR="00981D61" w:rsidRPr="004860F8" w:rsidRDefault="004860F8" w:rsidP="00981D61">
      <w:pPr>
        <w:pStyle w:val="Heading1"/>
        <w:rPr>
          <w:b w:val="0"/>
        </w:rPr>
        <w:sectPr w:rsidR="00981D61" w:rsidRPr="004860F8" w:rsidSect="00981D61">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284" w:footer="397" w:gutter="0"/>
          <w:cols w:space="340"/>
          <w:titlePg/>
          <w:docGrid w:linePitch="360"/>
          <w15:footnoteColumns w:val="1"/>
        </w:sectPr>
      </w:pPr>
      <w:bookmarkStart w:id="8" w:name="_Toc114669965"/>
      <w:r w:rsidRPr="004860F8">
        <w:rPr>
          <w:rFonts w:ascii="Calibri" w:eastAsiaTheme="minorHAnsi" w:hAnsi="Calibri" w:cstheme="minorBidi"/>
          <w:b w:val="0"/>
          <w:color w:val="auto"/>
          <w:sz w:val="20"/>
          <w:szCs w:val="20"/>
        </w:rPr>
        <w:t>The mandatory vaccination direction ended as at 16 June 2022.</w:t>
      </w:r>
      <w:bookmarkEnd w:id="8"/>
    </w:p>
    <w:p w14:paraId="74BF7E6D" w14:textId="77777777" w:rsidR="00981D61" w:rsidRPr="005707BF" w:rsidRDefault="00981D61" w:rsidP="00981D61">
      <w:pPr>
        <w:pStyle w:val="Heading1"/>
        <w:rPr>
          <w:u w:val="single"/>
        </w:rPr>
      </w:pPr>
      <w:bookmarkStart w:id="9" w:name="_Toc114669966"/>
      <w:r w:rsidRPr="005707BF">
        <w:rPr>
          <w:u w:val="single"/>
        </w:rPr>
        <w:lastRenderedPageBreak/>
        <w:t>Tasmania</w:t>
      </w:r>
      <w:bookmarkEnd w:id="9"/>
    </w:p>
    <w:p w14:paraId="71620A0A" w14:textId="77777777" w:rsidR="00981D61" w:rsidRDefault="00981D61" w:rsidP="00981D61">
      <w:pPr>
        <w:pStyle w:val="Heading2"/>
      </w:pPr>
      <w:r w:rsidRPr="00981D61">
        <w:t>Vaccine doses required by Public Health Order/Directions</w:t>
      </w:r>
    </w:p>
    <w:p w14:paraId="592817F2" w14:textId="5B361D61" w:rsidR="004860F8" w:rsidRPr="004860F8" w:rsidRDefault="00E31B7F" w:rsidP="004860F8">
      <w:pPr>
        <w:spacing w:before="120" w:after="120"/>
        <w:rPr>
          <w:sz w:val="20"/>
          <w:szCs w:val="20"/>
        </w:rPr>
      </w:pPr>
      <w:r w:rsidRPr="00E31B7F">
        <w:rPr>
          <w:sz w:val="20"/>
          <w:szCs w:val="20"/>
        </w:rPr>
        <w:t>The mandatory vaccination direction ended as at 1 July 2022.</w:t>
      </w:r>
    </w:p>
    <w:p w14:paraId="722B718F" w14:textId="77777777" w:rsidR="00981D61" w:rsidRDefault="00981D61" w:rsidP="004860F8">
      <w:pPr>
        <w:pStyle w:val="Heading2"/>
      </w:pPr>
      <w:r w:rsidRPr="00981D61">
        <w:t>Link to State/Territory public health guidance about vaccine requirements for disability workers</w:t>
      </w:r>
    </w:p>
    <w:p w14:paraId="07B06234" w14:textId="77777777" w:rsidR="0075589C" w:rsidRDefault="001032A6" w:rsidP="00BA7B4E">
      <w:pPr>
        <w:spacing w:before="120" w:after="120"/>
        <w:rPr>
          <w:rStyle w:val="Hyperlink"/>
          <w:b/>
          <w:sz w:val="20"/>
          <w:szCs w:val="20"/>
        </w:rPr>
      </w:pPr>
      <w:hyperlink r:id="rId26" w:history="1">
        <w:r w:rsidR="0075589C" w:rsidRPr="000E4158">
          <w:rPr>
            <w:rStyle w:val="Hyperlink"/>
            <w:sz w:val="20"/>
            <w:szCs w:val="20"/>
          </w:rPr>
          <w:t>Vaccination requirements | Coronavirus disease (COVID-19)</w:t>
        </w:r>
      </w:hyperlink>
    </w:p>
    <w:p w14:paraId="14B4240F" w14:textId="77777777" w:rsidR="00981D61" w:rsidRDefault="00981D61" w:rsidP="00981D61">
      <w:pPr>
        <w:pStyle w:val="Heading2"/>
      </w:pPr>
      <w:r w:rsidRPr="00981D61">
        <w:t>Public Health Orders/Directions</w:t>
      </w:r>
    </w:p>
    <w:p w14:paraId="5DD80BA5" w14:textId="2DA1F33D" w:rsidR="004860F8" w:rsidRPr="008A0617" w:rsidRDefault="0075589C" w:rsidP="004860F8">
      <w:pPr>
        <w:spacing w:before="120" w:after="120"/>
        <w:rPr>
          <w:rStyle w:val="Hyperlink"/>
          <w:sz w:val="20"/>
          <w:szCs w:val="20"/>
          <w:u w:val="none"/>
        </w:rPr>
      </w:pPr>
      <w:r w:rsidRPr="008A0617">
        <w:rPr>
          <w:sz w:val="20"/>
          <w:szCs w:val="20"/>
        </w:rPr>
        <w:t>N/A</w:t>
      </w:r>
    </w:p>
    <w:p w14:paraId="44439B9F" w14:textId="77777777" w:rsidR="00981D61" w:rsidRDefault="00981D61" w:rsidP="00981D61">
      <w:pPr>
        <w:pStyle w:val="Heading2"/>
      </w:pPr>
      <w:r w:rsidRPr="00981D61">
        <w:t>Key details of vaccination requirements in Public Health Orders/Directions</w:t>
      </w:r>
    </w:p>
    <w:p w14:paraId="7586D41C" w14:textId="77777777" w:rsidR="00E31B7F" w:rsidRDefault="0075589C" w:rsidP="00981D61">
      <w:pPr>
        <w:pStyle w:val="Heading1"/>
        <w:rPr>
          <w:rFonts w:ascii="Calibri" w:eastAsiaTheme="minorHAnsi" w:hAnsi="Calibri" w:cstheme="minorBidi"/>
          <w:b w:val="0"/>
          <w:color w:val="auto"/>
          <w:sz w:val="20"/>
          <w:szCs w:val="20"/>
        </w:rPr>
      </w:pPr>
      <w:bookmarkStart w:id="10" w:name="_Toc114669967"/>
      <w:r w:rsidRPr="004860F8">
        <w:rPr>
          <w:rFonts w:ascii="Calibri" w:eastAsiaTheme="minorHAnsi" w:hAnsi="Calibri" w:cstheme="minorBidi"/>
          <w:b w:val="0"/>
          <w:color w:val="auto"/>
          <w:sz w:val="20"/>
          <w:szCs w:val="20"/>
        </w:rPr>
        <w:t xml:space="preserve">The mandatory vaccination direction ended as at </w:t>
      </w:r>
      <w:r>
        <w:rPr>
          <w:rFonts w:ascii="Calibri" w:eastAsiaTheme="minorHAnsi" w:hAnsi="Calibri" w:cstheme="minorBidi"/>
          <w:b w:val="0"/>
          <w:color w:val="auto"/>
          <w:sz w:val="20"/>
          <w:szCs w:val="20"/>
        </w:rPr>
        <w:t>1 July 2022.</w:t>
      </w:r>
      <w:bookmarkStart w:id="11" w:name="_Toc114669968"/>
      <w:bookmarkEnd w:id="10"/>
    </w:p>
    <w:p w14:paraId="11ED4302" w14:textId="419112B0" w:rsidR="00981D61" w:rsidRPr="005707BF" w:rsidRDefault="00981D61" w:rsidP="00981D61">
      <w:pPr>
        <w:pStyle w:val="Heading1"/>
        <w:rPr>
          <w:u w:val="single"/>
        </w:rPr>
      </w:pPr>
      <w:r w:rsidRPr="005707BF">
        <w:rPr>
          <w:u w:val="single"/>
        </w:rPr>
        <w:t>South Australia</w:t>
      </w:r>
      <w:bookmarkEnd w:id="11"/>
    </w:p>
    <w:p w14:paraId="56305182" w14:textId="77777777" w:rsidR="00981D61" w:rsidRDefault="00981D61" w:rsidP="00981D61">
      <w:pPr>
        <w:pStyle w:val="Heading2"/>
      </w:pPr>
      <w:r w:rsidRPr="00981D61">
        <w:t>Vaccine doses required by Public Health Order/Directions</w:t>
      </w:r>
    </w:p>
    <w:p w14:paraId="16B3C165" w14:textId="77777777" w:rsidR="00A20B83" w:rsidRDefault="00A20B83" w:rsidP="00A20B83">
      <w:pPr>
        <w:spacing w:before="120" w:after="120"/>
        <w:rPr>
          <w:sz w:val="20"/>
          <w:szCs w:val="20"/>
        </w:rPr>
      </w:pPr>
      <w:r>
        <w:rPr>
          <w:sz w:val="20"/>
          <w:szCs w:val="20"/>
        </w:rPr>
        <w:t>Three (3) doses of a COVID-19 vaccine</w:t>
      </w:r>
    </w:p>
    <w:p w14:paraId="090EF904" w14:textId="77777777" w:rsidR="00A20B83" w:rsidRPr="00E70817" w:rsidRDefault="00A20B83" w:rsidP="00A20B83">
      <w:pPr>
        <w:spacing w:before="120" w:after="120"/>
        <w:rPr>
          <w:b/>
          <w:sz w:val="20"/>
          <w:szCs w:val="20"/>
        </w:rPr>
      </w:pPr>
      <w:r w:rsidRPr="00E70817">
        <w:rPr>
          <w:b/>
          <w:sz w:val="20"/>
          <w:szCs w:val="20"/>
        </w:rPr>
        <w:t>OR</w:t>
      </w:r>
    </w:p>
    <w:p w14:paraId="1E73C035" w14:textId="77777777" w:rsidR="00A20B83" w:rsidRDefault="00A20B83" w:rsidP="00A20B83">
      <w:pPr>
        <w:spacing w:before="120" w:after="120"/>
        <w:rPr>
          <w:sz w:val="20"/>
          <w:szCs w:val="20"/>
        </w:rPr>
      </w:pPr>
      <w:r>
        <w:rPr>
          <w:sz w:val="20"/>
          <w:szCs w:val="20"/>
        </w:rPr>
        <w:t>Two (2) doses of a COVID-19 vaccine with a booking for a third dose (booster)</w:t>
      </w:r>
    </w:p>
    <w:p w14:paraId="59A17C1B" w14:textId="77777777" w:rsidR="00A20B83" w:rsidRPr="00E70817" w:rsidRDefault="00A20B83" w:rsidP="00A20B83">
      <w:pPr>
        <w:spacing w:before="120" w:after="120"/>
        <w:rPr>
          <w:b/>
          <w:sz w:val="20"/>
          <w:szCs w:val="20"/>
        </w:rPr>
      </w:pPr>
      <w:r w:rsidRPr="00E70817">
        <w:rPr>
          <w:b/>
          <w:sz w:val="20"/>
          <w:szCs w:val="20"/>
        </w:rPr>
        <w:t>O</w:t>
      </w:r>
      <w:r>
        <w:rPr>
          <w:b/>
          <w:sz w:val="20"/>
          <w:szCs w:val="20"/>
        </w:rPr>
        <w:t>R</w:t>
      </w:r>
    </w:p>
    <w:p w14:paraId="23230342" w14:textId="77777777" w:rsidR="00A20B83" w:rsidRDefault="00A20B83" w:rsidP="00A20B83">
      <w:pPr>
        <w:spacing w:before="120" w:after="120"/>
        <w:rPr>
          <w:sz w:val="20"/>
          <w:szCs w:val="20"/>
        </w:rPr>
      </w:pPr>
      <w:r>
        <w:rPr>
          <w:sz w:val="20"/>
          <w:szCs w:val="20"/>
        </w:rPr>
        <w:t>One (1) dose of a COVID-19 vaccine</w:t>
      </w:r>
      <w:r w:rsidRPr="00A76ADD">
        <w:rPr>
          <w:sz w:val="20"/>
          <w:szCs w:val="20"/>
        </w:rPr>
        <w:t xml:space="preserve"> </w:t>
      </w:r>
      <w:r>
        <w:rPr>
          <w:sz w:val="20"/>
          <w:szCs w:val="20"/>
        </w:rPr>
        <w:t>with bookings for second and third doses</w:t>
      </w:r>
    </w:p>
    <w:p w14:paraId="1140C097" w14:textId="77777777" w:rsidR="00A20B83" w:rsidRDefault="00A20B83" w:rsidP="00A20B83">
      <w:pPr>
        <w:spacing w:before="120" w:after="120"/>
        <w:rPr>
          <w:b/>
          <w:sz w:val="20"/>
          <w:szCs w:val="20"/>
        </w:rPr>
      </w:pPr>
      <w:r>
        <w:rPr>
          <w:b/>
          <w:sz w:val="20"/>
          <w:szCs w:val="20"/>
        </w:rPr>
        <w:t>OR</w:t>
      </w:r>
    </w:p>
    <w:p w14:paraId="7C290A83" w14:textId="77777777" w:rsidR="00A20B83" w:rsidRDefault="00A20B83" w:rsidP="00A20B83">
      <w:pPr>
        <w:spacing w:before="120" w:after="120"/>
        <w:rPr>
          <w:sz w:val="20"/>
          <w:szCs w:val="20"/>
        </w:rPr>
      </w:pPr>
      <w:r>
        <w:rPr>
          <w:sz w:val="20"/>
          <w:szCs w:val="20"/>
        </w:rPr>
        <w:t xml:space="preserve">Valid medical exemption </w:t>
      </w:r>
    </w:p>
    <w:p w14:paraId="4D85437E" w14:textId="77777777" w:rsidR="00981D61" w:rsidRDefault="00981D61" w:rsidP="00A20B83">
      <w:pPr>
        <w:pStyle w:val="Heading2"/>
      </w:pPr>
      <w:r w:rsidRPr="00981D61">
        <w:t>Link to State/Territory public health guidance about vaccine requirements for disability workers</w:t>
      </w:r>
    </w:p>
    <w:p w14:paraId="0C7B1503" w14:textId="77777777" w:rsidR="0075589C" w:rsidRPr="000E4158" w:rsidRDefault="001032A6" w:rsidP="0075589C">
      <w:pPr>
        <w:spacing w:before="120" w:after="120"/>
        <w:rPr>
          <w:rStyle w:val="Hyperlink"/>
        </w:rPr>
      </w:pPr>
      <w:hyperlink r:id="rId27" w:history="1">
        <w:r w:rsidR="0075589C" w:rsidRPr="000E4158">
          <w:rPr>
            <w:rStyle w:val="Hyperlink"/>
            <w:sz w:val="20"/>
            <w:szCs w:val="20"/>
          </w:rPr>
          <w:t>COVID-19 | SA Health</w:t>
        </w:r>
      </w:hyperlink>
    </w:p>
    <w:p w14:paraId="68E1DE91" w14:textId="77777777" w:rsidR="00981D61" w:rsidRDefault="00981D61" w:rsidP="00981D61">
      <w:pPr>
        <w:pStyle w:val="Heading2"/>
      </w:pPr>
      <w:r w:rsidRPr="00981D61">
        <w:lastRenderedPageBreak/>
        <w:t>Public Health Orders/Directions</w:t>
      </w:r>
    </w:p>
    <w:p w14:paraId="3C244FA5" w14:textId="77777777" w:rsidR="00A20B83" w:rsidRPr="00A20B83" w:rsidRDefault="001032A6" w:rsidP="00A20B83">
      <w:pPr>
        <w:spacing w:before="120" w:after="120"/>
        <w:rPr>
          <w:rStyle w:val="Hyperlink"/>
          <w:sz w:val="20"/>
          <w:szCs w:val="20"/>
        </w:rPr>
      </w:pPr>
      <w:hyperlink r:id="rId28" w:history="1">
        <w:r w:rsidR="00A20B83" w:rsidRPr="00A20B83">
          <w:rPr>
            <w:rStyle w:val="Hyperlink"/>
            <w:sz w:val="20"/>
            <w:szCs w:val="20"/>
          </w:rPr>
          <w:t>Emergency Management (COVID-19) (In home and Community Aged Care and Disability Support Workers Vaccination No 4) Direction 2022</w:t>
        </w:r>
      </w:hyperlink>
    </w:p>
    <w:p w14:paraId="58104727" w14:textId="77777777" w:rsidR="00981D61" w:rsidRDefault="00981D61" w:rsidP="00981D61">
      <w:pPr>
        <w:pStyle w:val="Heading2"/>
      </w:pPr>
      <w:r w:rsidRPr="00981D61">
        <w:t>Key details of vaccination requirements in Public Health Orders/Directions</w:t>
      </w:r>
    </w:p>
    <w:p w14:paraId="038697AF" w14:textId="77777777" w:rsidR="00A20B83" w:rsidRPr="00E70817" w:rsidRDefault="00A20B83" w:rsidP="00A20B83">
      <w:pPr>
        <w:pStyle w:val="ListParagraph"/>
        <w:numPr>
          <w:ilvl w:val="0"/>
          <w:numId w:val="16"/>
        </w:numPr>
        <w:spacing w:before="120" w:after="120"/>
        <w:rPr>
          <w:b/>
          <w:i/>
          <w:sz w:val="18"/>
          <w:szCs w:val="18"/>
        </w:rPr>
      </w:pPr>
      <w:r w:rsidRPr="00E70817">
        <w:rPr>
          <w:b/>
          <w:sz w:val="20"/>
          <w:szCs w:val="20"/>
        </w:rPr>
        <w:t xml:space="preserve">Applies to a </w:t>
      </w:r>
      <w:r>
        <w:rPr>
          <w:b/>
          <w:sz w:val="20"/>
          <w:szCs w:val="20"/>
        </w:rPr>
        <w:t>‘</w:t>
      </w:r>
      <w:r w:rsidRPr="00E70817">
        <w:rPr>
          <w:b/>
          <w:sz w:val="20"/>
          <w:szCs w:val="20"/>
        </w:rPr>
        <w:t>disability support worker</w:t>
      </w:r>
      <w:r>
        <w:rPr>
          <w:b/>
          <w:sz w:val="20"/>
          <w:szCs w:val="20"/>
        </w:rPr>
        <w:t xml:space="preserve">’, </w:t>
      </w:r>
      <w:r w:rsidRPr="00E70817">
        <w:rPr>
          <w:b/>
          <w:sz w:val="20"/>
          <w:szCs w:val="20"/>
        </w:rPr>
        <w:t xml:space="preserve">who </w:t>
      </w:r>
      <w:r>
        <w:rPr>
          <w:b/>
          <w:sz w:val="20"/>
          <w:szCs w:val="20"/>
        </w:rPr>
        <w:t xml:space="preserve">is a person that </w:t>
      </w:r>
      <w:r w:rsidRPr="00E70817">
        <w:rPr>
          <w:b/>
          <w:sz w:val="20"/>
          <w:szCs w:val="20"/>
        </w:rPr>
        <w:t xml:space="preserve">provides </w:t>
      </w:r>
      <w:r>
        <w:rPr>
          <w:b/>
          <w:sz w:val="20"/>
          <w:szCs w:val="20"/>
        </w:rPr>
        <w:t>'</w:t>
      </w:r>
      <w:r w:rsidRPr="00E70817">
        <w:rPr>
          <w:b/>
          <w:sz w:val="20"/>
          <w:szCs w:val="20"/>
        </w:rPr>
        <w:t>intensive disability support services</w:t>
      </w:r>
      <w:r>
        <w:rPr>
          <w:b/>
          <w:sz w:val="20"/>
          <w:szCs w:val="20"/>
        </w:rPr>
        <w:t>’</w:t>
      </w:r>
      <w:r w:rsidRPr="00E70817">
        <w:rPr>
          <w:b/>
          <w:sz w:val="20"/>
          <w:szCs w:val="20"/>
        </w:rPr>
        <w:t xml:space="preserve"> to a person with disability for or on behalf of a responsible provider in person</w:t>
      </w:r>
      <w:r>
        <w:rPr>
          <w:b/>
          <w:sz w:val="20"/>
          <w:szCs w:val="20"/>
        </w:rPr>
        <w:t>. This would</w:t>
      </w:r>
      <w:r w:rsidRPr="00E70817">
        <w:rPr>
          <w:b/>
          <w:sz w:val="20"/>
          <w:szCs w:val="20"/>
        </w:rPr>
        <w:t xml:space="preserve"> includ</w:t>
      </w:r>
      <w:r>
        <w:rPr>
          <w:b/>
          <w:sz w:val="20"/>
          <w:szCs w:val="20"/>
        </w:rPr>
        <w:t>e</w:t>
      </w:r>
      <w:r w:rsidRPr="00E70817">
        <w:rPr>
          <w:b/>
          <w:sz w:val="20"/>
          <w:szCs w:val="20"/>
        </w:rPr>
        <w:t xml:space="preserve"> registered and unregistered NDIS providers</w:t>
      </w:r>
      <w:r>
        <w:rPr>
          <w:b/>
          <w:sz w:val="20"/>
          <w:szCs w:val="20"/>
        </w:rPr>
        <w:t xml:space="preserve">. ‘Intensive disability support services’ means: </w:t>
      </w:r>
    </w:p>
    <w:p w14:paraId="5D75D95B" w14:textId="77777777" w:rsidR="00A20B83" w:rsidRPr="00E70817" w:rsidRDefault="00A20B83" w:rsidP="00A20B83">
      <w:pPr>
        <w:pStyle w:val="ListParagraph"/>
        <w:numPr>
          <w:ilvl w:val="0"/>
          <w:numId w:val="20"/>
        </w:numPr>
        <w:spacing w:before="120" w:after="120"/>
        <w:rPr>
          <w:sz w:val="20"/>
          <w:szCs w:val="20"/>
        </w:rPr>
      </w:pPr>
      <w:r w:rsidRPr="00E70817">
        <w:rPr>
          <w:sz w:val="20"/>
          <w:szCs w:val="20"/>
        </w:rPr>
        <w:t>assistance with daily life tasks in a group or shared living arrangement;</w:t>
      </w:r>
    </w:p>
    <w:p w14:paraId="0D206E86" w14:textId="77777777" w:rsidR="00A20B83" w:rsidRPr="00E70817" w:rsidRDefault="00A20B83" w:rsidP="00A20B83">
      <w:pPr>
        <w:pStyle w:val="ListParagraph"/>
        <w:numPr>
          <w:ilvl w:val="0"/>
          <w:numId w:val="20"/>
        </w:numPr>
        <w:spacing w:before="120" w:after="120"/>
        <w:rPr>
          <w:sz w:val="20"/>
          <w:szCs w:val="20"/>
        </w:rPr>
      </w:pPr>
      <w:r w:rsidRPr="00E70817">
        <w:rPr>
          <w:sz w:val="20"/>
          <w:szCs w:val="20"/>
        </w:rPr>
        <w:t>group and centre-based activities;</w:t>
      </w:r>
    </w:p>
    <w:p w14:paraId="303CC4D3" w14:textId="77777777" w:rsidR="00A20B83" w:rsidRPr="00E70817" w:rsidRDefault="00A20B83" w:rsidP="00A20B83">
      <w:pPr>
        <w:pStyle w:val="ListParagraph"/>
        <w:numPr>
          <w:ilvl w:val="0"/>
          <w:numId w:val="20"/>
        </w:numPr>
        <w:spacing w:before="120" w:after="120"/>
        <w:rPr>
          <w:sz w:val="20"/>
          <w:szCs w:val="20"/>
        </w:rPr>
      </w:pPr>
      <w:r w:rsidRPr="00E70817">
        <w:rPr>
          <w:sz w:val="20"/>
          <w:szCs w:val="20"/>
        </w:rPr>
        <w:t>specialis</w:t>
      </w:r>
      <w:r>
        <w:rPr>
          <w:sz w:val="20"/>
          <w:szCs w:val="20"/>
        </w:rPr>
        <w:t>ed</w:t>
      </w:r>
      <w:r w:rsidRPr="00E70817">
        <w:rPr>
          <w:sz w:val="20"/>
          <w:szCs w:val="20"/>
        </w:rPr>
        <w:t xml:space="preserve"> supported employment;</w:t>
      </w:r>
    </w:p>
    <w:p w14:paraId="2657AAB2" w14:textId="77777777" w:rsidR="00A20B83" w:rsidRPr="00E70817" w:rsidRDefault="00A20B83" w:rsidP="00A20B83">
      <w:pPr>
        <w:pStyle w:val="ListParagraph"/>
        <w:numPr>
          <w:ilvl w:val="0"/>
          <w:numId w:val="20"/>
        </w:numPr>
        <w:spacing w:before="120" w:after="120"/>
        <w:rPr>
          <w:sz w:val="20"/>
          <w:szCs w:val="20"/>
        </w:rPr>
      </w:pPr>
      <w:r>
        <w:rPr>
          <w:sz w:val="20"/>
          <w:szCs w:val="20"/>
        </w:rPr>
        <w:t xml:space="preserve">assistance with </w:t>
      </w:r>
      <w:r w:rsidRPr="00E70817">
        <w:rPr>
          <w:sz w:val="20"/>
          <w:szCs w:val="20"/>
        </w:rPr>
        <w:t>daily personal activities;</w:t>
      </w:r>
    </w:p>
    <w:p w14:paraId="0C3C328D" w14:textId="77777777" w:rsidR="00A20B83" w:rsidRPr="00E70817" w:rsidRDefault="00A20B83" w:rsidP="00A20B83">
      <w:pPr>
        <w:pStyle w:val="ListParagraph"/>
        <w:numPr>
          <w:ilvl w:val="0"/>
          <w:numId w:val="20"/>
        </w:numPr>
        <w:spacing w:before="120" w:after="120"/>
        <w:rPr>
          <w:sz w:val="20"/>
          <w:szCs w:val="20"/>
        </w:rPr>
      </w:pPr>
      <w:r w:rsidRPr="00E70817">
        <w:rPr>
          <w:sz w:val="20"/>
          <w:szCs w:val="20"/>
        </w:rPr>
        <w:t>community nursing care; and</w:t>
      </w:r>
    </w:p>
    <w:p w14:paraId="7C6C146D" w14:textId="77777777" w:rsidR="00A20B83" w:rsidRPr="00E70817" w:rsidRDefault="00A20B83" w:rsidP="00A20B83">
      <w:pPr>
        <w:pStyle w:val="ListParagraph"/>
        <w:numPr>
          <w:ilvl w:val="0"/>
          <w:numId w:val="20"/>
        </w:numPr>
        <w:spacing w:before="120" w:after="120"/>
        <w:rPr>
          <w:sz w:val="20"/>
          <w:szCs w:val="20"/>
        </w:rPr>
      </w:pPr>
      <w:r w:rsidRPr="00E70817">
        <w:rPr>
          <w:sz w:val="20"/>
          <w:szCs w:val="20"/>
        </w:rPr>
        <w:t>therapeutic supports.</w:t>
      </w:r>
    </w:p>
    <w:p w14:paraId="59588532" w14:textId="77777777" w:rsidR="00A20B83" w:rsidRDefault="00A20B83" w:rsidP="00A20B83">
      <w:pPr>
        <w:pStyle w:val="ListParagraph"/>
        <w:numPr>
          <w:ilvl w:val="0"/>
          <w:numId w:val="15"/>
        </w:numPr>
        <w:spacing w:before="120" w:after="120"/>
        <w:rPr>
          <w:sz w:val="20"/>
          <w:szCs w:val="20"/>
        </w:rPr>
      </w:pPr>
      <w:r>
        <w:rPr>
          <w:sz w:val="20"/>
          <w:szCs w:val="20"/>
        </w:rPr>
        <w:t>Includes workers who are employees, sub-contractors or volunteers.</w:t>
      </w:r>
    </w:p>
    <w:p w14:paraId="33FAA2B6" w14:textId="77777777" w:rsidR="00A20B83" w:rsidRDefault="00A20B83" w:rsidP="00A20B83">
      <w:pPr>
        <w:pStyle w:val="ListParagraph"/>
        <w:numPr>
          <w:ilvl w:val="0"/>
          <w:numId w:val="15"/>
        </w:numPr>
        <w:spacing w:before="120" w:after="120"/>
        <w:rPr>
          <w:sz w:val="20"/>
          <w:szCs w:val="20"/>
        </w:rPr>
      </w:pPr>
      <w:r>
        <w:rPr>
          <w:sz w:val="20"/>
          <w:szCs w:val="20"/>
        </w:rPr>
        <w:t>Such workers must not engage in work or perform the duties of a disability support worker unless they have (unless exempt):</w:t>
      </w:r>
    </w:p>
    <w:p w14:paraId="3140E7E6" w14:textId="77777777" w:rsidR="00A20B83" w:rsidRDefault="00A20B83" w:rsidP="00A20B83">
      <w:pPr>
        <w:pStyle w:val="ListParagraph"/>
        <w:numPr>
          <w:ilvl w:val="0"/>
          <w:numId w:val="20"/>
        </w:numPr>
        <w:spacing w:before="120" w:after="120"/>
        <w:rPr>
          <w:sz w:val="20"/>
          <w:szCs w:val="20"/>
        </w:rPr>
      </w:pPr>
      <w:r>
        <w:rPr>
          <w:sz w:val="20"/>
          <w:szCs w:val="20"/>
        </w:rPr>
        <w:t>received at least one dose of a COVID-19 vaccine; AND</w:t>
      </w:r>
    </w:p>
    <w:p w14:paraId="220D3CD8" w14:textId="77777777" w:rsidR="00A20B83" w:rsidRDefault="00A20B83" w:rsidP="00A20B83">
      <w:pPr>
        <w:pStyle w:val="ListParagraph"/>
        <w:numPr>
          <w:ilvl w:val="0"/>
          <w:numId w:val="20"/>
        </w:numPr>
        <w:spacing w:before="120" w:after="120"/>
        <w:rPr>
          <w:sz w:val="20"/>
          <w:szCs w:val="20"/>
        </w:rPr>
      </w:pPr>
      <w:r>
        <w:rPr>
          <w:sz w:val="20"/>
          <w:szCs w:val="20"/>
        </w:rPr>
        <w:t>received (or has evidence of a booking for) a second dose or have evidence of a booking within the time recommended by ATAGI; AND</w:t>
      </w:r>
    </w:p>
    <w:p w14:paraId="70E3FF96" w14:textId="77777777" w:rsidR="00A20B83" w:rsidRDefault="00A20B83" w:rsidP="00A20B83">
      <w:pPr>
        <w:pStyle w:val="ListParagraph"/>
        <w:numPr>
          <w:ilvl w:val="0"/>
          <w:numId w:val="20"/>
        </w:numPr>
        <w:spacing w:before="120" w:after="120"/>
        <w:rPr>
          <w:sz w:val="20"/>
          <w:szCs w:val="20"/>
        </w:rPr>
      </w:pPr>
      <w:r>
        <w:rPr>
          <w:sz w:val="20"/>
          <w:szCs w:val="20"/>
        </w:rPr>
        <w:t xml:space="preserve">has received a third dose (booster) or evidence of a booking within the </w:t>
      </w:r>
      <w:r w:rsidRPr="00E70817">
        <w:rPr>
          <w:i/>
          <w:sz w:val="20"/>
          <w:szCs w:val="20"/>
        </w:rPr>
        <w:t>prescribed time</w:t>
      </w:r>
      <w:r>
        <w:rPr>
          <w:i/>
          <w:sz w:val="20"/>
          <w:szCs w:val="20"/>
        </w:rPr>
        <w:t xml:space="preserve">, </w:t>
      </w:r>
      <w:r>
        <w:rPr>
          <w:sz w:val="20"/>
          <w:szCs w:val="20"/>
        </w:rPr>
        <w:t>being:</w:t>
      </w:r>
    </w:p>
    <w:p w14:paraId="75D10484" w14:textId="77777777" w:rsidR="00A20B83" w:rsidRPr="00E70817" w:rsidRDefault="00A20B83" w:rsidP="00A20B83">
      <w:pPr>
        <w:pStyle w:val="ListParagraph"/>
        <w:numPr>
          <w:ilvl w:val="1"/>
          <w:numId w:val="16"/>
        </w:numPr>
        <w:spacing w:before="120" w:after="120"/>
        <w:ind w:left="1434" w:hanging="357"/>
        <w:rPr>
          <w:sz w:val="20"/>
          <w:szCs w:val="20"/>
        </w:rPr>
      </w:pPr>
      <w:r w:rsidRPr="00E70817">
        <w:rPr>
          <w:sz w:val="20"/>
          <w:szCs w:val="20"/>
        </w:rPr>
        <w:t>for a person who has been infected wit</w:t>
      </w:r>
      <w:r w:rsidRPr="009A73C0">
        <w:rPr>
          <w:sz w:val="20"/>
          <w:szCs w:val="20"/>
        </w:rPr>
        <w:t xml:space="preserve">h COVID-19, within </w:t>
      </w:r>
      <w:r>
        <w:rPr>
          <w:sz w:val="20"/>
          <w:szCs w:val="20"/>
        </w:rPr>
        <w:t>four (4)</w:t>
      </w:r>
      <w:r w:rsidRPr="009A73C0">
        <w:rPr>
          <w:sz w:val="20"/>
          <w:szCs w:val="20"/>
        </w:rPr>
        <w:t xml:space="preserve"> months of </w:t>
      </w:r>
      <w:r w:rsidRPr="00E70817">
        <w:rPr>
          <w:sz w:val="20"/>
          <w:szCs w:val="20"/>
        </w:rPr>
        <w:t>their first positive COVID-19 test, or within</w:t>
      </w:r>
      <w:r w:rsidRPr="009A73C0">
        <w:rPr>
          <w:sz w:val="20"/>
          <w:szCs w:val="20"/>
        </w:rPr>
        <w:t xml:space="preserve"> </w:t>
      </w:r>
      <w:r>
        <w:rPr>
          <w:sz w:val="20"/>
          <w:szCs w:val="20"/>
        </w:rPr>
        <w:t xml:space="preserve">four (4) </w:t>
      </w:r>
      <w:r w:rsidRPr="009A73C0">
        <w:rPr>
          <w:sz w:val="20"/>
          <w:szCs w:val="20"/>
        </w:rPr>
        <w:t xml:space="preserve">months of their second dose </w:t>
      </w:r>
      <w:r w:rsidRPr="00E70817">
        <w:rPr>
          <w:sz w:val="20"/>
          <w:szCs w:val="20"/>
        </w:rPr>
        <w:t>of a TGA approved or recognised COVID-1</w:t>
      </w:r>
      <w:r w:rsidRPr="009A73C0">
        <w:rPr>
          <w:sz w:val="20"/>
          <w:szCs w:val="20"/>
        </w:rPr>
        <w:t xml:space="preserve">9 vaccine, whichever is later; </w:t>
      </w:r>
      <w:r w:rsidRPr="00E70817">
        <w:rPr>
          <w:sz w:val="20"/>
          <w:szCs w:val="20"/>
        </w:rPr>
        <w:t>and</w:t>
      </w:r>
    </w:p>
    <w:p w14:paraId="6EA732DD" w14:textId="77777777" w:rsidR="00A20B83" w:rsidRPr="009A73C0" w:rsidRDefault="00A20B83" w:rsidP="00A20B83">
      <w:pPr>
        <w:pStyle w:val="ListParagraph"/>
        <w:numPr>
          <w:ilvl w:val="1"/>
          <w:numId w:val="16"/>
        </w:numPr>
        <w:spacing w:before="120" w:after="120"/>
        <w:ind w:left="1434" w:hanging="357"/>
      </w:pPr>
      <w:r w:rsidRPr="00E70817">
        <w:rPr>
          <w:sz w:val="20"/>
          <w:szCs w:val="20"/>
        </w:rPr>
        <w:t xml:space="preserve">for any other person, within </w:t>
      </w:r>
      <w:r>
        <w:rPr>
          <w:sz w:val="20"/>
          <w:szCs w:val="20"/>
        </w:rPr>
        <w:t>four (4)</w:t>
      </w:r>
      <w:r w:rsidRPr="00E70817">
        <w:rPr>
          <w:sz w:val="20"/>
          <w:szCs w:val="20"/>
        </w:rPr>
        <w:t xml:space="preserve"> months o</w:t>
      </w:r>
      <w:r w:rsidRPr="009A73C0">
        <w:rPr>
          <w:sz w:val="20"/>
          <w:szCs w:val="20"/>
        </w:rPr>
        <w:t xml:space="preserve">f their second dose of a TGA </w:t>
      </w:r>
      <w:r w:rsidRPr="00E70817">
        <w:rPr>
          <w:sz w:val="20"/>
          <w:szCs w:val="20"/>
        </w:rPr>
        <w:t>approved</w:t>
      </w:r>
      <w:r w:rsidRPr="009A73C0">
        <w:rPr>
          <w:sz w:val="20"/>
          <w:szCs w:val="20"/>
        </w:rPr>
        <w:t xml:space="preserve"> or recognised COVID-19 vaccine</w:t>
      </w:r>
      <w:r>
        <w:rPr>
          <w:sz w:val="20"/>
          <w:szCs w:val="20"/>
        </w:rPr>
        <w:t>.</w:t>
      </w:r>
    </w:p>
    <w:p w14:paraId="1F572C51" w14:textId="77777777" w:rsidR="00A20B83" w:rsidRPr="00E70817" w:rsidRDefault="00A20B83" w:rsidP="00A20B83">
      <w:pPr>
        <w:pStyle w:val="ListParagraph"/>
        <w:numPr>
          <w:ilvl w:val="0"/>
          <w:numId w:val="15"/>
        </w:numPr>
        <w:rPr>
          <w:sz w:val="20"/>
          <w:szCs w:val="20"/>
        </w:rPr>
      </w:pPr>
      <w:r w:rsidRPr="00781860">
        <w:rPr>
          <w:sz w:val="20"/>
          <w:szCs w:val="20"/>
        </w:rPr>
        <w:t>An exemption means the person</w:t>
      </w:r>
      <w:r>
        <w:rPr>
          <w:sz w:val="20"/>
          <w:szCs w:val="20"/>
        </w:rPr>
        <w:t xml:space="preserve"> </w:t>
      </w:r>
      <w:r w:rsidRPr="00E70817">
        <w:rPr>
          <w:sz w:val="20"/>
          <w:szCs w:val="20"/>
        </w:rPr>
        <w:t>has a valid medical exemption</w:t>
      </w:r>
      <w:r>
        <w:rPr>
          <w:sz w:val="20"/>
          <w:szCs w:val="20"/>
        </w:rPr>
        <w:t>.</w:t>
      </w:r>
    </w:p>
    <w:p w14:paraId="6E4BE5C8" w14:textId="77777777" w:rsidR="00A20B83" w:rsidRDefault="00A20B83" w:rsidP="00A20B83">
      <w:pPr>
        <w:pStyle w:val="ListParagraph"/>
        <w:numPr>
          <w:ilvl w:val="0"/>
          <w:numId w:val="15"/>
        </w:numPr>
        <w:spacing w:before="120" w:after="120"/>
        <w:rPr>
          <w:sz w:val="20"/>
          <w:szCs w:val="20"/>
        </w:rPr>
      </w:pPr>
      <w:r w:rsidRPr="00E70817">
        <w:rPr>
          <w:sz w:val="20"/>
          <w:szCs w:val="20"/>
        </w:rPr>
        <w:t>Employers must</w:t>
      </w:r>
      <w:r>
        <w:rPr>
          <w:sz w:val="20"/>
          <w:szCs w:val="20"/>
        </w:rPr>
        <w:t>:</w:t>
      </w:r>
    </w:p>
    <w:p w14:paraId="70BB18FF" w14:textId="77777777" w:rsidR="00A20B83" w:rsidRDefault="00A20B83" w:rsidP="00A20B83">
      <w:pPr>
        <w:pStyle w:val="ListParagraph"/>
        <w:numPr>
          <w:ilvl w:val="0"/>
          <w:numId w:val="20"/>
        </w:numPr>
        <w:spacing w:before="120" w:after="120"/>
        <w:rPr>
          <w:sz w:val="20"/>
          <w:szCs w:val="20"/>
        </w:rPr>
      </w:pPr>
      <w:r>
        <w:rPr>
          <w:sz w:val="20"/>
          <w:szCs w:val="20"/>
        </w:rPr>
        <w:t xml:space="preserve">not permit a person to engage in work or perform duties who does not meet the vaccination requirements (unless the worker is exempt); </w:t>
      </w:r>
    </w:p>
    <w:p w14:paraId="54BAEBD7" w14:textId="77777777" w:rsidR="00A20B83" w:rsidRDefault="00A20B83" w:rsidP="00A20B83">
      <w:pPr>
        <w:pStyle w:val="ListParagraph"/>
        <w:numPr>
          <w:ilvl w:val="0"/>
          <w:numId w:val="20"/>
        </w:numPr>
        <w:spacing w:before="120" w:after="120"/>
        <w:rPr>
          <w:sz w:val="20"/>
          <w:szCs w:val="20"/>
        </w:rPr>
      </w:pPr>
      <w:r>
        <w:rPr>
          <w:sz w:val="20"/>
          <w:szCs w:val="20"/>
        </w:rPr>
        <w:t>maintain records of the vaccination status of workers; and</w:t>
      </w:r>
    </w:p>
    <w:p w14:paraId="29A9F59E" w14:textId="77777777" w:rsidR="006D5EFD" w:rsidRPr="006D5EFD" w:rsidRDefault="00A20B83" w:rsidP="00105B16">
      <w:pPr>
        <w:pStyle w:val="ListParagraph"/>
        <w:numPr>
          <w:ilvl w:val="0"/>
          <w:numId w:val="20"/>
        </w:numPr>
        <w:spacing w:before="120" w:after="120"/>
      </w:pPr>
      <w:r w:rsidRPr="006D5EFD">
        <w:rPr>
          <w:sz w:val="20"/>
          <w:szCs w:val="20"/>
        </w:rPr>
        <w:t>verify the vaccination status of workers by sighting evidence of vaccination.</w:t>
      </w:r>
      <w:bookmarkStart w:id="12" w:name="_Toc114669969"/>
    </w:p>
    <w:bookmarkEnd w:id="12"/>
    <w:p w14:paraId="66A13A8F" w14:textId="77777777" w:rsidR="006D5EFD" w:rsidRPr="005707BF" w:rsidRDefault="006D5EFD" w:rsidP="006D5EFD">
      <w:pPr>
        <w:pStyle w:val="Heading1"/>
        <w:rPr>
          <w:u w:val="single"/>
        </w:rPr>
      </w:pPr>
      <w:r w:rsidRPr="005707BF">
        <w:rPr>
          <w:u w:val="single"/>
        </w:rPr>
        <w:t>Queensland</w:t>
      </w:r>
    </w:p>
    <w:p w14:paraId="61FABF94" w14:textId="77777777" w:rsidR="00981D61" w:rsidRDefault="00981D61" w:rsidP="00981D61">
      <w:pPr>
        <w:pStyle w:val="Heading2"/>
      </w:pPr>
      <w:r w:rsidRPr="00981D61">
        <w:t>Vaccine doses required by Public Health Order/Directions</w:t>
      </w:r>
    </w:p>
    <w:p w14:paraId="181EB925" w14:textId="3BD7F045" w:rsidR="007E382A" w:rsidRDefault="005707BF" w:rsidP="005707BF">
      <w:pPr>
        <w:rPr>
          <w:sz w:val="20"/>
          <w:szCs w:val="20"/>
        </w:rPr>
      </w:pPr>
      <w:r w:rsidRPr="005707BF">
        <w:rPr>
          <w:sz w:val="20"/>
        </w:rPr>
        <w:t>The mandatory vaccination direction ended as at 31 October 2022.</w:t>
      </w:r>
    </w:p>
    <w:p w14:paraId="6DB1908A" w14:textId="77777777" w:rsidR="00981D61" w:rsidRDefault="00981D61" w:rsidP="00981D61">
      <w:pPr>
        <w:pStyle w:val="Heading2"/>
      </w:pPr>
      <w:r w:rsidRPr="00981D61">
        <w:lastRenderedPageBreak/>
        <w:t>Link to State/Territory public health guidance about vaccine requirements for disability workers</w:t>
      </w:r>
    </w:p>
    <w:p w14:paraId="5002DEA4" w14:textId="77777777" w:rsidR="006E6F39" w:rsidRDefault="001032A6" w:rsidP="006E6F39">
      <w:pPr>
        <w:rPr>
          <w:rStyle w:val="Hyperlink"/>
          <w:sz w:val="20"/>
          <w:szCs w:val="20"/>
        </w:rPr>
      </w:pPr>
      <w:hyperlink r:id="rId29" w:history="1">
        <w:r w:rsidR="006E6F39" w:rsidRPr="00E70817">
          <w:rPr>
            <w:rStyle w:val="Hyperlink"/>
            <w:sz w:val="20"/>
            <w:szCs w:val="20"/>
          </w:rPr>
          <w:t>Requirements for workers in healthcare settings | Queensland Government (www.qld.gov.au)</w:t>
        </w:r>
      </w:hyperlink>
    </w:p>
    <w:p w14:paraId="1924119F" w14:textId="77777777" w:rsidR="00981D61" w:rsidRDefault="00981D61" w:rsidP="00981D61">
      <w:pPr>
        <w:pStyle w:val="Heading2"/>
      </w:pPr>
      <w:r w:rsidRPr="00981D61">
        <w:t>Public Health Orders/Directions</w:t>
      </w:r>
    </w:p>
    <w:p w14:paraId="17C4C4A6" w14:textId="448CEAED" w:rsidR="006249D1" w:rsidRDefault="005707BF" w:rsidP="006E6F39">
      <w:pPr>
        <w:rPr>
          <w:rStyle w:val="Hyperlink"/>
          <w:sz w:val="20"/>
          <w:szCs w:val="20"/>
        </w:rPr>
      </w:pPr>
      <w:r>
        <w:rPr>
          <w:rFonts w:cs="Arial"/>
          <w:sz w:val="20"/>
          <w:szCs w:val="20"/>
        </w:rPr>
        <w:t>N/A</w:t>
      </w:r>
    </w:p>
    <w:p w14:paraId="72B8DD82" w14:textId="77777777" w:rsidR="00981D61" w:rsidRDefault="00981D61" w:rsidP="00981D61">
      <w:pPr>
        <w:pStyle w:val="Heading2"/>
      </w:pPr>
      <w:r w:rsidRPr="00981D61">
        <w:t>Key details of vaccination requirements in Public Health Orders/Directions</w:t>
      </w:r>
    </w:p>
    <w:p w14:paraId="0FE0AE42" w14:textId="77777777" w:rsidR="005707BF" w:rsidRDefault="005707BF" w:rsidP="005707BF">
      <w:pPr>
        <w:spacing w:before="120" w:after="120"/>
        <w:rPr>
          <w:rFonts w:cs="Arial"/>
          <w:sz w:val="20"/>
          <w:szCs w:val="20"/>
        </w:rPr>
      </w:pPr>
      <w:r w:rsidRPr="00A46879">
        <w:rPr>
          <w:rFonts w:cs="Arial"/>
          <w:sz w:val="20"/>
          <w:szCs w:val="20"/>
        </w:rPr>
        <w:t>The mandatory vaccination direction ended as at</w:t>
      </w:r>
      <w:r>
        <w:rPr>
          <w:rFonts w:cs="Arial"/>
          <w:sz w:val="20"/>
          <w:szCs w:val="20"/>
        </w:rPr>
        <w:t xml:space="preserve"> 31 October 2022.</w:t>
      </w:r>
      <w:bookmarkStart w:id="13" w:name="_Toc114669970"/>
    </w:p>
    <w:bookmarkEnd w:id="13"/>
    <w:p w14:paraId="2D37CDED" w14:textId="77777777" w:rsidR="005707BF" w:rsidRPr="005707BF" w:rsidRDefault="005707BF" w:rsidP="005707BF">
      <w:pPr>
        <w:pStyle w:val="Heading1"/>
        <w:rPr>
          <w:u w:val="single"/>
        </w:rPr>
      </w:pPr>
      <w:r w:rsidRPr="005707BF">
        <w:rPr>
          <w:u w:val="single"/>
        </w:rPr>
        <w:t>Western Australia</w:t>
      </w:r>
    </w:p>
    <w:p w14:paraId="514FE545" w14:textId="77777777" w:rsidR="00981D61" w:rsidRDefault="00981D61" w:rsidP="00981D61">
      <w:pPr>
        <w:pStyle w:val="Heading2"/>
      </w:pPr>
      <w:r w:rsidRPr="00981D61">
        <w:t>Vaccine doses required by Public Health Order/Directions</w:t>
      </w:r>
    </w:p>
    <w:p w14:paraId="6F9F1394" w14:textId="3E1B3974" w:rsidR="007E382A" w:rsidRDefault="005707BF" w:rsidP="005707BF">
      <w:pPr>
        <w:spacing w:before="120" w:after="120"/>
        <w:rPr>
          <w:sz w:val="20"/>
          <w:szCs w:val="20"/>
        </w:rPr>
      </w:pPr>
      <w:r w:rsidRPr="005707BF">
        <w:rPr>
          <w:sz w:val="20"/>
          <w:szCs w:val="20"/>
        </w:rPr>
        <w:t>The mandatory vaccination direction ended as at 4 November 2022.</w:t>
      </w:r>
      <w:r>
        <w:rPr>
          <w:sz w:val="20"/>
          <w:szCs w:val="20"/>
        </w:rPr>
        <w:t xml:space="preserve"> </w:t>
      </w:r>
    </w:p>
    <w:p w14:paraId="44BF1A70" w14:textId="77777777" w:rsidR="00981D61" w:rsidRDefault="00981D61" w:rsidP="00981D61">
      <w:pPr>
        <w:pStyle w:val="Heading2"/>
      </w:pPr>
      <w:r w:rsidRPr="00981D61">
        <w:t>Link to State/Territory public health guidance about vaccine requirements for disability workers</w:t>
      </w:r>
    </w:p>
    <w:p w14:paraId="72661652" w14:textId="77777777" w:rsidR="00CF4819" w:rsidRPr="00FB1640" w:rsidRDefault="001032A6" w:rsidP="00CF4819">
      <w:pPr>
        <w:spacing w:before="120" w:after="120"/>
        <w:rPr>
          <w:rFonts w:cs="Arial"/>
          <w:sz w:val="20"/>
          <w:szCs w:val="20"/>
        </w:rPr>
      </w:pPr>
      <w:hyperlink r:id="rId30" w:history="1">
        <w:r w:rsidR="00CF4819" w:rsidRPr="00115894">
          <w:rPr>
            <w:rStyle w:val="Hyperlink"/>
            <w:rFonts w:cs="Arial"/>
            <w:sz w:val="20"/>
            <w:szCs w:val="20"/>
          </w:rPr>
          <w:t>COVID-19 coronavirus: Mandatory COVID-19 vaccination information (www.wa.gov.au)</w:t>
        </w:r>
      </w:hyperlink>
    </w:p>
    <w:p w14:paraId="51734D9C" w14:textId="77777777" w:rsidR="00981D61" w:rsidRDefault="00981D61" w:rsidP="00981D61">
      <w:pPr>
        <w:pStyle w:val="Heading2"/>
      </w:pPr>
      <w:r w:rsidRPr="00981D61">
        <w:t>Public Health Orders/Directions</w:t>
      </w:r>
    </w:p>
    <w:p w14:paraId="4F754365" w14:textId="6CD7A340" w:rsidR="00DE219B" w:rsidRPr="00115894" w:rsidRDefault="005707BF" w:rsidP="00DE219B">
      <w:pPr>
        <w:spacing w:before="120" w:after="120"/>
        <w:rPr>
          <w:rFonts w:cs="Arial"/>
          <w:sz w:val="20"/>
          <w:szCs w:val="20"/>
        </w:rPr>
      </w:pPr>
      <w:r>
        <w:rPr>
          <w:rFonts w:cs="Arial"/>
          <w:sz w:val="20"/>
          <w:szCs w:val="20"/>
        </w:rPr>
        <w:t>N/A</w:t>
      </w:r>
    </w:p>
    <w:p w14:paraId="0FEE668E" w14:textId="77777777" w:rsidR="00981D61" w:rsidRDefault="00981D61" w:rsidP="00981D61">
      <w:pPr>
        <w:pStyle w:val="Heading2"/>
      </w:pPr>
      <w:r w:rsidRPr="00981D61">
        <w:t>Key details of vaccination requirements in Public Health Orders/Directions</w:t>
      </w:r>
    </w:p>
    <w:bookmarkEnd w:id="4"/>
    <w:p w14:paraId="4BA36F3A" w14:textId="7CF18A1C" w:rsidR="00981D61" w:rsidRPr="007E382A" w:rsidRDefault="005707BF" w:rsidP="005707BF">
      <w:pPr>
        <w:spacing w:before="120" w:after="120"/>
        <w:rPr>
          <w:sz w:val="20"/>
          <w:szCs w:val="20"/>
        </w:rPr>
      </w:pPr>
      <w:r w:rsidRPr="005707BF">
        <w:rPr>
          <w:sz w:val="20"/>
          <w:szCs w:val="20"/>
        </w:rPr>
        <w:t>The mandatory vaccination direction ended as at 4 November 2022.</w:t>
      </w:r>
    </w:p>
    <w:sectPr w:rsidR="00981D61" w:rsidRPr="007E382A" w:rsidSect="00981D61">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0DFD4" w14:textId="77777777" w:rsidR="001032A6" w:rsidRDefault="001032A6" w:rsidP="008E21DE">
      <w:pPr>
        <w:spacing w:after="0"/>
      </w:pPr>
      <w:r>
        <w:separator/>
      </w:r>
    </w:p>
  </w:endnote>
  <w:endnote w:type="continuationSeparator" w:id="0">
    <w:p w14:paraId="39C14377" w14:textId="77777777" w:rsidR="001032A6" w:rsidRDefault="001032A6" w:rsidP="008E21DE">
      <w:pPr>
        <w:spacing w:after="0"/>
      </w:pPr>
      <w:r>
        <w:continuationSeparator/>
      </w:r>
    </w:p>
  </w:endnote>
  <w:endnote w:type="continuationNotice" w:id="1">
    <w:p w14:paraId="0583A7D0" w14:textId="77777777" w:rsidR="001032A6" w:rsidRDefault="00103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2A42" w14:textId="77777777" w:rsidR="00AA3CFC" w:rsidRDefault="00AA3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951115"/>
      <w:docPartObj>
        <w:docPartGallery w:val="Page Numbers (Bottom of Page)"/>
        <w:docPartUnique/>
      </w:docPartObj>
    </w:sdtPr>
    <w:sdtEndPr>
      <w:rPr>
        <w:noProof/>
      </w:rPr>
    </w:sdtEndPr>
    <w:sdtContent>
      <w:p w14:paraId="4455B8D3" w14:textId="38B109EF" w:rsidR="005C7362" w:rsidRDefault="005C7362">
        <w:pPr>
          <w:pStyle w:val="Footer"/>
          <w:jc w:val="right"/>
        </w:pPr>
        <w:r>
          <w:fldChar w:fldCharType="begin"/>
        </w:r>
        <w:r>
          <w:instrText xml:space="preserve"> PAGE   \* MERGEFORMAT </w:instrText>
        </w:r>
        <w:r>
          <w:fldChar w:fldCharType="separate"/>
        </w:r>
        <w:r w:rsidR="00E705F4">
          <w:rPr>
            <w:noProof/>
          </w:rPr>
          <w:t>7</w:t>
        </w:r>
        <w:r>
          <w:rPr>
            <w:noProof/>
          </w:rPr>
          <w:fldChar w:fldCharType="end"/>
        </w:r>
      </w:p>
    </w:sdtContent>
  </w:sdt>
  <w:p w14:paraId="47474636" w14:textId="77777777" w:rsidR="005C7362" w:rsidRDefault="005C7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614203"/>
      <w:docPartObj>
        <w:docPartGallery w:val="Page Numbers (Bottom of Page)"/>
        <w:docPartUnique/>
      </w:docPartObj>
    </w:sdtPr>
    <w:sdtEndPr>
      <w:rPr>
        <w:noProof/>
      </w:rPr>
    </w:sdtEndPr>
    <w:sdtContent>
      <w:p w14:paraId="121277A9" w14:textId="64185D92" w:rsidR="005C7362" w:rsidRDefault="005C7362">
        <w:pPr>
          <w:pStyle w:val="Footer"/>
          <w:jc w:val="right"/>
        </w:pPr>
        <w:r>
          <w:fldChar w:fldCharType="begin"/>
        </w:r>
        <w:r>
          <w:instrText xml:space="preserve"> PAGE   \* MERGEFORMAT </w:instrText>
        </w:r>
        <w:r>
          <w:fldChar w:fldCharType="separate"/>
        </w:r>
        <w:r w:rsidR="00E705F4">
          <w:rPr>
            <w:noProof/>
          </w:rPr>
          <w:t>1</w:t>
        </w:r>
        <w:r>
          <w:rPr>
            <w:noProof/>
          </w:rPr>
          <w:fldChar w:fldCharType="end"/>
        </w:r>
      </w:p>
    </w:sdtContent>
  </w:sdt>
  <w:p w14:paraId="3B9040BA" w14:textId="272AA540" w:rsidR="00F542B2" w:rsidRDefault="00F5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30B75" w14:textId="77777777" w:rsidR="001032A6" w:rsidRDefault="001032A6" w:rsidP="008E21DE">
      <w:pPr>
        <w:spacing w:after="0"/>
      </w:pPr>
      <w:r>
        <w:separator/>
      </w:r>
    </w:p>
  </w:footnote>
  <w:footnote w:type="continuationSeparator" w:id="0">
    <w:p w14:paraId="338741B0" w14:textId="77777777" w:rsidR="001032A6" w:rsidRDefault="001032A6" w:rsidP="008E21DE">
      <w:pPr>
        <w:spacing w:after="0"/>
      </w:pPr>
      <w:r>
        <w:continuationSeparator/>
      </w:r>
    </w:p>
  </w:footnote>
  <w:footnote w:type="continuationNotice" w:id="1">
    <w:p w14:paraId="1AA1FB5F" w14:textId="77777777" w:rsidR="001032A6" w:rsidRDefault="001032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004F" w14:textId="77777777" w:rsidR="00AA3CFC" w:rsidRDefault="00AA3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C54B" w14:textId="77777777" w:rsidR="00AA3CFC" w:rsidRDefault="00AA3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E0C1" w14:textId="77777777" w:rsidR="00981D61" w:rsidRDefault="00981D61">
    <w:pPr>
      <w:pStyle w:val="Header"/>
    </w:pPr>
    <w:r>
      <w:rPr>
        <w:noProof/>
        <w:lang w:eastAsia="en-AU"/>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756"/>
    <w:multiLevelType w:val="hybridMultilevel"/>
    <w:tmpl w:val="2D36B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D49B7"/>
    <w:multiLevelType w:val="hybridMultilevel"/>
    <w:tmpl w:val="17E61028"/>
    <w:lvl w:ilvl="0" w:tplc="0B34256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E2724C5"/>
    <w:multiLevelType w:val="hybridMultilevel"/>
    <w:tmpl w:val="AAD43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21B45EE"/>
    <w:multiLevelType w:val="hybridMultilevel"/>
    <w:tmpl w:val="FD706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65F5D"/>
    <w:multiLevelType w:val="hybridMultilevel"/>
    <w:tmpl w:val="87C2A9F0"/>
    <w:lvl w:ilvl="0" w:tplc="0B34256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D23B4D"/>
    <w:multiLevelType w:val="hybridMultilevel"/>
    <w:tmpl w:val="86F83CB0"/>
    <w:lvl w:ilvl="0" w:tplc="0B342566">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501815"/>
    <w:multiLevelType w:val="hybridMultilevel"/>
    <w:tmpl w:val="6792BBC0"/>
    <w:lvl w:ilvl="0" w:tplc="0B34256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CD65D7"/>
    <w:multiLevelType w:val="hybridMultilevel"/>
    <w:tmpl w:val="58366F70"/>
    <w:lvl w:ilvl="0" w:tplc="0B342566">
      <w:numFmt w:val="bullet"/>
      <w:lvlText w:val="-"/>
      <w:lvlJc w:val="left"/>
      <w:pPr>
        <w:ind w:left="1139" w:hanging="360"/>
      </w:pPr>
      <w:rPr>
        <w:rFonts w:ascii="Arial" w:eastAsiaTheme="minorHAnsi" w:hAnsi="Arial" w:cs="Arial"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12" w15:restartNumberingAfterBreak="0">
    <w:nsid w:val="2AC172EE"/>
    <w:multiLevelType w:val="hybridMultilevel"/>
    <w:tmpl w:val="F866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8960A6"/>
    <w:multiLevelType w:val="hybridMultilevel"/>
    <w:tmpl w:val="160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0C5A8F"/>
    <w:multiLevelType w:val="hybridMultilevel"/>
    <w:tmpl w:val="F9EEB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072F0"/>
    <w:multiLevelType w:val="hybridMultilevel"/>
    <w:tmpl w:val="38102996"/>
    <w:lvl w:ilvl="0" w:tplc="B8A053F0">
      <w:start w:val="1"/>
      <w:numFmt w:val="decimal"/>
      <w:lvlText w:val="%1."/>
      <w:lvlJc w:val="left"/>
      <w:pPr>
        <w:ind w:left="1080" w:hanging="360"/>
      </w:pPr>
      <w:rPr>
        <w:rFonts w:asciiTheme="minorHAnsi" w:eastAsia="Times New Roman" w:hAnsiTheme="minorHAnsi"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C25647"/>
    <w:multiLevelType w:val="hybridMultilevel"/>
    <w:tmpl w:val="72A48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AA4D1D"/>
    <w:multiLevelType w:val="hybridMultilevel"/>
    <w:tmpl w:val="415A94F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40B63690"/>
    <w:multiLevelType w:val="hybridMultilevel"/>
    <w:tmpl w:val="D278CEBC"/>
    <w:lvl w:ilvl="0" w:tplc="0B34256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0DD215E"/>
    <w:multiLevelType w:val="hybridMultilevel"/>
    <w:tmpl w:val="83E698FA"/>
    <w:lvl w:ilvl="0" w:tplc="0B34256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1E81872"/>
    <w:multiLevelType w:val="hybridMultilevel"/>
    <w:tmpl w:val="EC74A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2D65CC4"/>
    <w:multiLevelType w:val="hybridMultilevel"/>
    <w:tmpl w:val="2D0457B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437055CB"/>
    <w:multiLevelType w:val="hybridMultilevel"/>
    <w:tmpl w:val="1AFEE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881B1F"/>
    <w:multiLevelType w:val="hybridMultilevel"/>
    <w:tmpl w:val="66043160"/>
    <w:lvl w:ilvl="0" w:tplc="0B34256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BA1E5A"/>
    <w:multiLevelType w:val="multilevel"/>
    <w:tmpl w:val="BC626AC8"/>
    <w:styleLink w:val="ZZBullets"/>
    <w:lvl w:ilvl="0">
      <w:start w:val="1"/>
      <w:numFmt w:val="bullet"/>
      <w:pStyle w:val="DHHSbullet1"/>
      <w:lvlText w:val="•"/>
      <w:lvlJc w:val="left"/>
      <w:pPr>
        <w:ind w:left="1004" w:hanging="284"/>
      </w:pPr>
      <w:rPr>
        <w:rFonts w:ascii="Calibri" w:hAnsi="Calibri" w:cs="Times New Roman" w:hint="default"/>
      </w:rPr>
    </w:lvl>
    <w:lvl w:ilvl="1">
      <w:start w:val="1"/>
      <w:numFmt w:val="bullet"/>
      <w:lvlRestart w:val="0"/>
      <w:pStyle w:val="DHHSbullet2"/>
      <w:lvlText w:val="–"/>
      <w:lvlJc w:val="left"/>
      <w:pPr>
        <w:ind w:left="1287" w:hanging="283"/>
      </w:pPr>
      <w:rPr>
        <w:rFonts w:ascii="Calibri" w:hAnsi="Calibri" w:cs="Times New Roman" w:hint="default"/>
      </w:rPr>
    </w:lvl>
    <w:lvl w:ilvl="2">
      <w:start w:val="1"/>
      <w:numFmt w:val="none"/>
      <w:lvlRestart w:val="0"/>
      <w:lvlText w:val=""/>
      <w:lvlJc w:val="left"/>
      <w:pPr>
        <w:ind w:left="720" w:firstLine="0"/>
      </w:pPr>
    </w:lvl>
    <w:lvl w:ilvl="3">
      <w:start w:val="1"/>
      <w:numFmt w:val="none"/>
      <w:lvlRestart w:val="0"/>
      <w:lvlText w:val=""/>
      <w:lvlJc w:val="left"/>
      <w:pPr>
        <w:ind w:left="720" w:firstLine="0"/>
      </w:pPr>
    </w:lvl>
    <w:lvl w:ilvl="4">
      <w:start w:val="1"/>
      <w:numFmt w:val="none"/>
      <w:lvlRestart w:val="0"/>
      <w:lvlText w:val=""/>
      <w:lvlJc w:val="left"/>
      <w:pPr>
        <w:ind w:left="720" w:firstLine="0"/>
      </w:pPr>
    </w:lvl>
    <w:lvl w:ilvl="5">
      <w:start w:val="1"/>
      <w:numFmt w:val="none"/>
      <w:lvlRestart w:val="0"/>
      <w:lvlText w:val=""/>
      <w:lvlJc w:val="left"/>
      <w:pPr>
        <w:ind w:left="720" w:firstLine="0"/>
      </w:pPr>
    </w:lvl>
    <w:lvl w:ilvl="6">
      <w:start w:val="1"/>
      <w:numFmt w:val="none"/>
      <w:lvlRestart w:val="0"/>
      <w:lvlText w:val=""/>
      <w:lvlJc w:val="left"/>
      <w:pPr>
        <w:ind w:left="720" w:firstLine="0"/>
      </w:pPr>
    </w:lvl>
    <w:lvl w:ilvl="7">
      <w:start w:val="1"/>
      <w:numFmt w:val="none"/>
      <w:lvlRestart w:val="0"/>
      <w:lvlText w:val=""/>
      <w:lvlJc w:val="left"/>
      <w:pPr>
        <w:ind w:left="720" w:firstLine="0"/>
      </w:pPr>
    </w:lvl>
    <w:lvl w:ilvl="8">
      <w:start w:val="1"/>
      <w:numFmt w:val="none"/>
      <w:lvlRestart w:val="0"/>
      <w:lvlText w:val=""/>
      <w:lvlJc w:val="left"/>
      <w:pPr>
        <w:ind w:left="720" w:firstLine="0"/>
      </w:pPr>
    </w:lvl>
  </w:abstractNum>
  <w:abstractNum w:abstractNumId="27" w15:restartNumberingAfterBreak="0">
    <w:nsid w:val="55445348"/>
    <w:multiLevelType w:val="hybridMultilevel"/>
    <w:tmpl w:val="744AA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434907"/>
    <w:multiLevelType w:val="hybridMultilevel"/>
    <w:tmpl w:val="CC2AE4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615703"/>
    <w:multiLevelType w:val="multilevel"/>
    <w:tmpl w:val="803CF862"/>
    <w:numStyleLink w:val="List1Numbered"/>
  </w:abstractNum>
  <w:abstractNum w:abstractNumId="31" w15:restartNumberingAfterBreak="0">
    <w:nsid w:val="5B813D01"/>
    <w:multiLevelType w:val="hybridMultilevel"/>
    <w:tmpl w:val="8EDAA7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B0B41"/>
    <w:multiLevelType w:val="hybridMultilevel"/>
    <w:tmpl w:val="C7B61724"/>
    <w:lvl w:ilvl="0" w:tplc="0B342566">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F4B001B"/>
    <w:multiLevelType w:val="hybridMultilevel"/>
    <w:tmpl w:val="887225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C04EB4"/>
    <w:multiLevelType w:val="hybridMultilevel"/>
    <w:tmpl w:val="12A23602"/>
    <w:lvl w:ilvl="0" w:tplc="0C090001">
      <w:start w:val="1"/>
      <w:numFmt w:val="bullet"/>
      <w:lvlText w:val=""/>
      <w:lvlJc w:val="left"/>
      <w:pPr>
        <w:ind w:left="720" w:hanging="360"/>
      </w:pPr>
      <w:rPr>
        <w:rFonts w:ascii="Symbol" w:hAnsi="Symbol" w:hint="default"/>
      </w:rPr>
    </w:lvl>
    <w:lvl w:ilvl="1" w:tplc="0B34256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840EE4"/>
    <w:multiLevelType w:val="hybridMultilevel"/>
    <w:tmpl w:val="F37EE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B26352"/>
    <w:multiLevelType w:val="hybridMultilevel"/>
    <w:tmpl w:val="FB68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B43555"/>
    <w:multiLevelType w:val="hybridMultilevel"/>
    <w:tmpl w:val="722C6460"/>
    <w:lvl w:ilvl="0" w:tplc="0B34256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D4F423B"/>
    <w:multiLevelType w:val="multilevel"/>
    <w:tmpl w:val="4A7CCC2C"/>
    <w:numStyleLink w:val="DefaultBullets"/>
  </w:abstractNum>
  <w:abstractNum w:abstractNumId="39" w15:restartNumberingAfterBreak="0">
    <w:nsid w:val="718267C8"/>
    <w:multiLevelType w:val="hybridMultilevel"/>
    <w:tmpl w:val="4BBA76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90B67C4"/>
    <w:multiLevelType w:val="multilevel"/>
    <w:tmpl w:val="FE688822"/>
    <w:numStyleLink w:val="BoxedBullets"/>
  </w:abstractNum>
  <w:num w:numId="1">
    <w:abstractNumId w:val="3"/>
  </w:num>
  <w:num w:numId="2">
    <w:abstractNumId w:val="25"/>
  </w:num>
  <w:num w:numId="3">
    <w:abstractNumId w:val="41"/>
  </w:num>
  <w:num w:numId="4">
    <w:abstractNumId w:val="20"/>
  </w:num>
  <w:num w:numId="5">
    <w:abstractNumId w:val="7"/>
  </w:num>
  <w:num w:numId="6">
    <w:abstractNumId w:val="6"/>
  </w:num>
  <w:num w:numId="7">
    <w:abstractNumId w:val="30"/>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abstractNumId w:val="28"/>
  </w:num>
  <w:num w:numId="9">
    <w:abstractNumId w:val="8"/>
  </w:num>
  <w:num w:numId="10">
    <w:abstractNumId w:val="40"/>
  </w:num>
  <w:num w:numId="11">
    <w:abstractNumId w:val="3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6"/>
  </w:num>
  <w:num w:numId="13">
    <w:abstractNumId w:val="30"/>
    <w:lvlOverride w:ilvl="0">
      <w:startOverride w:val="1"/>
      <w:lvl w:ilvl="0">
        <w:start w:val="1"/>
        <w:numFmt w:val="decimal"/>
        <w:pStyle w:val="List1Numbered1"/>
        <w:lvlText w:val="%1."/>
        <w:lvlJc w:val="left"/>
        <w:pPr>
          <w:ind w:left="284" w:hanging="284"/>
        </w:pPr>
        <w:rPr>
          <w:rFonts w:hint="default"/>
          <w:b w:val="0"/>
          <w:i w:val="0"/>
          <w:color w:val="auto"/>
        </w:rPr>
      </w:lvl>
    </w:lvlOverride>
    <w:lvlOverride w:ilvl="1">
      <w:startOverride w:val="1"/>
      <w:lvl w:ilvl="1">
        <w:start w:val="1"/>
        <w:numFmt w:val="lowerLetter"/>
        <w:pStyle w:val="List1Numbered2"/>
        <w:lvlText w:val="%2."/>
        <w:lvlJc w:val="left"/>
        <w:pPr>
          <w:ind w:left="568" w:hanging="284"/>
        </w:pPr>
        <w:rPr>
          <w:rFonts w:hint="default"/>
        </w:rPr>
      </w:lvl>
    </w:lvlOverride>
    <w:lvlOverride w:ilvl="2">
      <w:startOverride w:val="1"/>
      <w:lvl w:ilvl="2">
        <w:start w:val="1"/>
        <w:numFmt w:val="lowerRoman"/>
        <w:pStyle w:val="List1Numbered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4">
    <w:abstractNumId w:val="35"/>
  </w:num>
  <w:num w:numId="15">
    <w:abstractNumId w:val="0"/>
  </w:num>
  <w:num w:numId="16">
    <w:abstractNumId w:val="31"/>
  </w:num>
  <w:num w:numId="17">
    <w:abstractNumId w:val="12"/>
  </w:num>
  <w:num w:numId="18">
    <w:abstractNumId w:val="16"/>
  </w:num>
  <w:num w:numId="19">
    <w:abstractNumId w:val="36"/>
  </w:num>
  <w:num w:numId="20">
    <w:abstractNumId w:val="10"/>
  </w:num>
  <w:num w:numId="21">
    <w:abstractNumId w:val="27"/>
  </w:num>
  <w:num w:numId="22">
    <w:abstractNumId w:val="29"/>
  </w:num>
  <w:num w:numId="23">
    <w:abstractNumId w:val="17"/>
  </w:num>
  <w:num w:numId="24">
    <w:abstractNumId w:val="39"/>
  </w:num>
  <w:num w:numId="25">
    <w:abstractNumId w:val="33"/>
  </w:num>
  <w:num w:numId="26">
    <w:abstractNumId w:val="14"/>
  </w:num>
  <w:num w:numId="27">
    <w:abstractNumId w:val="15"/>
  </w:num>
  <w:num w:numId="28">
    <w:abstractNumId w:val="32"/>
  </w:num>
  <w:num w:numId="29">
    <w:abstractNumId w:val="1"/>
  </w:num>
  <w:num w:numId="30">
    <w:abstractNumId w:val="18"/>
  </w:num>
  <w:num w:numId="31">
    <w:abstractNumId w:val="24"/>
  </w:num>
  <w:num w:numId="32">
    <w:abstractNumId w:val="21"/>
  </w:num>
  <w:num w:numId="33">
    <w:abstractNumId w:val="5"/>
  </w:num>
  <w:num w:numId="34">
    <w:abstractNumId w:val="19"/>
  </w:num>
  <w:num w:numId="35">
    <w:abstractNumId w:val="4"/>
  </w:num>
  <w:num w:numId="36">
    <w:abstractNumId w:val="34"/>
  </w:num>
  <w:num w:numId="37">
    <w:abstractNumId w:val="2"/>
  </w:num>
  <w:num w:numId="38">
    <w:abstractNumId w:val="9"/>
  </w:num>
  <w:num w:numId="39">
    <w:abstractNumId w:val="13"/>
  </w:num>
  <w:num w:numId="40">
    <w:abstractNumId w:val="11"/>
  </w:num>
  <w:num w:numId="41">
    <w:abstractNumId w:val="22"/>
  </w:num>
  <w:num w:numId="42">
    <w:abstractNumId w:val="23"/>
  </w:num>
  <w:num w:numId="43">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7A3"/>
    <w:rsid w:val="000038F6"/>
    <w:rsid w:val="00043D08"/>
    <w:rsid w:val="0005255A"/>
    <w:rsid w:val="0005376C"/>
    <w:rsid w:val="00080615"/>
    <w:rsid w:val="00085B12"/>
    <w:rsid w:val="00092F7F"/>
    <w:rsid w:val="00094545"/>
    <w:rsid w:val="000A56E9"/>
    <w:rsid w:val="000C252F"/>
    <w:rsid w:val="000F3A54"/>
    <w:rsid w:val="000F48FC"/>
    <w:rsid w:val="001032A6"/>
    <w:rsid w:val="001259EE"/>
    <w:rsid w:val="00136BC0"/>
    <w:rsid w:val="00154011"/>
    <w:rsid w:val="00182709"/>
    <w:rsid w:val="00201052"/>
    <w:rsid w:val="002049B0"/>
    <w:rsid w:val="00231AAC"/>
    <w:rsid w:val="00272C4B"/>
    <w:rsid w:val="00277B10"/>
    <w:rsid w:val="002804D3"/>
    <w:rsid w:val="00310D93"/>
    <w:rsid w:val="003133DF"/>
    <w:rsid w:val="003449A0"/>
    <w:rsid w:val="00362AB6"/>
    <w:rsid w:val="00382AD3"/>
    <w:rsid w:val="003B45FA"/>
    <w:rsid w:val="003C1C43"/>
    <w:rsid w:val="003C1E9B"/>
    <w:rsid w:val="003E36CA"/>
    <w:rsid w:val="003E7A2B"/>
    <w:rsid w:val="003F29B8"/>
    <w:rsid w:val="004154E2"/>
    <w:rsid w:val="00444651"/>
    <w:rsid w:val="004860F8"/>
    <w:rsid w:val="00495B8A"/>
    <w:rsid w:val="004C1718"/>
    <w:rsid w:val="004D39E6"/>
    <w:rsid w:val="004D4273"/>
    <w:rsid w:val="004F5790"/>
    <w:rsid w:val="00515089"/>
    <w:rsid w:val="005227A3"/>
    <w:rsid w:val="00524FAC"/>
    <w:rsid w:val="00534D53"/>
    <w:rsid w:val="0054592E"/>
    <w:rsid w:val="00552F18"/>
    <w:rsid w:val="0055551B"/>
    <w:rsid w:val="005707BF"/>
    <w:rsid w:val="00582202"/>
    <w:rsid w:val="005A0F62"/>
    <w:rsid w:val="005B053D"/>
    <w:rsid w:val="005C7362"/>
    <w:rsid w:val="005D09EC"/>
    <w:rsid w:val="005D2A18"/>
    <w:rsid w:val="005E2485"/>
    <w:rsid w:val="006006FC"/>
    <w:rsid w:val="00603560"/>
    <w:rsid w:val="00613242"/>
    <w:rsid w:val="006156BC"/>
    <w:rsid w:val="006247B7"/>
    <w:rsid w:val="006249D1"/>
    <w:rsid w:val="00625854"/>
    <w:rsid w:val="0063253A"/>
    <w:rsid w:val="00651348"/>
    <w:rsid w:val="00660573"/>
    <w:rsid w:val="00680A20"/>
    <w:rsid w:val="00680F04"/>
    <w:rsid w:val="00693F3F"/>
    <w:rsid w:val="006C3D58"/>
    <w:rsid w:val="006D5EFD"/>
    <w:rsid w:val="006D6D91"/>
    <w:rsid w:val="006E6F39"/>
    <w:rsid w:val="00730F0A"/>
    <w:rsid w:val="0075589C"/>
    <w:rsid w:val="0078103B"/>
    <w:rsid w:val="007874BA"/>
    <w:rsid w:val="00795F81"/>
    <w:rsid w:val="007A044B"/>
    <w:rsid w:val="007A5EE8"/>
    <w:rsid w:val="007C2B87"/>
    <w:rsid w:val="007E382A"/>
    <w:rsid w:val="007E3ABD"/>
    <w:rsid w:val="00832AAA"/>
    <w:rsid w:val="008850ED"/>
    <w:rsid w:val="008A0617"/>
    <w:rsid w:val="008A649A"/>
    <w:rsid w:val="008B7938"/>
    <w:rsid w:val="008C3FE8"/>
    <w:rsid w:val="008C401D"/>
    <w:rsid w:val="008E21DE"/>
    <w:rsid w:val="009210F7"/>
    <w:rsid w:val="0092679E"/>
    <w:rsid w:val="009539C8"/>
    <w:rsid w:val="00961009"/>
    <w:rsid w:val="00981D61"/>
    <w:rsid w:val="00987A2D"/>
    <w:rsid w:val="009B2EA0"/>
    <w:rsid w:val="009D06E2"/>
    <w:rsid w:val="009E4E81"/>
    <w:rsid w:val="009F4EAA"/>
    <w:rsid w:val="00A07E4A"/>
    <w:rsid w:val="00A166F5"/>
    <w:rsid w:val="00A20B83"/>
    <w:rsid w:val="00A60009"/>
    <w:rsid w:val="00A606E0"/>
    <w:rsid w:val="00A713E4"/>
    <w:rsid w:val="00AA094B"/>
    <w:rsid w:val="00AA1063"/>
    <w:rsid w:val="00AA3CFC"/>
    <w:rsid w:val="00AA7E8A"/>
    <w:rsid w:val="00AB0AA6"/>
    <w:rsid w:val="00AB12D5"/>
    <w:rsid w:val="00AB2D9A"/>
    <w:rsid w:val="00AC17C1"/>
    <w:rsid w:val="00AD735D"/>
    <w:rsid w:val="00AF0899"/>
    <w:rsid w:val="00B1061E"/>
    <w:rsid w:val="00B11583"/>
    <w:rsid w:val="00B15882"/>
    <w:rsid w:val="00B230B5"/>
    <w:rsid w:val="00B24AFA"/>
    <w:rsid w:val="00B4124B"/>
    <w:rsid w:val="00B43079"/>
    <w:rsid w:val="00B4492F"/>
    <w:rsid w:val="00B468A8"/>
    <w:rsid w:val="00B5158E"/>
    <w:rsid w:val="00B603C0"/>
    <w:rsid w:val="00B76758"/>
    <w:rsid w:val="00B83AB4"/>
    <w:rsid w:val="00B8434F"/>
    <w:rsid w:val="00B84931"/>
    <w:rsid w:val="00BA4FF9"/>
    <w:rsid w:val="00BA7B4E"/>
    <w:rsid w:val="00BB29DA"/>
    <w:rsid w:val="00BC3BA1"/>
    <w:rsid w:val="00BD13EB"/>
    <w:rsid w:val="00BF5997"/>
    <w:rsid w:val="00C0421C"/>
    <w:rsid w:val="00C10202"/>
    <w:rsid w:val="00C168EB"/>
    <w:rsid w:val="00C21944"/>
    <w:rsid w:val="00C2698C"/>
    <w:rsid w:val="00C52C59"/>
    <w:rsid w:val="00C67DC8"/>
    <w:rsid w:val="00C7505A"/>
    <w:rsid w:val="00C815F8"/>
    <w:rsid w:val="00C87BEB"/>
    <w:rsid w:val="00C90DF2"/>
    <w:rsid w:val="00CB64BD"/>
    <w:rsid w:val="00CC45B6"/>
    <w:rsid w:val="00CF4819"/>
    <w:rsid w:val="00D17C27"/>
    <w:rsid w:val="00D527B8"/>
    <w:rsid w:val="00D648D9"/>
    <w:rsid w:val="00DA452F"/>
    <w:rsid w:val="00DD458B"/>
    <w:rsid w:val="00DE219B"/>
    <w:rsid w:val="00DF74BA"/>
    <w:rsid w:val="00E1026B"/>
    <w:rsid w:val="00E15C45"/>
    <w:rsid w:val="00E235ED"/>
    <w:rsid w:val="00E243C4"/>
    <w:rsid w:val="00E260AC"/>
    <w:rsid w:val="00E31B7F"/>
    <w:rsid w:val="00E40290"/>
    <w:rsid w:val="00E705F4"/>
    <w:rsid w:val="00EE737C"/>
    <w:rsid w:val="00EF7B11"/>
    <w:rsid w:val="00F259C4"/>
    <w:rsid w:val="00F41613"/>
    <w:rsid w:val="00F50064"/>
    <w:rsid w:val="00F542B2"/>
    <w:rsid w:val="00F9318C"/>
    <w:rsid w:val="00FA7F47"/>
    <w:rsid w:val="00FB6178"/>
    <w:rsid w:val="00FD0C8D"/>
    <w:rsid w:val="00FD363C"/>
    <w:rsid w:val="00FD66D7"/>
    <w:rsid w:val="00FD71F6"/>
    <w:rsid w:val="00FE28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A38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A3"/>
    <w:pPr>
      <w:spacing w:before="0" w:after="200" w:line="276" w:lineRule="auto"/>
    </w:pPr>
    <w:rPr>
      <w:rFonts w:ascii="Calibri" w:hAnsi="Calibri"/>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227A3"/>
    <w:pPr>
      <w:spacing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5227A3"/>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29"/>
    <w:qFormat/>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29"/>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11"/>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11"/>
    <w:rsid w:val="00B83AB4"/>
    <w:rPr>
      <w:rFonts w:eastAsiaTheme="minorEastAsia"/>
      <w:color w:val="5F2E74" w:themeColor="text2"/>
      <w:sz w:val="32"/>
      <w:szCs w:val="22"/>
    </w:rPr>
  </w:style>
  <w:style w:type="table" w:styleId="TableGrid">
    <w:name w:val="Table Grid"/>
    <w:basedOn w:val="TableNormal"/>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customStyle="1" w:styleId="Heading8Char">
    <w:name w:val="Heading 8 Char"/>
    <w:basedOn w:val="DefaultParagraphFont"/>
    <w:link w:val="Heading8"/>
    <w:uiPriority w:val="9"/>
    <w:semiHidden/>
    <w:rsid w:val="005227A3"/>
    <w:rPr>
      <w:rFonts w:ascii="Calibri" w:eastAsiaTheme="majorEastAsia" w:hAnsi="Calibri" w:cstheme="majorBidi"/>
      <w:color w:val="auto"/>
    </w:rPr>
  </w:style>
  <w:style w:type="character" w:customStyle="1" w:styleId="Heading9Char">
    <w:name w:val="Heading 9 Char"/>
    <w:basedOn w:val="DefaultParagraphFont"/>
    <w:link w:val="Heading9"/>
    <w:uiPriority w:val="9"/>
    <w:semiHidden/>
    <w:rsid w:val="005227A3"/>
    <w:rPr>
      <w:rFonts w:ascii="Calibri" w:eastAsiaTheme="majorEastAsia" w:hAnsi="Calibri" w:cstheme="majorBidi"/>
      <w:i/>
      <w:iCs/>
      <w:color w:val="auto"/>
      <w:spacing w:val="5"/>
    </w:rPr>
  </w:style>
  <w:style w:type="paragraph" w:customStyle="1" w:styleId="msonormal0">
    <w:name w:val="msonormal"/>
    <w:basedOn w:val="Normal"/>
    <w:rsid w:val="005227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semiHidden/>
    <w:unhideWhenUsed/>
    <w:rsid w:val="005227A3"/>
    <w:pPr>
      <w:spacing w:line="240" w:lineRule="auto"/>
    </w:pPr>
    <w:rPr>
      <w:sz w:val="20"/>
      <w:szCs w:val="20"/>
    </w:rPr>
  </w:style>
  <w:style w:type="character" w:customStyle="1" w:styleId="CommentTextChar">
    <w:name w:val="Comment Text Char"/>
    <w:basedOn w:val="DefaultParagraphFont"/>
    <w:link w:val="CommentText"/>
    <w:uiPriority w:val="99"/>
    <w:semiHidden/>
    <w:rsid w:val="005227A3"/>
    <w:rPr>
      <w:rFonts w:ascii="Calibri" w:hAnsi="Calibri"/>
      <w:color w:val="auto"/>
    </w:rPr>
  </w:style>
  <w:style w:type="paragraph" w:styleId="CommentSubject">
    <w:name w:val="annotation subject"/>
    <w:basedOn w:val="CommentText"/>
    <w:next w:val="CommentText"/>
    <w:link w:val="CommentSubjectChar"/>
    <w:uiPriority w:val="99"/>
    <w:semiHidden/>
    <w:unhideWhenUsed/>
    <w:rsid w:val="005227A3"/>
    <w:rPr>
      <w:b/>
      <w:bCs/>
    </w:rPr>
  </w:style>
  <w:style w:type="character" w:customStyle="1" w:styleId="CommentSubjectChar">
    <w:name w:val="Comment Subject Char"/>
    <w:basedOn w:val="CommentTextChar"/>
    <w:link w:val="CommentSubject"/>
    <w:uiPriority w:val="99"/>
    <w:semiHidden/>
    <w:rsid w:val="005227A3"/>
    <w:rPr>
      <w:rFonts w:ascii="Calibri" w:hAnsi="Calibri"/>
      <w:b/>
      <w:bCs/>
      <w:color w:val="auto"/>
    </w:rPr>
  </w:style>
  <w:style w:type="paragraph" w:styleId="BalloonText">
    <w:name w:val="Balloon Text"/>
    <w:basedOn w:val="Normal"/>
    <w:link w:val="BalloonTextChar"/>
    <w:uiPriority w:val="99"/>
    <w:semiHidden/>
    <w:unhideWhenUsed/>
    <w:rsid w:val="00522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7A3"/>
    <w:rPr>
      <w:rFonts w:ascii="Segoe UI" w:hAnsi="Segoe UI" w:cs="Segoe UI"/>
      <w:color w:val="auto"/>
      <w:sz w:val="18"/>
      <w:szCs w:val="18"/>
    </w:rPr>
  </w:style>
  <w:style w:type="character" w:customStyle="1" w:styleId="NoSpacingChar">
    <w:name w:val="No Spacing Char"/>
    <w:basedOn w:val="DefaultParagraphFont"/>
    <w:link w:val="NoSpacing"/>
    <w:uiPriority w:val="1"/>
    <w:locked/>
    <w:rsid w:val="005227A3"/>
  </w:style>
  <w:style w:type="paragraph" w:styleId="Revision">
    <w:name w:val="Revision"/>
    <w:uiPriority w:val="99"/>
    <w:semiHidden/>
    <w:rsid w:val="005227A3"/>
    <w:pPr>
      <w:spacing w:before="0" w:after="0"/>
    </w:pPr>
    <w:rPr>
      <w:rFonts w:ascii="Calibri" w:hAnsi="Calibri"/>
      <w:color w:val="auto"/>
      <w:sz w:val="22"/>
      <w:szCs w:val="22"/>
    </w:rPr>
  </w:style>
  <w:style w:type="paragraph" w:styleId="ListParagraph">
    <w:name w:val="List Paragraph"/>
    <w:basedOn w:val="Normal"/>
    <w:uiPriority w:val="34"/>
    <w:qFormat/>
    <w:rsid w:val="005227A3"/>
    <w:pPr>
      <w:ind w:left="720"/>
      <w:contextualSpacing/>
    </w:pPr>
  </w:style>
  <w:style w:type="paragraph" w:styleId="IntenseQuote">
    <w:name w:val="Intense Quote"/>
    <w:basedOn w:val="Normal"/>
    <w:next w:val="Normal"/>
    <w:link w:val="IntenseQuoteChar"/>
    <w:uiPriority w:val="30"/>
    <w:qFormat/>
    <w:rsid w:val="005227A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27A3"/>
    <w:rPr>
      <w:rFonts w:ascii="Calibri" w:hAnsi="Calibri"/>
      <w:b/>
      <w:bCs/>
      <w:i/>
      <w:iCs/>
      <w:color w:val="auto"/>
      <w:sz w:val="22"/>
      <w:szCs w:val="22"/>
    </w:rPr>
  </w:style>
  <w:style w:type="paragraph" w:customStyle="1" w:styleId="DHHSbullet1">
    <w:name w:val="DHHS bullet 1"/>
    <w:basedOn w:val="Normal"/>
    <w:qFormat/>
    <w:rsid w:val="005227A3"/>
    <w:pPr>
      <w:numPr>
        <w:numId w:val="12"/>
      </w:numPr>
      <w:spacing w:after="40" w:line="270" w:lineRule="atLeast"/>
    </w:pPr>
    <w:rPr>
      <w:rFonts w:ascii="Arial" w:eastAsia="Times" w:hAnsi="Arial" w:cs="Times New Roman"/>
      <w:sz w:val="20"/>
      <w:szCs w:val="20"/>
    </w:rPr>
  </w:style>
  <w:style w:type="paragraph" w:customStyle="1" w:styleId="DHHSbullet2">
    <w:name w:val="DHHS bullet 2"/>
    <w:basedOn w:val="Normal"/>
    <w:uiPriority w:val="2"/>
    <w:qFormat/>
    <w:rsid w:val="005227A3"/>
    <w:pPr>
      <w:numPr>
        <w:ilvl w:val="1"/>
        <w:numId w:val="12"/>
      </w:numPr>
      <w:spacing w:after="40" w:line="270" w:lineRule="atLeast"/>
    </w:pPr>
    <w:rPr>
      <w:rFonts w:ascii="Arial" w:eastAsia="Times" w:hAnsi="Arial" w:cs="Times New Roman"/>
      <w:sz w:val="20"/>
      <w:szCs w:val="20"/>
    </w:rPr>
  </w:style>
  <w:style w:type="paragraph" w:customStyle="1" w:styleId="DHHStablecolhead">
    <w:name w:val="DHHS table col head"/>
    <w:uiPriority w:val="3"/>
    <w:qFormat/>
    <w:rsid w:val="005227A3"/>
    <w:pPr>
      <w:spacing w:before="80" w:after="60"/>
    </w:pPr>
    <w:rPr>
      <w:rFonts w:ascii="Arial" w:eastAsia="Times New Roman" w:hAnsi="Arial" w:cs="Times New Roman"/>
      <w:b/>
      <w:color w:val="AF272F"/>
    </w:rPr>
  </w:style>
  <w:style w:type="character" w:styleId="CommentReference">
    <w:name w:val="annotation reference"/>
    <w:basedOn w:val="DefaultParagraphFont"/>
    <w:uiPriority w:val="99"/>
    <w:semiHidden/>
    <w:unhideWhenUsed/>
    <w:rsid w:val="005227A3"/>
    <w:rPr>
      <w:sz w:val="16"/>
      <w:szCs w:val="16"/>
    </w:rPr>
  </w:style>
  <w:style w:type="character" w:styleId="SubtleEmphasis">
    <w:name w:val="Subtle Emphasis"/>
    <w:uiPriority w:val="19"/>
    <w:qFormat/>
    <w:rsid w:val="005227A3"/>
    <w:rPr>
      <w:i/>
      <w:iCs/>
    </w:rPr>
  </w:style>
  <w:style w:type="character" w:styleId="SubtleReference">
    <w:name w:val="Subtle Reference"/>
    <w:uiPriority w:val="31"/>
    <w:qFormat/>
    <w:rsid w:val="005227A3"/>
    <w:rPr>
      <w:smallCaps/>
    </w:rPr>
  </w:style>
  <w:style w:type="character" w:styleId="IntenseReference">
    <w:name w:val="Intense Reference"/>
    <w:uiPriority w:val="32"/>
    <w:qFormat/>
    <w:rsid w:val="005227A3"/>
    <w:rPr>
      <w:smallCaps/>
      <w:spacing w:val="5"/>
      <w:u w:val="single"/>
    </w:rPr>
  </w:style>
  <w:style w:type="character" w:styleId="BookTitle">
    <w:name w:val="Book Title"/>
    <w:uiPriority w:val="33"/>
    <w:qFormat/>
    <w:rsid w:val="005227A3"/>
    <w:rPr>
      <w:i/>
      <w:iCs/>
      <w:smallCaps/>
      <w:spacing w:val="5"/>
    </w:rPr>
  </w:style>
  <w:style w:type="table" w:styleId="GridTable4-Accent1">
    <w:name w:val="Grid Table 4 Accent 1"/>
    <w:basedOn w:val="TableNormal"/>
    <w:uiPriority w:val="49"/>
    <w:rsid w:val="005227A3"/>
    <w:pPr>
      <w:spacing w:before="0" w:after="0"/>
    </w:pPr>
    <w:rPr>
      <w:color w:val="auto"/>
      <w:sz w:val="22"/>
      <w:szCs w:val="22"/>
    </w:rPr>
    <w:tblPr>
      <w:tblStyleRowBandSize w:val="1"/>
      <w:tblStyleColBandSize w:val="1"/>
      <w:tblInd w:w="0" w:type="nil"/>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numbering" w:customStyle="1" w:styleId="ZZBullets">
    <w:name w:val="ZZ Bullets"/>
    <w:rsid w:val="005227A3"/>
    <w:pPr>
      <w:numPr>
        <w:numId w:val="12"/>
      </w:numPr>
    </w:pPr>
  </w:style>
  <w:style w:type="table" w:styleId="GridTable2-Accent4">
    <w:name w:val="Grid Table 2 Accent 4"/>
    <w:basedOn w:val="TableNormal"/>
    <w:uiPriority w:val="47"/>
    <w:rsid w:val="0075589C"/>
    <w:pPr>
      <w:spacing w:before="0" w:after="0"/>
    </w:pPr>
    <w:rPr>
      <w:color w:val="auto"/>
      <w:sz w:val="22"/>
      <w:szCs w:val="22"/>
    </w:rPr>
    <w:tblPr>
      <w:tblStyleRowBandSize w:val="1"/>
      <w:tblStyleColBandSize w:val="1"/>
      <w:tblBorders>
        <w:top w:val="single" w:sz="2" w:space="0" w:color="92C290" w:themeColor="accent4" w:themeTint="99"/>
        <w:bottom w:val="single" w:sz="2" w:space="0" w:color="92C290" w:themeColor="accent4" w:themeTint="99"/>
        <w:insideH w:val="single" w:sz="2" w:space="0" w:color="92C290" w:themeColor="accent4" w:themeTint="99"/>
        <w:insideV w:val="single" w:sz="2" w:space="0" w:color="92C290" w:themeColor="accent4" w:themeTint="99"/>
      </w:tblBorders>
    </w:tblPr>
    <w:tblStylePr w:type="firstRow">
      <w:rPr>
        <w:b/>
        <w:bCs/>
      </w:rPr>
      <w:tblPr/>
      <w:tcPr>
        <w:tcBorders>
          <w:top w:val="nil"/>
          <w:bottom w:val="single" w:sz="12" w:space="0" w:color="92C290" w:themeColor="accent4" w:themeTint="99"/>
          <w:insideH w:val="nil"/>
          <w:insideV w:val="nil"/>
        </w:tcBorders>
        <w:shd w:val="clear" w:color="auto" w:fill="FFFFFF" w:themeFill="background1"/>
      </w:tcPr>
    </w:tblStylePr>
    <w:tblStylePr w:type="lastRow">
      <w:rPr>
        <w:b/>
        <w:bCs/>
      </w:rPr>
      <w:tblPr/>
      <w:tcPr>
        <w:tcBorders>
          <w:top w:val="double" w:sz="2" w:space="0" w:color="92C29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ADA" w:themeFill="accent4" w:themeFillTint="33"/>
      </w:tcPr>
    </w:tblStylePr>
    <w:tblStylePr w:type="band1Horz">
      <w:tblPr/>
      <w:tcPr>
        <w:shd w:val="clear" w:color="auto" w:fill="DAEADA"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76159">
      <w:bodyDiv w:val="1"/>
      <w:marLeft w:val="0"/>
      <w:marRight w:val="0"/>
      <w:marTop w:val="0"/>
      <w:marBottom w:val="0"/>
      <w:divBdr>
        <w:top w:val="none" w:sz="0" w:space="0" w:color="auto"/>
        <w:left w:val="none" w:sz="0" w:space="0" w:color="auto"/>
        <w:bottom w:val="none" w:sz="0" w:space="0" w:color="auto"/>
        <w:right w:val="none" w:sz="0" w:space="0" w:color="auto"/>
      </w:divBdr>
    </w:div>
    <w:div w:id="697855871">
      <w:bodyDiv w:val="1"/>
      <w:marLeft w:val="0"/>
      <w:marRight w:val="0"/>
      <w:marTop w:val="0"/>
      <w:marBottom w:val="0"/>
      <w:divBdr>
        <w:top w:val="none" w:sz="0" w:space="0" w:color="auto"/>
        <w:left w:val="none" w:sz="0" w:space="0" w:color="auto"/>
        <w:bottom w:val="none" w:sz="0" w:space="0" w:color="auto"/>
        <w:right w:val="none" w:sz="0" w:space="0" w:color="auto"/>
      </w:divBdr>
    </w:div>
    <w:div w:id="720518981">
      <w:bodyDiv w:val="1"/>
      <w:marLeft w:val="0"/>
      <w:marRight w:val="0"/>
      <w:marTop w:val="0"/>
      <w:marBottom w:val="0"/>
      <w:divBdr>
        <w:top w:val="none" w:sz="0" w:space="0" w:color="auto"/>
        <w:left w:val="none" w:sz="0" w:space="0" w:color="auto"/>
        <w:bottom w:val="none" w:sz="0" w:space="0" w:color="auto"/>
        <w:right w:val="none" w:sz="0" w:space="0" w:color="auto"/>
      </w:divBdr>
    </w:div>
    <w:div w:id="1092317761">
      <w:bodyDiv w:val="1"/>
      <w:marLeft w:val="0"/>
      <w:marRight w:val="0"/>
      <w:marTop w:val="0"/>
      <w:marBottom w:val="0"/>
      <w:divBdr>
        <w:top w:val="none" w:sz="0" w:space="0" w:color="auto"/>
        <w:left w:val="none" w:sz="0" w:space="0" w:color="auto"/>
        <w:bottom w:val="none" w:sz="0" w:space="0" w:color="auto"/>
        <w:right w:val="none" w:sz="0" w:space="0" w:color="auto"/>
      </w:divBdr>
    </w:div>
    <w:div w:id="1502506857">
      <w:bodyDiv w:val="1"/>
      <w:marLeft w:val="0"/>
      <w:marRight w:val="0"/>
      <w:marTop w:val="0"/>
      <w:marBottom w:val="0"/>
      <w:divBdr>
        <w:top w:val="none" w:sz="0" w:space="0" w:color="auto"/>
        <w:left w:val="none" w:sz="0" w:space="0" w:color="auto"/>
        <w:bottom w:val="none" w:sz="0" w:space="0" w:color="auto"/>
        <w:right w:val="none" w:sz="0" w:space="0" w:color="auto"/>
      </w:divBdr>
    </w:div>
    <w:div w:id="20517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sw.gov.au/Infectious/covid-19/Pages/disability-support.aspx" TargetMode="External"/><Relationship Id="rId13" Type="http://schemas.openxmlformats.org/officeDocument/2006/relationships/hyperlink" Target="https://www.health.nsw.gov.au/Infectious/covid-19/Documents/exemption-care-services-recent-covid-infection.pdf" TargetMode="External"/><Relationship Id="rId18" Type="http://schemas.openxmlformats.org/officeDocument/2006/relationships/hyperlink" Target="https://health.nt.gov.au/covid-19/vaccine" TargetMode="External"/><Relationship Id="rId26" Type="http://schemas.openxmlformats.org/officeDocument/2006/relationships/hyperlink" Target="https://www.coronavirus.tas.gov.au/vaccination-information/vaccination-requirement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ealth.nsw.gov.au/Infectious/covid-19/Documents/exemption_care_services_PHO_workers_under_16.pdf" TargetMode="External"/><Relationship Id="rId17" Type="http://schemas.openxmlformats.org/officeDocument/2006/relationships/hyperlink" Target="https://legislation.act.gov.au/ni/2022-17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ovid19.act.gov.au/management" TargetMode="External"/><Relationship Id="rId20" Type="http://schemas.openxmlformats.org/officeDocument/2006/relationships/header" Target="header1.xml"/><Relationship Id="rId29" Type="http://schemas.openxmlformats.org/officeDocument/2006/relationships/hyperlink" Target="https://www.qld.gov.au/health/conditions/health-alerts/coronavirus-covid-19/current-status/public-health-directions/requirements-for-workers-in-healthcare-set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sw.gov.au/Infectious/covid-19/Documents/exemption-aged-care-essential.pdf"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slation.act.gov.au/ni/2022-172/" TargetMode="External"/><Relationship Id="rId23" Type="http://schemas.openxmlformats.org/officeDocument/2006/relationships/footer" Target="footer2.xml"/><Relationship Id="rId28" Type="http://schemas.openxmlformats.org/officeDocument/2006/relationships/hyperlink" Target="https://www.legislation.sa.gov.au/legislation/CV19/current-directions/Emergency-Management-In-home-and-Community-Aged-Care-and-Disability-Support-Workers-Vaccination-No-4-COVID-19-Direction-2022_29.1.2022.pdf" TargetMode="External"/><Relationship Id="rId10" Type="http://schemas.openxmlformats.org/officeDocument/2006/relationships/hyperlink" Target="https://legislation.nsw.gov.au/file/Public%20Health%20(COVID-19%20Care%20Services)%20Order%20(No%203)%202022.pdf" TargetMode="External"/><Relationship Id="rId19" Type="http://schemas.openxmlformats.org/officeDocument/2006/relationships/hyperlink" Target="https://coronavirus.nt.gov.au/chief-health-officer-direct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nsw.gov.au/Infectious/covid-19/Pages/disability-latest-advice.aspx" TargetMode="External"/><Relationship Id="rId14" Type="http://schemas.openxmlformats.org/officeDocument/2006/relationships/hyperlink" Target="https://www.health.vic.gov.au/immunisation/vaccination-for-healthcare-workers" TargetMode="External"/><Relationship Id="rId22" Type="http://schemas.openxmlformats.org/officeDocument/2006/relationships/footer" Target="footer1.xml"/><Relationship Id="rId27" Type="http://schemas.openxmlformats.org/officeDocument/2006/relationships/hyperlink" Target="https://www.sahealth.sa.gov.au/wps/wcm/connect/public+content/sa+health+internet/conditions/infectious+diseases/covid-19" TargetMode="External"/><Relationship Id="rId30" Type="http://schemas.openxmlformats.org/officeDocument/2006/relationships/hyperlink" Target="https://www.wa.gov.au/government/document-collections/covid-19-coronavirus-mandatory-vaccination"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733A2-44E3-4CDC-9E70-9AD62F28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1523</Words>
  <Characters>8677</Characters>
  <Application>Microsoft Office Word</Application>
  <DocSecurity>0</DocSecurity>
  <Lines>189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2022-11-21T00:22:00Z</dcterms:created>
  <dcterms:modified xsi:type="dcterms:W3CDTF">2022-11-21T00:22:00Z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38F9BF24E34B9020E28CEEAE4D48B506C0CA5314</vt:lpwstr>
  </property>
  <property fmtid="{D5CDD505-2E9C-101B-9397-08002B2CF9AE}" pid="9" name="PM_Originating_FileId">
    <vt:lpwstr>A91442F185B2407885F1525ADD7E046D</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2022-11-21T00:22:25Z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4FD8F33C7534B1121349CE1593144D57</vt:lpwstr>
  </property>
  <property fmtid="{D5CDD505-2E9C-101B-9397-08002B2CF9AE}" pid="20" name="PM_Hash_Salt">
    <vt:lpwstr>429465F618AB5B18EB56DEAB720CB515</vt:lpwstr>
  </property>
  <property fmtid="{D5CDD505-2E9C-101B-9397-08002B2CF9AE}" pid="21" name="PM_Hash_SHA1">
    <vt:lpwstr>13E486E99ECB617ECBE076EEBA5D78BBE8407B97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