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5BE3" w:rsidRDefault="00183204" w:rsidP="002E7052">
      <w:pPr>
        <w:pStyle w:val="Heading1"/>
        <w:spacing w:after="360"/>
      </w:pPr>
      <w:bookmarkStart w:id="0" w:name="_GoBack"/>
      <w:bookmarkEnd w:id="0"/>
      <w:r>
        <w:t>Joint Statement on the Approach to Supporting at Risk NDIS participants</w:t>
      </w:r>
    </w:p>
    <w:p w:rsidR="00B35BE3" w:rsidRDefault="00183204" w:rsidP="00B35BE3">
      <w:pPr>
        <w:suppressAutoHyphens w:val="0"/>
        <w:spacing w:before="120" w:after="120" w:line="240" w:lineRule="auto"/>
      </w:pPr>
      <w:r>
        <w:t>The NDIS is a universal scheme for Australians with permanent and significant disability who are likely to require lifelong supports to assist them to participate in, and contribute to, social and economic life.</w:t>
      </w:r>
    </w:p>
    <w:p w:rsidR="00B35BE3" w:rsidRDefault="00183204" w:rsidP="00B35BE3">
      <w:pPr>
        <w:suppressAutoHyphens w:val="0"/>
        <w:spacing w:before="120" w:after="120" w:line="240" w:lineRule="auto"/>
      </w:pPr>
      <w:r>
        <w:t xml:space="preserve">The NDIS gives effect to Australia’s obligations under the Convention on the Rights of Persons with Disabilities. It is designed to support the independence and social and economic participation of people with disability, by providing supports necessary to enable them to realise that independence and participation, and to exercise choice and control in their lives, and in how the supports they require are delivered.  </w:t>
      </w:r>
    </w:p>
    <w:p w:rsidR="00B35BE3" w:rsidRDefault="00183204" w:rsidP="00B35BE3">
      <w:pPr>
        <w:suppressAutoHyphens w:val="0"/>
        <w:spacing w:before="120" w:after="120" w:line="240" w:lineRule="auto"/>
      </w:pPr>
      <w:r>
        <w:t xml:space="preserve">The National Disability Insurance Agency (NDIA) and the NDIS Quality and Safeguards Commission (NDIS Commission) are each established under the National Disability Insurance Scheme Act and together implement the principles and objects of the NDIS Act, through fulfilment of their respective functions. </w:t>
      </w:r>
    </w:p>
    <w:p w:rsidR="00B35BE3" w:rsidRDefault="00183204" w:rsidP="00B35BE3">
      <w:pPr>
        <w:suppressAutoHyphens w:val="0"/>
        <w:spacing w:before="120" w:after="120" w:line="240" w:lineRule="auto"/>
      </w:pPr>
      <w:r>
        <w:t>The NDIA and the NDIS Commission each work to build the capacity of NDIS participants to achieve outcomes in the NDIS that promote their rights, health, safety and wellbeing.</w:t>
      </w:r>
    </w:p>
    <w:p w:rsidR="00B35BE3" w:rsidRDefault="00183204" w:rsidP="00B35BE3">
      <w:pPr>
        <w:suppressAutoHyphens w:val="0"/>
        <w:spacing w:before="120" w:after="120" w:line="240" w:lineRule="auto"/>
      </w:pPr>
      <w:r>
        <w:t xml:space="preserve">The NDIA administers the scheme, providing eligible participants with individualised funding to access reasonable and necessary supports to maximise their social and economic participation in their communities. </w:t>
      </w:r>
    </w:p>
    <w:p w:rsidR="00B35BE3" w:rsidRDefault="00183204" w:rsidP="00B35BE3">
      <w:pPr>
        <w:suppressAutoHyphens w:val="0"/>
        <w:spacing w:before="120" w:after="120" w:line="240" w:lineRule="auto"/>
      </w:pPr>
      <w:r>
        <w:t xml:space="preserve">The NDIS Commission regulates the providers of the supports and services that NDIS participants receive through the NDIS. </w:t>
      </w:r>
    </w:p>
    <w:p w:rsidR="00B35BE3" w:rsidRDefault="00183204" w:rsidP="00B35BE3">
      <w:pPr>
        <w:suppressAutoHyphens w:val="0"/>
        <w:spacing w:before="120" w:after="120" w:line="240" w:lineRule="auto"/>
      </w:pPr>
      <w:r>
        <w:t>In addition the Department of Social Services (DSS) leads policy and legislative work in relation to the NDIS Quality and Safeguarding Framework and provides policy advice to the Minister with responsibility for the NDIS.</w:t>
      </w:r>
    </w:p>
    <w:p w:rsidR="00B35BE3" w:rsidRDefault="00183204" w:rsidP="00B35BE3">
      <w:pPr>
        <w:pStyle w:val="Heading2"/>
      </w:pPr>
      <w:r>
        <w:t>A joined up approach to at risk participants</w:t>
      </w:r>
    </w:p>
    <w:p w:rsidR="00B35BE3" w:rsidRDefault="00183204" w:rsidP="00B35BE3">
      <w:pPr>
        <w:suppressAutoHyphens w:val="0"/>
        <w:spacing w:before="120" w:after="120" w:line="240" w:lineRule="auto"/>
      </w:pPr>
      <w:r>
        <w:t>We recognise that the needs of participants are diverse, and that everyone in the NDIS should have equitable access to effective, safe and quality supports that meet their needs no matter what their circumstances, the nature of their disability, or where they live.</w:t>
      </w:r>
    </w:p>
    <w:p w:rsidR="00B35BE3" w:rsidRDefault="00183204" w:rsidP="00B35BE3">
      <w:pPr>
        <w:suppressAutoHyphens w:val="0"/>
        <w:spacing w:before="120" w:after="120" w:line="240" w:lineRule="auto"/>
      </w:pPr>
      <w:r>
        <w:t>We also recognise that some participants may be at greater risk of poor outcomes, including risk of harm.</w:t>
      </w:r>
    </w:p>
    <w:p w:rsidR="00B35BE3" w:rsidRDefault="006E60B6" w:rsidP="00B35BE3">
      <w:pPr>
        <w:suppressAutoHyphens w:val="0"/>
        <w:spacing w:before="120" w:after="120" w:line="240" w:lineRule="auto"/>
      </w:pPr>
      <w:r>
        <w:t>In April 2020 Ms Ann</w:t>
      </w:r>
      <w:r w:rsidR="00183204">
        <w:t xml:space="preserve">-Marie Smith, an NDIS participant, died in appalling circumstances in her home in Adelaide. Her carer pleaded guilty to manslaughter and was sentenced to 6 years’ jail in early 2022. An independent inquiry was undertaken by former Federal Court judge, the Hon Alan Robertson SC, into the systems and processes of the NDIS Commission in its regulation of Ms Smith’s NDIS provider, Integrity Care. Mr Robertson also considered the actions of the NDIS Commission in response to Ms Smith’s death. </w:t>
      </w:r>
    </w:p>
    <w:p w:rsidR="00B35BE3" w:rsidRDefault="00183204" w:rsidP="00B35BE3">
      <w:pPr>
        <w:suppressAutoHyphens w:val="0"/>
        <w:spacing w:before="120" w:after="120" w:line="240" w:lineRule="auto"/>
      </w:pPr>
      <w:r>
        <w:lastRenderedPageBreak/>
        <w:t xml:space="preserve">Mr Robertson’s report was released to the public on 4 September 2020. His review did not identify any significant failings in the nature or timing of the steps taken by the NDIS Commission in response to Ms Smith's death.  </w:t>
      </w:r>
    </w:p>
    <w:p w:rsidR="00B35BE3" w:rsidRDefault="00183204" w:rsidP="00B35BE3">
      <w:pPr>
        <w:suppressAutoHyphens w:val="0"/>
        <w:spacing w:before="120" w:after="120" w:line="240" w:lineRule="auto"/>
      </w:pPr>
      <w:r>
        <w:t xml:space="preserve">In making his findings Mr Robertson made recommendations on further actions that should be taken by the NDIS Commissioner. Mr Robertson also made suggestions relating to the NDIA that required joint or coordinated action with the NDIS Commission and the broader NDIS quality and safeguarding policy framework. </w:t>
      </w:r>
    </w:p>
    <w:p w:rsidR="00B35BE3" w:rsidRDefault="00183204" w:rsidP="00B35BE3">
      <w:pPr>
        <w:pStyle w:val="Heading2"/>
      </w:pPr>
      <w:r>
        <w:t xml:space="preserve">Taking action to address risk </w:t>
      </w:r>
    </w:p>
    <w:p w:rsidR="00B35BE3" w:rsidRDefault="00183204" w:rsidP="00B35BE3">
      <w:pPr>
        <w:suppressAutoHyphens w:val="0"/>
        <w:spacing w:before="120" w:after="120" w:line="240" w:lineRule="auto"/>
      </w:pPr>
      <w:r>
        <w:t>The Australian Government through the NDIA, NDIS Commission and DSS, has adopted a shared approach to identifying and responding to NDIS participants who may be at greater risk of harm and for whom the current system level approach to regulating and safeguards under the NDIS Quality and Safeguards Framework may be less effective.</w:t>
      </w:r>
    </w:p>
    <w:p w:rsidR="00B35BE3" w:rsidRDefault="00183204" w:rsidP="00B35BE3">
      <w:pPr>
        <w:suppressAutoHyphens w:val="0"/>
        <w:spacing w:before="120" w:after="120" w:line="240" w:lineRule="auto"/>
      </w:pPr>
      <w:r>
        <w:t xml:space="preserve">Further, a Targeted Action Plan is being developed as a part of Australia’s Disability Strategy and is aimed at improving safety in supports for people with disability using mainstream service systems such as health, education, justice and housing who may have interactions with the NDIS. </w:t>
      </w:r>
    </w:p>
    <w:p w:rsidR="00B35BE3" w:rsidRDefault="00183204" w:rsidP="00B35BE3">
      <w:pPr>
        <w:suppressAutoHyphens w:val="0"/>
        <w:spacing w:before="120" w:after="120" w:line="240" w:lineRule="auto"/>
      </w:pPr>
      <w:r>
        <w:t>This shared approach includes consideration of the role of both the NDIS Commission and the NDIA in safeguarding participants.</w:t>
      </w:r>
    </w:p>
    <w:p w:rsidR="00B35BE3" w:rsidRDefault="00183204" w:rsidP="00B35BE3">
      <w:pPr>
        <w:suppressAutoHyphens w:val="0"/>
        <w:spacing w:before="120" w:after="120" w:line="240" w:lineRule="auto"/>
      </w:pPr>
      <w:r>
        <w:t xml:space="preserve">The NDIS Commission has taken action in respect of those recommendations made by Mr Robertson that fall within its purview and will continue to develop additional responses and monitor progress. </w:t>
      </w:r>
    </w:p>
    <w:p w:rsidR="00B35BE3" w:rsidRDefault="00183204" w:rsidP="00B35BE3">
      <w:pPr>
        <w:suppressAutoHyphens w:val="0"/>
        <w:spacing w:before="120" w:after="120" w:line="240" w:lineRule="auto"/>
      </w:pPr>
      <w:r>
        <w:t>The NDIA has similarly responded to Mr Robertson’s suggestions as they relate to its area of responsibility and its interactions with the NDIS Commission including establishing a framework for identifying at risk participants and addressing that risk through its functions. In recognition of this shared responsibility, the NDIA and NDIS Commission have also jointly developed an Operational Protocol for potentially vulnerable or at risk participants.</w:t>
      </w:r>
    </w:p>
    <w:p w:rsidR="00B35BE3" w:rsidRDefault="00183204" w:rsidP="00B35BE3">
      <w:pPr>
        <w:suppressAutoHyphens w:val="0"/>
        <w:spacing w:before="120" w:after="120" w:line="240" w:lineRule="auto"/>
      </w:pPr>
      <w:r>
        <w:t>The following steps have been taken to address the risk of harm:</w:t>
      </w:r>
    </w:p>
    <w:p w:rsidR="00B35BE3" w:rsidRPr="00B35BE3" w:rsidRDefault="00183204" w:rsidP="00B35BE3">
      <w:pPr>
        <w:pStyle w:val="Bullet1"/>
      </w:pPr>
      <w:r w:rsidRPr="00B35BE3">
        <w:rPr>
          <w:b/>
          <w:color w:val="612C69"/>
        </w:rPr>
        <w:t>Developed approach to identify at risk participants</w:t>
      </w:r>
      <w:r w:rsidRPr="00B35BE3">
        <w:t xml:space="preserve"> by both the NDIA and the NDIS Commission to: identify those participants that need additional focus to reduce the risk of harm to them; identify how, from time to time, and at any particular time, such participants can be identified; and implementing arrangements to ensure that the risks experienced by those participants are responded to at the individual level, relative to the role of the NDIA and the NDIS Commission, or other parties. Specific measures include planners conducting periodic check ins with identified at risk participants, and complaints officers conducting provider site visits according to refreshed guidelines.</w:t>
      </w:r>
    </w:p>
    <w:p w:rsidR="00B35BE3" w:rsidRPr="00B35BE3" w:rsidRDefault="00183204" w:rsidP="00B35BE3">
      <w:pPr>
        <w:pStyle w:val="Bullet1"/>
      </w:pPr>
      <w:r w:rsidRPr="00B35BE3">
        <w:rPr>
          <w:b/>
          <w:color w:val="612C69"/>
        </w:rPr>
        <w:t>Strengthened the NDIS Act</w:t>
      </w:r>
      <w:r w:rsidRPr="00B35BE3">
        <w:t xml:space="preserve"> to enable the sharing and use of protected NDIS Commission information where it is necessary to prevent any threat to a person’s life, health or safety.</w:t>
      </w:r>
    </w:p>
    <w:p w:rsidR="00B35BE3" w:rsidRPr="00B35BE3" w:rsidRDefault="00183204" w:rsidP="00B35BE3">
      <w:pPr>
        <w:pStyle w:val="Bullet1"/>
      </w:pPr>
      <w:r w:rsidRPr="00B35BE3">
        <w:rPr>
          <w:b/>
          <w:color w:val="612C69"/>
        </w:rPr>
        <w:t>Updated existing joint protocols</w:t>
      </w:r>
      <w:r w:rsidRPr="00B35BE3">
        <w:t xml:space="preserve"> between the NDIS Commission and the NDIA to permit freer, two-way sharing of information reflecting the changes to the NDIS Act. </w:t>
      </w:r>
    </w:p>
    <w:p w:rsidR="00B35BE3" w:rsidRPr="00B35BE3" w:rsidRDefault="00183204" w:rsidP="00B35BE3">
      <w:pPr>
        <w:pStyle w:val="Bullet1"/>
      </w:pPr>
      <w:r w:rsidRPr="00B35BE3">
        <w:rPr>
          <w:b/>
          <w:color w:val="612C69"/>
        </w:rPr>
        <w:t>Established an enduring arrangement for the sharing of certain data</w:t>
      </w:r>
      <w:r w:rsidRPr="00B35BE3">
        <w:t xml:space="preserve"> between the NDIA and the NDIS Commission to enable seamless planning, a no wrong door approach for complaints, and management of active risks.</w:t>
      </w:r>
    </w:p>
    <w:p w:rsidR="00B35BE3" w:rsidRPr="00B35BE3" w:rsidRDefault="00183204" w:rsidP="00B35BE3">
      <w:pPr>
        <w:pStyle w:val="Bullet1"/>
      </w:pPr>
      <w:r w:rsidRPr="00B35BE3">
        <w:rPr>
          <w:b/>
          <w:color w:val="612C69"/>
        </w:rPr>
        <w:lastRenderedPageBreak/>
        <w:t>Established an approach to escalating certain risks about the wellbeing and safety of participants and respond to participants with critical support needs</w:t>
      </w:r>
      <w:r w:rsidRPr="00B35BE3">
        <w:t xml:space="preserve"> between the NDIS Commission and the NDIA.</w:t>
      </w:r>
    </w:p>
    <w:p w:rsidR="00B35BE3" w:rsidRPr="00B35BE3" w:rsidRDefault="00183204" w:rsidP="00B35BE3">
      <w:pPr>
        <w:pStyle w:val="Bullet1"/>
      </w:pPr>
      <w:r w:rsidRPr="00B35BE3">
        <w:rPr>
          <w:b/>
          <w:color w:val="612C69"/>
        </w:rPr>
        <w:t>Placed additional obligations on registered NDIS providers</w:t>
      </w:r>
      <w:r w:rsidRPr="00B35BE3">
        <w:t xml:space="preserve"> supporting people in their own home, to provide added oversight and protection where a person has a sole support worker, and associated compliance oversight of those obligations by the NDIS Commission.</w:t>
      </w:r>
    </w:p>
    <w:p w:rsidR="00B35BE3" w:rsidRDefault="00183204" w:rsidP="00B35BE3">
      <w:pPr>
        <w:suppressAutoHyphens w:val="0"/>
        <w:spacing w:before="120" w:after="120" w:line="240" w:lineRule="auto"/>
      </w:pPr>
      <w:r>
        <w:t>The NDIS Quality and Safeguarding Framework will be reviewed in 2022-23, which will provide an opportunity for stakeholders to provide feedback on how quality and safeguarding arrangements can continue to be further improved.</w:t>
      </w:r>
    </w:p>
    <w:p w:rsidR="00950954" w:rsidRPr="00950954" w:rsidRDefault="00183204" w:rsidP="00950954">
      <w:pPr>
        <w:keepNext/>
        <w:pBdr>
          <w:top w:val="single" w:sz="8" w:space="10" w:color="FBF7FD"/>
          <w:left w:val="single" w:sz="8" w:space="10" w:color="FBF7FD"/>
          <w:bottom w:val="single" w:sz="8" w:space="10" w:color="FBF7FD"/>
          <w:right w:val="single" w:sz="8" w:space="10" w:color="FBF7FD"/>
        </w:pBdr>
        <w:shd w:val="clear" w:color="auto" w:fill="F7F0FA"/>
        <w:suppressAutoHyphens w:val="0"/>
        <w:spacing w:before="0" w:after="120" w:line="240" w:lineRule="auto"/>
        <w:ind w:right="-34"/>
        <w:outlineLvl w:val="1"/>
        <w:rPr>
          <w:rFonts w:ascii="Calibri" w:eastAsia="Arial Unicode MS" w:hAnsi="Calibri" w:cs="Arial Unicode MS"/>
          <w:b/>
          <w:bCs/>
          <w:color w:val="auto"/>
          <w:sz w:val="26"/>
          <w:szCs w:val="26"/>
          <w:bdr w:val="nil"/>
          <w:lang w:eastAsia="en-AU"/>
          <w14:textOutline w14:w="0" w14:cap="flat" w14:cmpd="sng" w14:algn="ctr">
            <w14:noFill/>
            <w14:prstDash w14:val="solid"/>
            <w14:bevel/>
          </w14:textOutline>
        </w:rPr>
      </w:pPr>
      <w:r w:rsidRPr="00950954">
        <w:rPr>
          <w:rFonts w:ascii="Calibri" w:eastAsia="Arial Unicode MS" w:hAnsi="Calibri" w:cs="Arial Unicode MS"/>
          <w:b/>
          <w:bCs/>
          <w:color w:val="auto"/>
          <w:sz w:val="26"/>
          <w:szCs w:val="26"/>
          <w:bdr w:val="nil"/>
          <w:lang w:eastAsia="en-AU"/>
          <w14:textOutline w14:w="0" w14:cap="flat" w14:cmpd="sng" w14:algn="ctr">
            <w14:noFill/>
            <w14:prstDash w14:val="solid"/>
            <w14:bevel/>
          </w14:textOutline>
        </w:rPr>
        <w:t>By working together to identify and provide additional focus to reduce the risk of harm to those participants who need additional protections</w:t>
      </w:r>
      <w:r w:rsidR="00DD3BF5">
        <w:rPr>
          <w:rFonts w:ascii="Calibri" w:eastAsia="Arial Unicode MS" w:hAnsi="Calibri" w:cs="Arial Unicode MS"/>
          <w:b/>
          <w:bCs/>
          <w:color w:val="auto"/>
          <w:sz w:val="26"/>
          <w:szCs w:val="26"/>
          <w:bdr w:val="nil"/>
          <w:lang w:eastAsia="en-AU"/>
          <w14:textOutline w14:w="0" w14:cap="flat" w14:cmpd="sng" w14:algn="ctr">
            <w14:noFill/>
            <w14:prstDash w14:val="solid"/>
            <w14:bevel/>
          </w14:textOutline>
        </w:rPr>
        <w:t>, we are continuing to improve</w:t>
      </w:r>
      <w:r w:rsidRPr="00950954">
        <w:rPr>
          <w:rFonts w:ascii="Calibri" w:eastAsia="Arial Unicode MS" w:hAnsi="Calibri" w:cs="Arial Unicode MS"/>
          <w:b/>
          <w:bCs/>
          <w:color w:val="auto"/>
          <w:sz w:val="26"/>
          <w:szCs w:val="26"/>
          <w:bdr w:val="nil"/>
          <w:lang w:eastAsia="en-AU"/>
          <w14:textOutline w14:w="0" w14:cap="flat" w14:cmpd="sng" w14:algn="ctr">
            <w14:noFill/>
            <w14:prstDash w14:val="solid"/>
            <w14:bevel/>
          </w14:textOutline>
        </w:rPr>
        <w:t xml:space="preserve"> the outcomes for all Australians participating in the NDIS, no matter what their circumstances.</w:t>
      </w:r>
    </w:p>
    <w:p w:rsidR="00CB64BD" w:rsidRDefault="00183204" w:rsidP="00AA4C87">
      <w:pPr>
        <w:suppressAutoHyphens w:val="0"/>
        <w:spacing w:before="120" w:after="1440" w:line="240" w:lineRule="auto"/>
      </w:pPr>
      <w:r>
        <w:t>June</w:t>
      </w:r>
      <w:r w:rsidR="00B35BE3">
        <w:t xml:space="preserve"> 2022</w:t>
      </w:r>
    </w:p>
    <w:p w:rsidR="00244EEC" w:rsidRDefault="00244EEC" w:rsidP="00B35BE3">
      <w:pPr>
        <w:suppressAutoHyphens w:val="0"/>
        <w:spacing w:before="120" w:after="120" w:line="240" w:lineRule="auto"/>
        <w:sectPr w:rsidR="00244EEC" w:rsidSect="00362AB6">
          <w:headerReference w:type="default" r:id="rId10"/>
          <w:footerReference w:type="default" r:id="rId11"/>
          <w:headerReference w:type="first" r:id="rId12"/>
          <w:footerReference w:type="first" r:id="rId13"/>
          <w:type w:val="continuous"/>
          <w:pgSz w:w="11906" w:h="16838" w:code="9"/>
          <w:pgMar w:top="1440" w:right="1440" w:bottom="1440" w:left="1440" w:header="284" w:footer="397" w:gutter="0"/>
          <w:cols w:space="340"/>
          <w:titlePg/>
          <w:docGrid w:linePitch="360"/>
          <w15:footnoteColumns w:val="1"/>
        </w:sectPr>
      </w:pPr>
    </w:p>
    <w:p w:rsidR="00183204" w:rsidRDefault="00183204" w:rsidP="009C6A52">
      <w:pPr>
        <w:pStyle w:val="Heading2"/>
        <w:spacing w:before="0" w:after="600"/>
        <w:rPr>
          <w:color w:val="auto"/>
          <w:sz w:val="22"/>
          <w:szCs w:val="22"/>
          <w:shd w:val="clear" w:color="auto" w:fill="FFFFFF"/>
        </w:rPr>
      </w:pPr>
    </w:p>
    <w:p w:rsidR="00244EEC" w:rsidRPr="00E446A2" w:rsidRDefault="00183204" w:rsidP="00E446A2">
      <w:pPr>
        <w:pStyle w:val="Heading2"/>
        <w:spacing w:before="0"/>
        <w:rPr>
          <w:color w:val="auto"/>
          <w:sz w:val="22"/>
          <w:szCs w:val="22"/>
          <w:shd w:val="clear" w:color="auto" w:fill="FFFFFF"/>
        </w:rPr>
      </w:pPr>
      <w:r w:rsidRPr="00E446A2">
        <w:rPr>
          <w:color w:val="auto"/>
          <w:sz w:val="22"/>
          <w:szCs w:val="22"/>
          <w:shd w:val="clear" w:color="auto" w:fill="FFFFFF"/>
        </w:rPr>
        <w:t>Tracy Mackey</w:t>
      </w:r>
    </w:p>
    <w:p w:rsidR="00244EEC" w:rsidRDefault="00183204" w:rsidP="00244EEC">
      <w:pPr>
        <w:spacing w:before="0" w:after="120" w:line="240" w:lineRule="auto"/>
        <w:rPr>
          <w:shd w:val="clear" w:color="auto" w:fill="FFFFFF"/>
        </w:rPr>
      </w:pPr>
      <w:r>
        <w:rPr>
          <w:shd w:val="clear" w:color="auto" w:fill="FFFFFF"/>
        </w:rPr>
        <w:t>Commissioner</w:t>
      </w:r>
    </w:p>
    <w:p w:rsidR="00244EEC" w:rsidRDefault="00183204" w:rsidP="00244EEC">
      <w:pPr>
        <w:spacing w:before="0" w:after="120" w:line="240" w:lineRule="auto"/>
        <w:rPr>
          <w:shd w:val="clear" w:color="auto" w:fill="FFFFFF"/>
        </w:rPr>
      </w:pPr>
      <w:r>
        <w:rPr>
          <w:shd w:val="clear" w:color="auto" w:fill="FFFFFF"/>
        </w:rPr>
        <w:t>NDIS Quality and Safeguards Commission</w:t>
      </w:r>
    </w:p>
    <w:p w:rsidR="00183204" w:rsidRDefault="00183204" w:rsidP="00183204">
      <w:pPr>
        <w:pStyle w:val="Heading2"/>
        <w:spacing w:before="0" w:after="600"/>
        <w:rPr>
          <w:color w:val="auto"/>
          <w:sz w:val="22"/>
          <w:szCs w:val="22"/>
          <w:shd w:val="clear" w:color="auto" w:fill="FFFFFF"/>
        </w:rPr>
      </w:pPr>
    </w:p>
    <w:p w:rsidR="00244EEC" w:rsidRPr="00E446A2" w:rsidRDefault="00183204" w:rsidP="00E446A2">
      <w:pPr>
        <w:pStyle w:val="Heading2"/>
        <w:spacing w:before="0"/>
        <w:rPr>
          <w:color w:val="auto"/>
          <w:sz w:val="22"/>
          <w:szCs w:val="22"/>
          <w:shd w:val="clear" w:color="auto" w:fill="FFFFFF"/>
        </w:rPr>
      </w:pPr>
      <w:r w:rsidRPr="00E446A2">
        <w:rPr>
          <w:color w:val="auto"/>
          <w:sz w:val="22"/>
          <w:szCs w:val="22"/>
          <w:shd w:val="clear" w:color="auto" w:fill="FFFFFF"/>
        </w:rPr>
        <w:t>Martin Hoffman</w:t>
      </w:r>
    </w:p>
    <w:p w:rsidR="00244EEC" w:rsidRDefault="00183204" w:rsidP="00244EEC">
      <w:pPr>
        <w:spacing w:before="0" w:after="120" w:line="240" w:lineRule="auto"/>
        <w:rPr>
          <w:shd w:val="clear" w:color="auto" w:fill="FFFFFF"/>
        </w:rPr>
      </w:pPr>
      <w:r>
        <w:rPr>
          <w:shd w:val="clear" w:color="auto" w:fill="FFFFFF"/>
        </w:rPr>
        <w:t>Chief Executive Officer</w:t>
      </w:r>
    </w:p>
    <w:p w:rsidR="00244EEC" w:rsidRDefault="00183204" w:rsidP="00244EEC">
      <w:pPr>
        <w:spacing w:before="0" w:after="120" w:line="240" w:lineRule="auto"/>
        <w:rPr>
          <w:shd w:val="clear" w:color="auto" w:fill="FFFFFF"/>
        </w:rPr>
        <w:sectPr w:rsidR="00244EEC" w:rsidSect="007C76A7">
          <w:type w:val="continuous"/>
          <w:pgSz w:w="11906" w:h="16838" w:code="9"/>
          <w:pgMar w:top="1440" w:right="1440" w:bottom="1440" w:left="1440" w:header="284" w:footer="397" w:gutter="0"/>
          <w:cols w:num="2" w:space="1420"/>
          <w:titlePg/>
          <w:docGrid w:linePitch="360"/>
          <w15:footnoteColumns w:val="1"/>
        </w:sectPr>
      </w:pPr>
      <w:r>
        <w:rPr>
          <w:shd w:val="clear" w:color="auto" w:fill="FFFFFF"/>
        </w:rPr>
        <w:t>National Disability Insurance Agency</w:t>
      </w:r>
    </w:p>
    <w:p w:rsidR="00244EEC" w:rsidRPr="00244EEC" w:rsidRDefault="00244EEC" w:rsidP="00244EEC">
      <w:pPr>
        <w:rPr>
          <w:rFonts w:ascii="Arial" w:hAnsi="Arial" w:cs="Arial"/>
          <w:color w:val="222222"/>
          <w:shd w:val="clear" w:color="auto" w:fill="FFFFFF"/>
        </w:rPr>
      </w:pPr>
    </w:p>
    <w:sectPr w:rsidR="00244EEC" w:rsidRPr="00244EEC" w:rsidSect="007C76A7">
      <w:type w:val="continuous"/>
      <w:pgSz w:w="11906" w:h="16838" w:code="9"/>
      <w:pgMar w:top="1440" w:right="1440" w:bottom="1440" w:left="1440" w:header="284" w:footer="397" w:gutter="0"/>
      <w:cols w:num="2" w:space="1136"/>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524A" w:rsidRDefault="003F524A">
      <w:pPr>
        <w:spacing w:before="0" w:after="0" w:line="240" w:lineRule="auto"/>
      </w:pPr>
      <w:r>
        <w:separator/>
      </w:r>
    </w:p>
  </w:endnote>
  <w:endnote w:type="continuationSeparator" w:id="0">
    <w:p w:rsidR="003F524A" w:rsidRDefault="003F524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4EEC" w:rsidRDefault="00183204" w:rsidP="00244EEC">
    <w:pPr>
      <w:pStyle w:val="Footer"/>
      <w:rPr>
        <w:sz w:val="18"/>
        <w:szCs w:val="18"/>
      </w:rPr>
    </w:pPr>
    <w:r>
      <w:rPr>
        <w:b/>
        <w:bCs/>
        <w:noProof/>
        <w:lang w:eastAsia="en-AU"/>
      </w:rPr>
      <mc:AlternateContent>
        <mc:Choice Requires="wps">
          <w:drawing>
            <wp:inline distT="0" distB="0" distL="0" distR="0">
              <wp:extent cx="5734050" cy="76200"/>
              <wp:effectExtent l="0" t="0" r="0" b="0"/>
              <wp:docPr id="3" name="Rectangle 3" descr="background" title="background"/>
              <wp:cNvGraphicFramePr/>
              <a:graphic xmlns:a="http://schemas.openxmlformats.org/drawingml/2006/main">
                <a:graphicData uri="http://schemas.microsoft.com/office/word/2010/wordprocessingShape">
                  <wps:wsp>
                    <wps:cNvSpPr/>
                    <wps:spPr>
                      <a:xfrm>
                        <a:off x="0" y="0"/>
                        <a:ext cx="5734050" cy="76200"/>
                      </a:xfrm>
                      <a:prstGeom prst="rect">
                        <a:avLst/>
                      </a:prstGeom>
                      <a:solidFill>
                        <a:srgbClr val="612C6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w:pict>
            <v:rect id="Rectangle 3" o:spid="_x0000_i2050" alt="Title: background - Description: background" style="width:451.5pt;height:6pt;mso-left-percent:-10001;mso-position-horizontal-relative:char;mso-position-vertical-relative:line;mso-top-percent:-10001;mso-wrap-style:square;visibility:visible;v-text-anchor:middle" fillcolor="#612c69" stroked="f" strokeweight="1pt">
              <w10:wrap type="none"/>
              <w10:anchorlock/>
            </v:rect>
          </w:pict>
        </mc:Fallback>
      </mc:AlternateContent>
    </w:r>
  </w:p>
  <w:p w:rsidR="00FD66D7" w:rsidRPr="00244EEC" w:rsidRDefault="00183204" w:rsidP="00244EEC">
    <w:pPr>
      <w:pStyle w:val="Footer"/>
      <w:tabs>
        <w:tab w:val="clear" w:pos="4513"/>
      </w:tabs>
    </w:pPr>
    <w:r>
      <w:rPr>
        <w:sz w:val="18"/>
        <w:szCs w:val="18"/>
      </w:rPr>
      <w:t>Joint Statement on the Approach to Supporting at Risk NDIS participants</w:t>
    </w:r>
    <w:r>
      <w:tab/>
    </w:r>
    <w:r>
      <w:fldChar w:fldCharType="begin"/>
    </w:r>
    <w:r>
      <w:instrText xml:space="preserve"> PAGE   \* MERGEFORMAT </w:instrText>
    </w:r>
    <w:r>
      <w:fldChar w:fldCharType="separate"/>
    </w:r>
    <w:r w:rsidR="00C12E9F">
      <w:rPr>
        <w:noProof/>
      </w:rPr>
      <w:t>3</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EAA" w:rsidRDefault="00183204" w:rsidP="00080615">
    <w:pPr>
      <w:pStyle w:val="Footer"/>
      <w:rPr>
        <w:sz w:val="18"/>
        <w:szCs w:val="18"/>
      </w:rPr>
    </w:pPr>
    <w:r>
      <w:rPr>
        <w:b/>
        <w:bCs/>
        <w:noProof/>
        <w:lang w:eastAsia="en-AU"/>
      </w:rPr>
      <mc:AlternateContent>
        <mc:Choice Requires="wps">
          <w:drawing>
            <wp:inline distT="0" distB="0" distL="0" distR="0">
              <wp:extent cx="5734050" cy="76200"/>
              <wp:effectExtent l="0" t="0" r="0" b="0"/>
              <wp:docPr id="7" name="Rectangle 7" descr="background" title="background"/>
              <wp:cNvGraphicFramePr/>
              <a:graphic xmlns:a="http://schemas.openxmlformats.org/drawingml/2006/main">
                <a:graphicData uri="http://schemas.microsoft.com/office/word/2010/wordprocessingShape">
                  <wps:wsp>
                    <wps:cNvSpPr/>
                    <wps:spPr>
                      <a:xfrm>
                        <a:off x="0" y="0"/>
                        <a:ext cx="5734050" cy="76200"/>
                      </a:xfrm>
                      <a:prstGeom prst="rect">
                        <a:avLst/>
                      </a:prstGeom>
                      <a:solidFill>
                        <a:srgbClr val="612C6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w:pict>
            <v:rect id="Rectangle 7" o:spid="_x0000_i2051" alt="Title: background - Description: background" style="width:451.5pt;height:6pt;mso-left-percent:-10001;mso-position-horizontal-relative:char;mso-position-vertical-relative:line;mso-top-percent:-10001;mso-wrap-style:square;visibility:visible;v-text-anchor:middle" fillcolor="#612c69" stroked="f" strokeweight="1pt">
              <w10:wrap type="none"/>
              <w10:anchorlock/>
            </v:rect>
          </w:pict>
        </mc:Fallback>
      </mc:AlternateContent>
    </w:r>
  </w:p>
  <w:p w:rsidR="008E21DE" w:rsidRPr="00080615" w:rsidRDefault="00183204" w:rsidP="00244EEC">
    <w:pPr>
      <w:pStyle w:val="Footer"/>
      <w:tabs>
        <w:tab w:val="clear" w:pos="4513"/>
      </w:tabs>
    </w:pPr>
    <w:r>
      <w:rPr>
        <w:sz w:val="18"/>
        <w:szCs w:val="18"/>
      </w:rPr>
      <w:t>Joint Statement on the Approach to Supporting at Risk NDIS participants</w:t>
    </w:r>
    <w:r>
      <w:tab/>
    </w:r>
    <w:r>
      <w:fldChar w:fldCharType="begin"/>
    </w:r>
    <w:r>
      <w:instrText xml:space="preserve"> PAGE   \* MERGEFORMAT </w:instrText>
    </w:r>
    <w:r>
      <w:fldChar w:fldCharType="separate"/>
    </w:r>
    <w:r w:rsidR="00C12E9F">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524A" w:rsidRDefault="003F524A">
      <w:pPr>
        <w:spacing w:before="0" w:after="0" w:line="240" w:lineRule="auto"/>
      </w:pPr>
      <w:r>
        <w:separator/>
      </w:r>
    </w:p>
  </w:footnote>
  <w:footnote w:type="continuationSeparator" w:id="0">
    <w:p w:rsidR="003F524A" w:rsidRDefault="003F524A">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7938" w:rsidRDefault="008B7938">
    <w:pPr>
      <w:pStyle w:val="Header"/>
    </w:pPr>
  </w:p>
  <w:p w:rsidR="00680A20" w:rsidRDefault="00183204">
    <w:pPr>
      <w:pStyle w:val="Header"/>
    </w:pPr>
    <w:r>
      <w:rPr>
        <w:b w:val="0"/>
        <w:bCs/>
        <w:noProof/>
        <w:lang w:eastAsia="en-AU"/>
      </w:rPr>
      <mc:AlternateContent>
        <mc:Choice Requires="wps">
          <w:drawing>
            <wp:inline distT="0" distB="0" distL="0" distR="0">
              <wp:extent cx="5734800" cy="75600"/>
              <wp:effectExtent l="0" t="0" r="0" b="635"/>
              <wp:docPr id="2" name="Rectangle 2" descr="background" title="background"/>
              <wp:cNvGraphicFramePr/>
              <a:graphic xmlns:a="http://schemas.openxmlformats.org/drawingml/2006/main">
                <a:graphicData uri="http://schemas.microsoft.com/office/word/2010/wordprocessingShape">
                  <wps:wsp>
                    <wps:cNvSpPr/>
                    <wps:spPr>
                      <a:xfrm>
                        <a:off x="0" y="0"/>
                        <a:ext cx="5734800" cy="75600"/>
                      </a:xfrm>
                      <a:prstGeom prst="rect">
                        <a:avLst/>
                      </a:prstGeom>
                      <a:solidFill>
                        <a:srgbClr val="612C6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w:pict>
            <v:rect id="Rectangle 2" o:spid="_x0000_i2049" alt="Title: background - Description: background" style="width:451.55pt;height:5.95pt;mso-left-percent:-10001;mso-position-horizontal-relative:char;mso-position-vertical-relative:line;mso-top-percent:-10001;mso-wrap-style:square;visibility:visible;v-text-anchor:middle" fillcolor="#612c69" stroked="f" strokeweight="1pt">
              <w10:wrap type="none"/>
              <w10:anchorlock/>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2709" w:rsidRDefault="00183204">
    <w:pPr>
      <w:pStyle w:val="Header"/>
    </w:pPr>
    <w:r>
      <w:rPr>
        <w:noProof/>
        <w:lang w:eastAsia="en-AU"/>
      </w:rPr>
      <w:drawing>
        <wp:anchor distT="0" distB="0" distL="114300" distR="114300" simplePos="0" relativeHeight="251658240" behindDoc="0" locked="0" layoutInCell="1" allowOverlap="1">
          <wp:simplePos x="0" y="0"/>
          <wp:positionH relativeFrom="column">
            <wp:posOffset>4359486</wp:posOffset>
          </wp:positionH>
          <wp:positionV relativeFrom="paragraph">
            <wp:posOffset>302260</wp:posOffset>
          </wp:positionV>
          <wp:extent cx="1271709" cy="664633"/>
          <wp:effectExtent l="0" t="0" r="5080" b="2540"/>
          <wp:wrapNone/>
          <wp:docPr id="11" name="Picture 11" descr="National Disability Insurance Agenc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DIS-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71709" cy="664633"/>
                  </a:xfrm>
                  <a:prstGeom prst="rect">
                    <a:avLst/>
                  </a:prstGeom>
                </pic:spPr>
              </pic:pic>
            </a:graphicData>
          </a:graphic>
          <wp14:sizeRelH relativeFrom="margin">
            <wp14:pctWidth>0</wp14:pctWidth>
          </wp14:sizeRelH>
          <wp14:sizeRelV relativeFrom="margin">
            <wp14:pctHeight>0</wp14:pctHeight>
          </wp14:sizeRelV>
        </wp:anchor>
      </w:drawing>
    </w:r>
    <w:r>
      <w:ptab w:relativeTo="margin" w:alignment="left" w:leader="none"/>
    </w:r>
    <w:r w:rsidR="00EE737C">
      <w:rPr>
        <w:noProof/>
        <w:lang w:eastAsia="en-AU"/>
      </w:rPr>
      <w:drawing>
        <wp:inline distT="0" distB="0" distL="0" distR="0">
          <wp:extent cx="3186820" cy="1145680"/>
          <wp:effectExtent l="0" t="0" r="0" b="0"/>
          <wp:docPr id="12" name="Picture 12" descr="The Australian Government logo alongside the NDIS Quality and Safeguards Commission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DIS Q+S Commision logo_Colour.tif"/>
                  <pic:cNvPicPr/>
                </pic:nvPicPr>
                <pic:blipFill>
                  <a:blip r:embed="rId2" cstate="print">
                    <a:extLst>
                      <a:ext uri="{28A0092B-C50C-407E-A947-70E740481C1C}">
                        <a14:useLocalDpi xmlns:a14="http://schemas.microsoft.com/office/drawing/2010/main" val="0"/>
                      </a:ext>
                    </a:extLst>
                  </a:blip>
                  <a:srcRect l="4760" t="-10324" b="1"/>
                  <a:stretch>
                    <a:fillRect/>
                  </a:stretch>
                </pic:blipFill>
                <pic:spPr bwMode="auto">
                  <a:xfrm>
                    <a:off x="0" y="0"/>
                    <a:ext cx="3203198" cy="1151568"/>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76E9E"/>
    <w:multiLevelType w:val="multilevel"/>
    <w:tmpl w:val="A41689A2"/>
    <w:numStyleLink w:val="AppendixNumbers"/>
  </w:abstractNum>
  <w:abstractNum w:abstractNumId="1" w15:restartNumberingAfterBreak="0">
    <w:nsid w:val="09AE16D1"/>
    <w:multiLevelType w:val="hybridMultilevel"/>
    <w:tmpl w:val="C84CA244"/>
    <w:lvl w:ilvl="0" w:tplc="F392D670">
      <w:start w:val="1"/>
      <w:numFmt w:val="decimal"/>
      <w:lvlText w:val="Table %1."/>
      <w:lvlJc w:val="left"/>
      <w:pPr>
        <w:ind w:left="720" w:hanging="360"/>
      </w:pPr>
      <w:rPr>
        <w:rFonts w:asciiTheme="majorHAnsi" w:hAnsiTheme="majorHAnsi" w:hint="default"/>
        <w:b/>
        <w:i w:val="0"/>
        <w:caps/>
        <w:color w:val="5F2E74" w:themeColor="accent1"/>
      </w:rPr>
    </w:lvl>
    <w:lvl w:ilvl="1" w:tplc="18107534" w:tentative="1">
      <w:start w:val="1"/>
      <w:numFmt w:val="lowerLetter"/>
      <w:lvlText w:val="%2."/>
      <w:lvlJc w:val="left"/>
      <w:pPr>
        <w:ind w:left="1440" w:hanging="360"/>
      </w:pPr>
    </w:lvl>
    <w:lvl w:ilvl="2" w:tplc="E68E8914" w:tentative="1">
      <w:start w:val="1"/>
      <w:numFmt w:val="lowerRoman"/>
      <w:lvlText w:val="%3."/>
      <w:lvlJc w:val="right"/>
      <w:pPr>
        <w:ind w:left="2160" w:hanging="180"/>
      </w:pPr>
    </w:lvl>
    <w:lvl w:ilvl="3" w:tplc="5300A1B8" w:tentative="1">
      <w:start w:val="1"/>
      <w:numFmt w:val="decimal"/>
      <w:lvlText w:val="%4."/>
      <w:lvlJc w:val="left"/>
      <w:pPr>
        <w:ind w:left="2880" w:hanging="360"/>
      </w:pPr>
    </w:lvl>
    <w:lvl w:ilvl="4" w:tplc="77FEB6B2" w:tentative="1">
      <w:start w:val="1"/>
      <w:numFmt w:val="lowerLetter"/>
      <w:lvlText w:val="%5."/>
      <w:lvlJc w:val="left"/>
      <w:pPr>
        <w:ind w:left="3600" w:hanging="360"/>
      </w:pPr>
    </w:lvl>
    <w:lvl w:ilvl="5" w:tplc="6F08E936" w:tentative="1">
      <w:start w:val="1"/>
      <w:numFmt w:val="lowerRoman"/>
      <w:lvlText w:val="%6."/>
      <w:lvlJc w:val="right"/>
      <w:pPr>
        <w:ind w:left="4320" w:hanging="180"/>
      </w:pPr>
    </w:lvl>
    <w:lvl w:ilvl="6" w:tplc="5DF86024" w:tentative="1">
      <w:start w:val="1"/>
      <w:numFmt w:val="decimal"/>
      <w:lvlText w:val="%7."/>
      <w:lvlJc w:val="left"/>
      <w:pPr>
        <w:ind w:left="5040" w:hanging="360"/>
      </w:pPr>
    </w:lvl>
    <w:lvl w:ilvl="7" w:tplc="D46CD70C" w:tentative="1">
      <w:start w:val="1"/>
      <w:numFmt w:val="lowerLetter"/>
      <w:lvlText w:val="%8."/>
      <w:lvlJc w:val="left"/>
      <w:pPr>
        <w:ind w:left="5760" w:hanging="360"/>
      </w:pPr>
    </w:lvl>
    <w:lvl w:ilvl="8" w:tplc="8EA27F7C" w:tentative="1">
      <w:start w:val="1"/>
      <w:numFmt w:val="lowerRoman"/>
      <w:lvlText w:val="%9."/>
      <w:lvlJc w:val="right"/>
      <w:pPr>
        <w:ind w:left="6480" w:hanging="180"/>
      </w:pPr>
    </w:lvl>
  </w:abstractNum>
  <w:abstractNum w:abstractNumId="2" w15:restartNumberingAfterBreak="0">
    <w:nsid w:val="0C4A2FC3"/>
    <w:multiLevelType w:val="hybridMultilevel"/>
    <w:tmpl w:val="12A4A5B6"/>
    <w:lvl w:ilvl="0" w:tplc="78BC460E">
      <w:start w:val="1"/>
      <w:numFmt w:val="bullet"/>
      <w:lvlText w:val=""/>
      <w:lvlJc w:val="left"/>
      <w:pPr>
        <w:ind w:left="1004" w:hanging="360"/>
      </w:pPr>
      <w:rPr>
        <w:rFonts w:ascii="Symbol" w:hAnsi="Symbol" w:hint="default"/>
      </w:rPr>
    </w:lvl>
    <w:lvl w:ilvl="1" w:tplc="1D244412" w:tentative="1">
      <w:start w:val="1"/>
      <w:numFmt w:val="bullet"/>
      <w:lvlText w:val="o"/>
      <w:lvlJc w:val="left"/>
      <w:pPr>
        <w:ind w:left="1724" w:hanging="360"/>
      </w:pPr>
      <w:rPr>
        <w:rFonts w:ascii="Courier New" w:hAnsi="Courier New" w:cs="Courier New" w:hint="default"/>
      </w:rPr>
    </w:lvl>
    <w:lvl w:ilvl="2" w:tplc="B72ECF92" w:tentative="1">
      <w:start w:val="1"/>
      <w:numFmt w:val="bullet"/>
      <w:lvlText w:val=""/>
      <w:lvlJc w:val="left"/>
      <w:pPr>
        <w:ind w:left="2444" w:hanging="360"/>
      </w:pPr>
      <w:rPr>
        <w:rFonts w:ascii="Wingdings" w:hAnsi="Wingdings" w:hint="default"/>
      </w:rPr>
    </w:lvl>
    <w:lvl w:ilvl="3" w:tplc="958202F8" w:tentative="1">
      <w:start w:val="1"/>
      <w:numFmt w:val="bullet"/>
      <w:lvlText w:val=""/>
      <w:lvlJc w:val="left"/>
      <w:pPr>
        <w:ind w:left="3164" w:hanging="360"/>
      </w:pPr>
      <w:rPr>
        <w:rFonts w:ascii="Symbol" w:hAnsi="Symbol" w:hint="default"/>
      </w:rPr>
    </w:lvl>
    <w:lvl w:ilvl="4" w:tplc="3E022FFA" w:tentative="1">
      <w:start w:val="1"/>
      <w:numFmt w:val="bullet"/>
      <w:lvlText w:val="o"/>
      <w:lvlJc w:val="left"/>
      <w:pPr>
        <w:ind w:left="3884" w:hanging="360"/>
      </w:pPr>
      <w:rPr>
        <w:rFonts w:ascii="Courier New" w:hAnsi="Courier New" w:cs="Courier New" w:hint="default"/>
      </w:rPr>
    </w:lvl>
    <w:lvl w:ilvl="5" w:tplc="17BCCE42" w:tentative="1">
      <w:start w:val="1"/>
      <w:numFmt w:val="bullet"/>
      <w:lvlText w:val=""/>
      <w:lvlJc w:val="left"/>
      <w:pPr>
        <w:ind w:left="4604" w:hanging="360"/>
      </w:pPr>
      <w:rPr>
        <w:rFonts w:ascii="Wingdings" w:hAnsi="Wingdings" w:hint="default"/>
      </w:rPr>
    </w:lvl>
    <w:lvl w:ilvl="6" w:tplc="61E61DD4" w:tentative="1">
      <w:start w:val="1"/>
      <w:numFmt w:val="bullet"/>
      <w:lvlText w:val=""/>
      <w:lvlJc w:val="left"/>
      <w:pPr>
        <w:ind w:left="5324" w:hanging="360"/>
      </w:pPr>
      <w:rPr>
        <w:rFonts w:ascii="Symbol" w:hAnsi="Symbol" w:hint="default"/>
      </w:rPr>
    </w:lvl>
    <w:lvl w:ilvl="7" w:tplc="8D92B07A" w:tentative="1">
      <w:start w:val="1"/>
      <w:numFmt w:val="bullet"/>
      <w:lvlText w:val="o"/>
      <w:lvlJc w:val="left"/>
      <w:pPr>
        <w:ind w:left="6044" w:hanging="360"/>
      </w:pPr>
      <w:rPr>
        <w:rFonts w:ascii="Courier New" w:hAnsi="Courier New" w:cs="Courier New" w:hint="default"/>
      </w:rPr>
    </w:lvl>
    <w:lvl w:ilvl="8" w:tplc="CDA6E396" w:tentative="1">
      <w:start w:val="1"/>
      <w:numFmt w:val="bullet"/>
      <w:lvlText w:val=""/>
      <w:lvlJc w:val="left"/>
      <w:pPr>
        <w:ind w:left="6764" w:hanging="360"/>
      </w:pPr>
      <w:rPr>
        <w:rFonts w:ascii="Wingdings" w:hAnsi="Wingdings" w:hint="default"/>
      </w:rPr>
    </w:lvl>
  </w:abstractNum>
  <w:abstractNum w:abstractNumId="3" w15:restartNumberingAfterBreak="0">
    <w:nsid w:val="0F6C678D"/>
    <w:multiLevelType w:val="multilevel"/>
    <w:tmpl w:val="07629034"/>
    <w:styleLink w:val="KCBullets"/>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Arial" w:hAnsi="Arial" w:hint="default"/>
        <w:color w:val="5F2E74" w:themeColor="text2"/>
      </w:rPr>
    </w:lvl>
    <w:lvl w:ilvl="2">
      <w:start w:val="1"/>
      <w:numFmt w:val="bullet"/>
      <w:lvlText w:val="»"/>
      <w:lvlJc w:val="left"/>
      <w:pPr>
        <w:ind w:left="852" w:hanging="284"/>
      </w:pPr>
      <w:rPr>
        <w:rFonts w:ascii="Arial" w:hAnsi="Arial" w:hint="default"/>
        <w:color w:val="5F2E74" w:themeColor="text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4" w15:restartNumberingAfterBreak="0">
    <w:nsid w:val="19F1618D"/>
    <w:multiLevelType w:val="multilevel"/>
    <w:tmpl w:val="803CF862"/>
    <w:styleLink w:val="List1Numbered"/>
    <w:lvl w:ilvl="0">
      <w:start w:val="1"/>
      <w:numFmt w:val="decimal"/>
      <w:pStyle w:val="List1Numbered1"/>
      <w:lvlText w:val="%1."/>
      <w:lvlJc w:val="left"/>
      <w:pPr>
        <w:ind w:left="284" w:hanging="284"/>
      </w:pPr>
      <w:rPr>
        <w:rFonts w:hint="default"/>
        <w:b w:val="0"/>
        <w:i w:val="0"/>
        <w:color w:val="auto"/>
      </w:rPr>
    </w:lvl>
    <w:lvl w:ilvl="1">
      <w:start w:val="1"/>
      <w:numFmt w:val="lowerLetter"/>
      <w:pStyle w:val="List1Numbered2"/>
      <w:lvlText w:val="%2."/>
      <w:lvlJc w:val="left"/>
      <w:pPr>
        <w:ind w:left="568" w:hanging="284"/>
      </w:pPr>
      <w:rPr>
        <w:rFonts w:hint="default"/>
      </w:rPr>
    </w:lvl>
    <w:lvl w:ilvl="2">
      <w:start w:val="1"/>
      <w:numFmt w:val="lowerRoman"/>
      <w:pStyle w:val="List1Numbered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5" w15:restartNumberingAfterBreak="0">
    <w:nsid w:val="1CC862E1"/>
    <w:multiLevelType w:val="multilevel"/>
    <w:tmpl w:val="C284D0B0"/>
    <w:styleLink w:val="FigureNumbers"/>
    <w:lvl w:ilvl="0">
      <w:start w:val="1"/>
      <w:numFmt w:val="decimal"/>
      <w:lvlText w:val="Figure %1."/>
      <w:lvlJc w:val="left"/>
      <w:pPr>
        <w:ind w:left="1134" w:hanging="1134"/>
      </w:pPr>
      <w:rPr>
        <w:rFonts w:hint="default"/>
        <w:b/>
        <w:i w:val="0"/>
        <w:caps w:val="0"/>
        <w:color w:val="5F2E74"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0336ADE"/>
    <w:multiLevelType w:val="multilevel"/>
    <w:tmpl w:val="131EEC6C"/>
    <w:styleLink w:val="TableNumbers"/>
    <w:lvl w:ilvl="0">
      <w:start w:val="1"/>
      <w:numFmt w:val="decimal"/>
      <w:lvlText w:val="Table %1."/>
      <w:lvlJc w:val="left"/>
      <w:pPr>
        <w:ind w:left="1134" w:hanging="1134"/>
      </w:pPr>
      <w:rPr>
        <w:rFonts w:hint="default"/>
        <w:b/>
        <w:i w:val="0"/>
        <w:caps w:val="0"/>
        <w:color w:val="5F2E74"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6971862"/>
    <w:multiLevelType w:val="multilevel"/>
    <w:tmpl w:val="FF58945E"/>
    <w:lvl w:ilvl="0">
      <w:start w:val="1"/>
      <w:numFmt w:val="decimal"/>
      <w:lvlText w:val="Schedule %1."/>
      <w:lvlJc w:val="left"/>
      <w:pPr>
        <w:ind w:left="2126" w:hanging="2126"/>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BA632A9"/>
    <w:multiLevelType w:val="multilevel"/>
    <w:tmpl w:val="A41689A2"/>
    <w:numStyleLink w:val="AppendixNumbers"/>
  </w:abstractNum>
  <w:abstractNum w:abstractNumId="9" w15:restartNumberingAfterBreak="0">
    <w:nsid w:val="2D890E47"/>
    <w:multiLevelType w:val="hybridMultilevel"/>
    <w:tmpl w:val="E628387E"/>
    <w:lvl w:ilvl="0" w:tplc="DF48800C">
      <w:start w:val="1"/>
      <w:numFmt w:val="decimal"/>
      <w:lvlText w:val="%1."/>
      <w:lvlJc w:val="left"/>
      <w:pPr>
        <w:ind w:left="720" w:hanging="360"/>
      </w:pPr>
      <w:rPr>
        <w:rFonts w:hint="default"/>
        <w:caps w:val="0"/>
        <w:vanish w:val="0"/>
        <w:color w:val="000000" w:themeColor="text1"/>
      </w:rPr>
    </w:lvl>
    <w:lvl w:ilvl="1" w:tplc="AEC42E84" w:tentative="1">
      <w:start w:val="1"/>
      <w:numFmt w:val="lowerLetter"/>
      <w:lvlText w:val="%2."/>
      <w:lvlJc w:val="left"/>
      <w:pPr>
        <w:ind w:left="1440" w:hanging="360"/>
      </w:pPr>
    </w:lvl>
    <w:lvl w:ilvl="2" w:tplc="EE7A41D4" w:tentative="1">
      <w:start w:val="1"/>
      <w:numFmt w:val="lowerRoman"/>
      <w:lvlText w:val="%3."/>
      <w:lvlJc w:val="right"/>
      <w:pPr>
        <w:ind w:left="2160" w:hanging="180"/>
      </w:pPr>
    </w:lvl>
    <w:lvl w:ilvl="3" w:tplc="EEB075D0" w:tentative="1">
      <w:start w:val="1"/>
      <w:numFmt w:val="decimal"/>
      <w:lvlText w:val="%4."/>
      <w:lvlJc w:val="left"/>
      <w:pPr>
        <w:ind w:left="2880" w:hanging="360"/>
      </w:pPr>
    </w:lvl>
    <w:lvl w:ilvl="4" w:tplc="0770961A" w:tentative="1">
      <w:start w:val="1"/>
      <w:numFmt w:val="lowerLetter"/>
      <w:lvlText w:val="%5."/>
      <w:lvlJc w:val="left"/>
      <w:pPr>
        <w:ind w:left="3600" w:hanging="360"/>
      </w:pPr>
    </w:lvl>
    <w:lvl w:ilvl="5" w:tplc="1270C9F8" w:tentative="1">
      <w:start w:val="1"/>
      <w:numFmt w:val="lowerRoman"/>
      <w:lvlText w:val="%6."/>
      <w:lvlJc w:val="right"/>
      <w:pPr>
        <w:ind w:left="4320" w:hanging="180"/>
      </w:pPr>
    </w:lvl>
    <w:lvl w:ilvl="6" w:tplc="CC60101A" w:tentative="1">
      <w:start w:val="1"/>
      <w:numFmt w:val="decimal"/>
      <w:lvlText w:val="%7."/>
      <w:lvlJc w:val="left"/>
      <w:pPr>
        <w:ind w:left="5040" w:hanging="360"/>
      </w:pPr>
    </w:lvl>
    <w:lvl w:ilvl="7" w:tplc="05D8966C" w:tentative="1">
      <w:start w:val="1"/>
      <w:numFmt w:val="lowerLetter"/>
      <w:lvlText w:val="%8."/>
      <w:lvlJc w:val="left"/>
      <w:pPr>
        <w:ind w:left="5760" w:hanging="360"/>
      </w:pPr>
    </w:lvl>
    <w:lvl w:ilvl="8" w:tplc="5B4A8D22" w:tentative="1">
      <w:start w:val="1"/>
      <w:numFmt w:val="lowerRoman"/>
      <w:lvlText w:val="%9."/>
      <w:lvlJc w:val="right"/>
      <w:pPr>
        <w:ind w:left="6480" w:hanging="180"/>
      </w:pPr>
    </w:lvl>
  </w:abstractNum>
  <w:abstractNum w:abstractNumId="10" w15:restartNumberingAfterBreak="0">
    <w:nsid w:val="41396E59"/>
    <w:multiLevelType w:val="multilevel"/>
    <w:tmpl w:val="FE688822"/>
    <w:styleLink w:val="BoxedBullets"/>
    <w:lvl w:ilvl="0">
      <w:start w:val="1"/>
      <w:numFmt w:val="bullet"/>
      <w:pStyle w:val="Boxed1Bullet"/>
      <w:lvlText w:val=""/>
      <w:lvlJc w:val="left"/>
      <w:pPr>
        <w:tabs>
          <w:tab w:val="num" w:pos="284"/>
        </w:tabs>
        <w:ind w:left="567" w:hanging="283"/>
      </w:pPr>
      <w:rPr>
        <w:rFonts w:ascii="Symbol" w:hAnsi="Symbol" w:hint="default"/>
        <w:color w:val="auto"/>
      </w:rPr>
    </w:lvl>
    <w:lvl w:ilvl="1">
      <w:start w:val="1"/>
      <w:numFmt w:val="bullet"/>
      <w:pStyle w:val="Boxed2Bullet"/>
      <w:lvlText w:val=""/>
      <w:lvlJc w:val="left"/>
      <w:pPr>
        <w:tabs>
          <w:tab w:val="num" w:pos="284"/>
        </w:tabs>
        <w:ind w:left="567" w:hanging="283"/>
      </w:pPr>
      <w:rPr>
        <w:rFonts w:ascii="Symbol" w:hAnsi="Symbol" w:hint="default"/>
        <w:color w:val="auto"/>
      </w:rPr>
    </w:lvl>
    <w:lvl w:ilvl="2">
      <w:start w:val="1"/>
      <w:numFmt w:val="bullet"/>
      <w:lvlText w:val="–"/>
      <w:lvlJc w:val="left"/>
      <w:pPr>
        <w:ind w:left="624" w:hanging="340"/>
      </w:pPr>
      <w:rPr>
        <w:rFonts w:ascii="Arial" w:hAnsi="Arial" w:hint="default"/>
        <w:color w:val="5F2E74" w:themeColor="text2"/>
      </w:rPr>
    </w:lvl>
    <w:lvl w:ilvl="3">
      <w:start w:val="1"/>
      <w:numFmt w:val="bullet"/>
      <w:lvlText w:val="»"/>
      <w:lvlJc w:val="left"/>
      <w:pPr>
        <w:ind w:left="794" w:hanging="510"/>
      </w:pPr>
      <w:rPr>
        <w:rFonts w:ascii="Arial" w:hAnsi="Arial" w:hint="default"/>
        <w:color w:val="5F2E74" w:themeColor="text2"/>
      </w:rPr>
    </w:lvl>
    <w:lvl w:ilvl="4">
      <w:start w:val="1"/>
      <w:numFmt w:val="lowerLetter"/>
      <w:lvlText w:val="(%5)"/>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11" w15:restartNumberingAfterBreak="0">
    <w:nsid w:val="49587F78"/>
    <w:multiLevelType w:val="multilevel"/>
    <w:tmpl w:val="07629034"/>
    <w:numStyleLink w:val="KCBullets"/>
  </w:abstractNum>
  <w:abstractNum w:abstractNumId="12" w15:restartNumberingAfterBreak="0">
    <w:nsid w:val="50517343"/>
    <w:multiLevelType w:val="multilevel"/>
    <w:tmpl w:val="131EEC6C"/>
    <w:numStyleLink w:val="TableNumbers"/>
  </w:abstractNum>
  <w:abstractNum w:abstractNumId="13" w15:restartNumberingAfterBreak="0">
    <w:nsid w:val="50E12008"/>
    <w:multiLevelType w:val="multilevel"/>
    <w:tmpl w:val="07629034"/>
    <w:numStyleLink w:val="KCBullets"/>
  </w:abstractNum>
  <w:abstractNum w:abstractNumId="14" w15:restartNumberingAfterBreak="0">
    <w:nsid w:val="535249AF"/>
    <w:multiLevelType w:val="multilevel"/>
    <w:tmpl w:val="A41689A2"/>
    <w:styleLink w:val="AppendixNumbers"/>
    <w:lvl w:ilvl="0">
      <w:start w:val="1"/>
      <w:numFmt w:val="upperLetter"/>
      <w:suff w:val="space"/>
      <w:lvlText w:val="Appendix %1 –"/>
      <w:lvlJc w:val="left"/>
      <w:pPr>
        <w:ind w:left="2126" w:hanging="2126"/>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5563048B"/>
    <w:multiLevelType w:val="multilevel"/>
    <w:tmpl w:val="C284D0B0"/>
    <w:numStyleLink w:val="FigureNumbers"/>
  </w:abstractNum>
  <w:abstractNum w:abstractNumId="16" w15:restartNumberingAfterBreak="0">
    <w:nsid w:val="56DB5F4C"/>
    <w:multiLevelType w:val="multilevel"/>
    <w:tmpl w:val="4E929216"/>
    <w:styleLink w:val="NumberedHeadings"/>
    <w:lvl w:ilvl="0">
      <w:start w:val="1"/>
      <w:numFmt w:val="decimal"/>
      <w:lvlText w:val="%1."/>
      <w:lvlJc w:val="left"/>
      <w:pPr>
        <w:ind w:left="567" w:hanging="567"/>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418" w:hanging="1418"/>
      </w:pPr>
      <w:rPr>
        <w:rFonts w:hint="default"/>
      </w:rPr>
    </w:lvl>
    <w:lvl w:ilvl="5">
      <w:start w:val="1"/>
      <w:numFmt w:val="decimal"/>
      <w:lvlText w:val="%1.%2.%3.%4.%5.%6"/>
      <w:lvlJc w:val="left"/>
      <w:pPr>
        <w:ind w:left="1701" w:hanging="1701"/>
      </w:pPr>
      <w:rPr>
        <w:rFonts w:hint="default"/>
      </w:rPr>
    </w:lvl>
    <w:lvl w:ilvl="6">
      <w:start w:val="1"/>
      <w:numFmt w:val="decimal"/>
      <w:lvlText w:val="%1.%2.%3.%4.%5.%6.%7"/>
      <w:lvlJc w:val="left"/>
      <w:pPr>
        <w:ind w:left="1701" w:hanging="1701"/>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58615703"/>
    <w:multiLevelType w:val="multilevel"/>
    <w:tmpl w:val="803CF862"/>
    <w:numStyleLink w:val="List1Numbered"/>
  </w:abstractNum>
  <w:abstractNum w:abstractNumId="18" w15:restartNumberingAfterBreak="0">
    <w:nsid w:val="5BF51665"/>
    <w:multiLevelType w:val="multilevel"/>
    <w:tmpl w:val="4E929216"/>
    <w:numStyleLink w:val="NumberedHeadings"/>
  </w:abstractNum>
  <w:abstractNum w:abstractNumId="19" w15:restartNumberingAfterBreak="0">
    <w:nsid w:val="62397869"/>
    <w:multiLevelType w:val="multilevel"/>
    <w:tmpl w:val="4E929216"/>
    <w:numStyleLink w:val="NumberedHeadings"/>
  </w:abstractNum>
  <w:abstractNum w:abstractNumId="20" w15:restartNumberingAfterBreak="0">
    <w:nsid w:val="6D4F423B"/>
    <w:multiLevelType w:val="multilevel"/>
    <w:tmpl w:val="4A7CCC2C"/>
    <w:numStyleLink w:val="DefaultBullets"/>
  </w:abstractNum>
  <w:abstractNum w:abstractNumId="21" w15:restartNumberingAfterBreak="0">
    <w:nsid w:val="738A4D83"/>
    <w:multiLevelType w:val="multilevel"/>
    <w:tmpl w:val="4A7CCC2C"/>
    <w:styleLink w:val="DefaultBullets"/>
    <w:lvl w:ilvl="0">
      <w:start w:val="1"/>
      <w:numFmt w:val="bullet"/>
      <w:pStyle w:val="Bullet1"/>
      <w:lvlText w:val=""/>
      <w:lvlJc w:val="left"/>
      <w:pPr>
        <w:ind w:left="284" w:hanging="284"/>
      </w:pPr>
      <w:rPr>
        <w:rFonts w:ascii="Symbol" w:hAnsi="Symbol" w:hint="default"/>
        <w:color w:val="auto"/>
      </w:rPr>
    </w:lvl>
    <w:lvl w:ilvl="1">
      <w:start w:val="1"/>
      <w:numFmt w:val="bullet"/>
      <w:pStyle w:val="Bullet2"/>
      <w:lvlText w:val="–"/>
      <w:lvlJc w:val="left"/>
      <w:pPr>
        <w:ind w:left="568" w:hanging="284"/>
      </w:pPr>
      <w:rPr>
        <w:rFonts w:ascii="Arial" w:hAnsi="Arial" w:hint="default"/>
        <w:color w:val="auto"/>
      </w:rPr>
    </w:lvl>
    <w:lvl w:ilvl="2">
      <w:start w:val="1"/>
      <w:numFmt w:val="bullet"/>
      <w:pStyle w:val="Bullet3"/>
      <w:lvlText w:val="»"/>
      <w:lvlJc w:val="left"/>
      <w:pPr>
        <w:ind w:left="852" w:hanging="284"/>
      </w:pPr>
      <w:rPr>
        <w:rFonts w:ascii="Arial" w:hAnsi="Arial" w:hint="default"/>
        <w:color w:val="auto"/>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2" w15:restartNumberingAfterBreak="0">
    <w:nsid w:val="790B67C4"/>
    <w:multiLevelType w:val="multilevel"/>
    <w:tmpl w:val="FE688822"/>
    <w:numStyleLink w:val="BoxedBullets"/>
  </w:abstractNum>
  <w:abstractNum w:abstractNumId="23" w15:restartNumberingAfterBreak="0">
    <w:nsid w:val="7EE44065"/>
    <w:multiLevelType w:val="multilevel"/>
    <w:tmpl w:val="A41689A2"/>
    <w:numStyleLink w:val="AppendixNumbers"/>
  </w:abstractNum>
  <w:num w:numId="1">
    <w:abstractNumId w:val="3"/>
  </w:num>
  <w:num w:numId="2">
    <w:abstractNumId w:val="23"/>
  </w:num>
  <w:num w:numId="3">
    <w:abstractNumId w:val="14"/>
  </w:num>
  <w:num w:numId="4">
    <w:abstractNumId w:val="22"/>
  </w:num>
  <w:num w:numId="5">
    <w:abstractNumId w:val="22"/>
  </w:num>
  <w:num w:numId="6">
    <w:abstractNumId w:val="10"/>
  </w:num>
  <w:num w:numId="7">
    <w:abstractNumId w:val="13"/>
  </w:num>
  <w:num w:numId="8">
    <w:abstractNumId w:val="13"/>
  </w:num>
  <w:num w:numId="9">
    <w:abstractNumId w:val="13"/>
  </w:num>
  <w:num w:numId="10">
    <w:abstractNumId w:val="5"/>
  </w:num>
  <w:num w:numId="11">
    <w:abstractNumId w:val="15"/>
  </w:num>
  <w:num w:numId="12">
    <w:abstractNumId w:val="18"/>
  </w:num>
  <w:num w:numId="13">
    <w:abstractNumId w:val="18"/>
  </w:num>
  <w:num w:numId="14">
    <w:abstractNumId w:val="18"/>
  </w:num>
  <w:num w:numId="15">
    <w:abstractNumId w:val="18"/>
  </w:num>
  <w:num w:numId="16">
    <w:abstractNumId w:val="18"/>
  </w:num>
  <w:num w:numId="17">
    <w:abstractNumId w:val="18"/>
  </w:num>
  <w:num w:numId="18">
    <w:abstractNumId w:val="18"/>
  </w:num>
  <w:num w:numId="19">
    <w:abstractNumId w:val="4"/>
  </w:num>
  <w:num w:numId="20">
    <w:abstractNumId w:val="17"/>
  </w:num>
  <w:num w:numId="21">
    <w:abstractNumId w:val="17"/>
  </w:num>
  <w:num w:numId="22">
    <w:abstractNumId w:val="17"/>
  </w:num>
  <w:num w:numId="23">
    <w:abstractNumId w:val="16"/>
  </w:num>
  <w:num w:numId="24">
    <w:abstractNumId w:val="9"/>
  </w:num>
  <w:num w:numId="25">
    <w:abstractNumId w:val="6"/>
  </w:num>
  <w:num w:numId="26">
    <w:abstractNumId w:val="12"/>
  </w:num>
  <w:num w:numId="27">
    <w:abstractNumId w:val="0"/>
  </w:num>
  <w:num w:numId="28">
    <w:abstractNumId w:val="21"/>
  </w:num>
  <w:num w:numId="29">
    <w:abstractNumId w:val="2"/>
  </w:num>
  <w:num w:numId="30">
    <w:abstractNumId w:val="1"/>
  </w:num>
  <w:num w:numId="31">
    <w:abstractNumId w:val="7"/>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num>
  <w:num w:numId="34">
    <w:abstractNumId w:val="20"/>
    <w:lvlOverride w:ilvl="0">
      <w:lvl w:ilvl="0">
        <w:start w:val="1"/>
        <w:numFmt w:val="bullet"/>
        <w:pStyle w:val="Bullet1"/>
        <w:lvlText w:val=""/>
        <w:lvlJc w:val="left"/>
        <w:pPr>
          <w:ind w:left="284" w:hanging="284"/>
        </w:pPr>
        <w:rPr>
          <w:rFonts w:ascii="Symbol" w:hAnsi="Symbol" w:hint="default"/>
          <w:color w:val="85367B"/>
        </w:rPr>
      </w:lvl>
    </w:lvlOverride>
    <w:lvlOverride w:ilvl="1">
      <w:lvl w:ilvl="1">
        <w:start w:val="1"/>
        <w:numFmt w:val="bullet"/>
        <w:pStyle w:val="Bullet2"/>
        <w:lvlText w:val="–"/>
        <w:lvlJc w:val="left"/>
        <w:pPr>
          <w:ind w:left="568" w:hanging="284"/>
        </w:pPr>
        <w:rPr>
          <w:rFonts w:ascii="Arial" w:hAnsi="Arial" w:hint="default"/>
          <w:color w:val="85367B"/>
        </w:rPr>
      </w:lvl>
    </w:lvlOverride>
    <w:lvlOverride w:ilvl="2">
      <w:lvl w:ilvl="2">
        <w:start w:val="1"/>
        <w:numFmt w:val="bullet"/>
        <w:pStyle w:val="Bullet3"/>
        <w:lvlText w:val="»"/>
        <w:lvlJc w:val="left"/>
        <w:pPr>
          <w:ind w:left="852" w:hanging="284"/>
        </w:pPr>
        <w:rPr>
          <w:rFonts w:ascii="Arial" w:hAnsi="Arial" w:hint="default"/>
          <w:color w:val="85367B"/>
        </w:rPr>
      </w:lvl>
    </w:lvlOverride>
  </w:num>
  <w:num w:numId="35">
    <w:abstractNumId w:val="8"/>
  </w:num>
  <w:num w:numId="36">
    <w:abstractNumId w:val="11"/>
  </w:num>
  <w:num w:numId="37">
    <w:abstractNumId w:val="20"/>
    <w:lvlOverride w:ilvl="0">
      <w:lvl w:ilvl="0">
        <w:start w:val="1"/>
        <w:numFmt w:val="bullet"/>
        <w:pStyle w:val="Bullet1"/>
        <w:lvlText w:val=""/>
        <w:lvlJc w:val="left"/>
        <w:pPr>
          <w:ind w:left="284" w:hanging="284"/>
        </w:pPr>
        <w:rPr>
          <w:rFonts w:ascii="Symbol" w:hAnsi="Symbol" w:hint="default"/>
          <w:color w:val="85367B"/>
        </w:rPr>
      </w:lvl>
    </w:lvlOverride>
    <w:lvlOverride w:ilvl="1">
      <w:lvl w:ilvl="1">
        <w:start w:val="1"/>
        <w:numFmt w:val="bullet"/>
        <w:pStyle w:val="Bullet2"/>
        <w:lvlText w:val="–"/>
        <w:lvlJc w:val="left"/>
        <w:pPr>
          <w:ind w:left="568" w:hanging="284"/>
        </w:pPr>
        <w:rPr>
          <w:rFonts w:ascii="Arial" w:hAnsi="Arial" w:hint="default"/>
          <w:color w:val="85367B"/>
        </w:rPr>
      </w:lvl>
    </w:lvlOverride>
    <w:lvlOverride w:ilvl="2">
      <w:lvl w:ilvl="2">
        <w:start w:val="1"/>
        <w:numFmt w:val="bullet"/>
        <w:pStyle w:val="Bullet3"/>
        <w:lvlText w:val="»"/>
        <w:lvlJc w:val="left"/>
        <w:pPr>
          <w:ind w:left="852" w:hanging="284"/>
        </w:pPr>
        <w:rPr>
          <w:rFonts w:ascii="Arial" w:hAnsi="Arial" w:hint="default"/>
          <w:color w:val="85367B"/>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BE3"/>
    <w:rsid w:val="00043D08"/>
    <w:rsid w:val="00080615"/>
    <w:rsid w:val="000C252F"/>
    <w:rsid w:val="000F3A54"/>
    <w:rsid w:val="000F48FC"/>
    <w:rsid w:val="00182709"/>
    <w:rsid w:val="00183204"/>
    <w:rsid w:val="00201052"/>
    <w:rsid w:val="00231AAC"/>
    <w:rsid w:val="00244EEC"/>
    <w:rsid w:val="002804D3"/>
    <w:rsid w:val="002E7052"/>
    <w:rsid w:val="00317290"/>
    <w:rsid w:val="003449A0"/>
    <w:rsid w:val="00362AB6"/>
    <w:rsid w:val="003F29B8"/>
    <w:rsid w:val="003F524A"/>
    <w:rsid w:val="004154E2"/>
    <w:rsid w:val="004D4273"/>
    <w:rsid w:val="00534D53"/>
    <w:rsid w:val="00557B5D"/>
    <w:rsid w:val="005B053D"/>
    <w:rsid w:val="00625854"/>
    <w:rsid w:val="006264D3"/>
    <w:rsid w:val="00651348"/>
    <w:rsid w:val="00680A20"/>
    <w:rsid w:val="00680F04"/>
    <w:rsid w:val="006D6D91"/>
    <w:rsid w:val="006E60B6"/>
    <w:rsid w:val="006F5262"/>
    <w:rsid w:val="0078103B"/>
    <w:rsid w:val="007C76A7"/>
    <w:rsid w:val="008A649A"/>
    <w:rsid w:val="008B7938"/>
    <w:rsid w:val="008E21DE"/>
    <w:rsid w:val="0092679E"/>
    <w:rsid w:val="00950954"/>
    <w:rsid w:val="009539C8"/>
    <w:rsid w:val="009C6A52"/>
    <w:rsid w:val="009D06E2"/>
    <w:rsid w:val="009F4EAA"/>
    <w:rsid w:val="00A07E4A"/>
    <w:rsid w:val="00A1690A"/>
    <w:rsid w:val="00A60009"/>
    <w:rsid w:val="00AA094B"/>
    <w:rsid w:val="00AA4C87"/>
    <w:rsid w:val="00AB12D5"/>
    <w:rsid w:val="00AD735D"/>
    <w:rsid w:val="00AE2DAA"/>
    <w:rsid w:val="00AF0899"/>
    <w:rsid w:val="00B35BE3"/>
    <w:rsid w:val="00B603C0"/>
    <w:rsid w:val="00B83AB4"/>
    <w:rsid w:val="00BA4FF9"/>
    <w:rsid w:val="00BC3BA1"/>
    <w:rsid w:val="00C0421C"/>
    <w:rsid w:val="00C10202"/>
    <w:rsid w:val="00C12E9F"/>
    <w:rsid w:val="00C21944"/>
    <w:rsid w:val="00C2698C"/>
    <w:rsid w:val="00C52C59"/>
    <w:rsid w:val="00C63059"/>
    <w:rsid w:val="00C90DF2"/>
    <w:rsid w:val="00CB64BD"/>
    <w:rsid w:val="00DD3BF5"/>
    <w:rsid w:val="00DF74BA"/>
    <w:rsid w:val="00E133E8"/>
    <w:rsid w:val="00E243C4"/>
    <w:rsid w:val="00E260AC"/>
    <w:rsid w:val="00E40290"/>
    <w:rsid w:val="00E446A2"/>
    <w:rsid w:val="00EE737C"/>
    <w:rsid w:val="00F10E4B"/>
    <w:rsid w:val="00F41613"/>
    <w:rsid w:val="00F9318C"/>
    <w:rsid w:val="00FD66D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7B95BAA-A93D-4248-90E7-9E5D5F07F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000000" w:themeColor="text1"/>
        <w:lang w:val="en-AU" w:eastAsia="en-US" w:bidi="ar-SA"/>
      </w:rPr>
    </w:rPrDefault>
    <w:pPrDefault>
      <w:pPr>
        <w:spacing w:before="120"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9"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3"/>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3"/>
    <w:lsdException w:name="Emphasis" w:uiPriority="33"/>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32"/>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uiPriority="33"/>
    <w:lsdException w:name="Subtle Reference" w:semiHidden="1" w:uiPriority="33" w:unhideWhenUsed="1" w:qFormat="1"/>
    <w:lsdException w:name="Intense Reference" w:semiHidden="1"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2AB6"/>
    <w:pPr>
      <w:suppressAutoHyphens/>
      <w:spacing w:before="200" w:after="200" w:line="280" w:lineRule="atLeast"/>
    </w:pPr>
    <w:rPr>
      <w:sz w:val="22"/>
    </w:rPr>
  </w:style>
  <w:style w:type="paragraph" w:styleId="Heading1">
    <w:name w:val="heading 1"/>
    <w:basedOn w:val="Normal"/>
    <w:next w:val="Normal"/>
    <w:link w:val="Heading1Char"/>
    <w:uiPriority w:val="1"/>
    <w:qFormat/>
    <w:rsid w:val="00A60009"/>
    <w:pPr>
      <w:keepNext/>
      <w:keepLines/>
      <w:spacing w:before="360"/>
      <w:outlineLvl w:val="0"/>
    </w:pPr>
    <w:rPr>
      <w:rFonts w:asciiTheme="majorHAnsi" w:eastAsiaTheme="majorEastAsia" w:hAnsiTheme="majorHAnsi" w:cstheme="majorBidi"/>
      <w:b/>
      <w:color w:val="612C69"/>
      <w:sz w:val="40"/>
      <w:szCs w:val="40"/>
    </w:rPr>
  </w:style>
  <w:style w:type="paragraph" w:styleId="Heading2">
    <w:name w:val="heading 2"/>
    <w:basedOn w:val="Normal"/>
    <w:next w:val="Normal"/>
    <w:link w:val="Heading2Char"/>
    <w:uiPriority w:val="1"/>
    <w:qFormat/>
    <w:rsid w:val="00A60009"/>
    <w:pPr>
      <w:keepNext/>
      <w:keepLines/>
      <w:spacing w:before="360" w:line="360" w:lineRule="atLeast"/>
      <w:outlineLvl w:val="1"/>
    </w:pPr>
    <w:rPr>
      <w:rFonts w:asciiTheme="majorHAnsi" w:eastAsiaTheme="majorEastAsia" w:hAnsiTheme="majorHAnsi" w:cstheme="majorBidi"/>
      <w:b/>
      <w:color w:val="85367B"/>
      <w:sz w:val="34"/>
      <w:szCs w:val="34"/>
    </w:rPr>
  </w:style>
  <w:style w:type="paragraph" w:styleId="Heading3">
    <w:name w:val="heading 3"/>
    <w:basedOn w:val="Normal"/>
    <w:next w:val="Normal"/>
    <w:link w:val="Heading3Char"/>
    <w:uiPriority w:val="1"/>
    <w:qFormat/>
    <w:rsid w:val="00A60009"/>
    <w:pPr>
      <w:keepNext/>
      <w:keepLines/>
      <w:spacing w:before="360"/>
      <w:outlineLvl w:val="2"/>
    </w:pPr>
    <w:rPr>
      <w:rFonts w:asciiTheme="majorHAnsi" w:eastAsiaTheme="majorEastAsia" w:hAnsiTheme="majorHAnsi" w:cstheme="majorBidi"/>
      <w:b/>
      <w:color w:val="5F2E74" w:themeColor="text2"/>
      <w:sz w:val="26"/>
      <w:szCs w:val="24"/>
    </w:rPr>
  </w:style>
  <w:style w:type="paragraph" w:styleId="Heading4">
    <w:name w:val="heading 4"/>
    <w:basedOn w:val="Normal"/>
    <w:next w:val="Normal"/>
    <w:link w:val="Heading4Char"/>
    <w:uiPriority w:val="9"/>
    <w:rsid w:val="00B83AB4"/>
    <w:pPr>
      <w:keepNext/>
      <w:keepLines/>
      <w:spacing w:before="300"/>
      <w:outlineLvl w:val="3"/>
    </w:pPr>
    <w:rPr>
      <w:rFonts w:eastAsiaTheme="majorEastAsia" w:cstheme="majorBidi"/>
      <w:i/>
      <w:iCs/>
      <w:color w:val="5F2E74" w:themeColor="text2"/>
      <w:sz w:val="26"/>
    </w:rPr>
  </w:style>
  <w:style w:type="paragraph" w:styleId="Heading5">
    <w:name w:val="heading 5"/>
    <w:basedOn w:val="Normal"/>
    <w:next w:val="Normal"/>
    <w:link w:val="Heading5Char"/>
    <w:uiPriority w:val="9"/>
    <w:semiHidden/>
    <w:unhideWhenUsed/>
    <w:rsid w:val="00B83AB4"/>
    <w:pPr>
      <w:keepNext/>
      <w:keepLines/>
      <w:spacing w:before="300"/>
      <w:outlineLvl w:val="4"/>
    </w:pPr>
    <w:rPr>
      <w:rFonts w:eastAsiaTheme="majorEastAsia" w:cstheme="majorBidi"/>
      <w:b/>
      <w:i/>
      <w:color w:val="5F2E74" w:themeColor="text2"/>
    </w:rPr>
  </w:style>
  <w:style w:type="paragraph" w:styleId="Heading6">
    <w:name w:val="heading 6"/>
    <w:basedOn w:val="Normal"/>
    <w:next w:val="Normal"/>
    <w:link w:val="Heading6Char"/>
    <w:uiPriority w:val="9"/>
    <w:unhideWhenUsed/>
    <w:rsid w:val="00AF0899"/>
    <w:pPr>
      <w:keepNext/>
      <w:keepLines/>
      <w:outlineLvl w:val="5"/>
    </w:pPr>
    <w:rPr>
      <w:rFonts w:eastAsiaTheme="majorEastAsia" w:cstheme="majorBidi"/>
      <w:b/>
      <w:i/>
    </w:rPr>
  </w:style>
  <w:style w:type="paragraph" w:styleId="Heading7">
    <w:name w:val="heading 7"/>
    <w:basedOn w:val="Normal"/>
    <w:next w:val="Normal"/>
    <w:link w:val="Heading7Char"/>
    <w:uiPriority w:val="9"/>
    <w:unhideWhenUsed/>
    <w:rsid w:val="00AF0899"/>
    <w:pPr>
      <w:keepNext/>
      <w:keepLines/>
      <w:outlineLvl w:val="6"/>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F0899"/>
    <w:pPr>
      <w:tabs>
        <w:tab w:val="center" w:pos="4513"/>
        <w:tab w:val="right" w:pos="9026"/>
      </w:tabs>
      <w:spacing w:before="0" w:after="0"/>
    </w:pPr>
    <w:rPr>
      <w:rFonts w:asciiTheme="majorHAnsi" w:hAnsiTheme="majorHAnsi"/>
      <w:b/>
      <w:sz w:val="16"/>
    </w:rPr>
  </w:style>
  <w:style w:type="character" w:customStyle="1" w:styleId="HeaderChar">
    <w:name w:val="Header Char"/>
    <w:basedOn w:val="DefaultParagraphFont"/>
    <w:link w:val="Header"/>
    <w:uiPriority w:val="99"/>
    <w:rsid w:val="00AF0899"/>
    <w:rPr>
      <w:rFonts w:asciiTheme="majorHAnsi" w:hAnsiTheme="majorHAnsi"/>
      <w:b/>
      <w:color w:val="000000" w:themeColor="text1"/>
      <w:sz w:val="16"/>
      <w:szCs w:val="20"/>
    </w:rPr>
  </w:style>
  <w:style w:type="paragraph" w:styleId="Footer">
    <w:name w:val="footer"/>
    <w:basedOn w:val="Normal"/>
    <w:link w:val="FooterChar"/>
    <w:uiPriority w:val="99"/>
    <w:rsid w:val="00FD66D7"/>
    <w:pPr>
      <w:tabs>
        <w:tab w:val="center" w:pos="4513"/>
        <w:tab w:val="right" w:pos="9026"/>
      </w:tabs>
    </w:pPr>
    <w:rPr>
      <w:rFonts w:asciiTheme="majorHAnsi" w:hAnsiTheme="majorHAnsi"/>
      <w:color w:val="auto"/>
      <w:sz w:val="20"/>
    </w:rPr>
  </w:style>
  <w:style w:type="character" w:customStyle="1" w:styleId="FooterChar">
    <w:name w:val="Footer Char"/>
    <w:basedOn w:val="DefaultParagraphFont"/>
    <w:link w:val="Footer"/>
    <w:uiPriority w:val="99"/>
    <w:rsid w:val="00FD66D7"/>
    <w:rPr>
      <w:rFonts w:asciiTheme="majorHAnsi" w:hAnsiTheme="majorHAnsi"/>
      <w:color w:val="auto"/>
    </w:rPr>
  </w:style>
  <w:style w:type="numbering" w:customStyle="1" w:styleId="KCBullets">
    <w:name w:val="KC Bullets"/>
    <w:uiPriority w:val="99"/>
    <w:rsid w:val="00AF0899"/>
    <w:pPr>
      <w:numPr>
        <w:numId w:val="1"/>
      </w:numPr>
    </w:pPr>
  </w:style>
  <w:style w:type="character" w:customStyle="1" w:styleId="Heading2Char">
    <w:name w:val="Heading 2 Char"/>
    <w:basedOn w:val="DefaultParagraphFont"/>
    <w:link w:val="Heading2"/>
    <w:uiPriority w:val="1"/>
    <w:rsid w:val="00362AB6"/>
    <w:rPr>
      <w:rFonts w:asciiTheme="majorHAnsi" w:eastAsiaTheme="majorEastAsia" w:hAnsiTheme="majorHAnsi" w:cstheme="majorBidi"/>
      <w:b/>
      <w:color w:val="85367B"/>
      <w:sz w:val="34"/>
      <w:szCs w:val="34"/>
    </w:rPr>
  </w:style>
  <w:style w:type="paragraph" w:styleId="Quote">
    <w:name w:val="Quote"/>
    <w:basedOn w:val="Normal"/>
    <w:next w:val="Normal"/>
    <w:link w:val="QuoteChar"/>
    <w:uiPriority w:val="18"/>
    <w:rsid w:val="00FD66D7"/>
    <w:pPr>
      <w:spacing w:before="300" w:after="300" w:line="360" w:lineRule="atLeast"/>
    </w:pPr>
    <w:rPr>
      <w:b/>
      <w:iCs/>
      <w:color w:val="auto"/>
      <w:sz w:val="26"/>
    </w:rPr>
  </w:style>
  <w:style w:type="numbering" w:customStyle="1" w:styleId="AppendixNumbers">
    <w:name w:val="Appendix Numbers"/>
    <w:uiPriority w:val="99"/>
    <w:rsid w:val="00DF74BA"/>
    <w:pPr>
      <w:numPr>
        <w:numId w:val="3"/>
      </w:numPr>
    </w:pPr>
  </w:style>
  <w:style w:type="paragraph" w:customStyle="1" w:styleId="Boxed1Text">
    <w:name w:val="Boxed 1 Text"/>
    <w:basedOn w:val="Normal"/>
    <w:uiPriority w:val="29"/>
    <w:rsid w:val="00FD66D7"/>
    <w:pPr>
      <w:pBdr>
        <w:top w:val="single" w:sz="4" w:space="14" w:color="DDDDDD" w:themeColor="background2"/>
        <w:left w:val="single" w:sz="4" w:space="14" w:color="DDDDDD" w:themeColor="background2"/>
        <w:bottom w:val="single" w:sz="4" w:space="14" w:color="DDDDDD" w:themeColor="background2"/>
        <w:right w:val="single" w:sz="4" w:space="14" w:color="DDDDDD" w:themeColor="background2"/>
      </w:pBdr>
      <w:shd w:val="clear" w:color="auto" w:fill="DDDDDD" w:themeFill="background2"/>
      <w:spacing w:after="60" w:line="240" w:lineRule="atLeast"/>
      <w:ind w:left="284" w:right="284"/>
    </w:pPr>
  </w:style>
  <w:style w:type="paragraph" w:customStyle="1" w:styleId="Boxed1Bullet">
    <w:name w:val="Boxed 1 Bullet"/>
    <w:basedOn w:val="Boxed1Text"/>
    <w:uiPriority w:val="30"/>
    <w:rsid w:val="00AF0899"/>
    <w:pPr>
      <w:numPr>
        <w:numId w:val="4"/>
      </w:numPr>
    </w:pPr>
  </w:style>
  <w:style w:type="paragraph" w:customStyle="1" w:styleId="Boxed1Heading">
    <w:name w:val="Boxed 1 Heading"/>
    <w:basedOn w:val="Boxed1Text"/>
    <w:uiPriority w:val="29"/>
    <w:rsid w:val="00AF0899"/>
    <w:pPr>
      <w:keepNext/>
    </w:pPr>
    <w:rPr>
      <w:b/>
    </w:rPr>
  </w:style>
  <w:style w:type="paragraph" w:customStyle="1" w:styleId="Boxed2Text">
    <w:name w:val="Boxed 2 Text"/>
    <w:basedOn w:val="Boxed1Text"/>
    <w:uiPriority w:val="31"/>
    <w:rsid w:val="00AF0899"/>
    <w:pPr>
      <w:pBdr>
        <w:top w:val="single" w:sz="4" w:space="14" w:color="5F2E74" w:themeColor="accent1"/>
        <w:left w:val="single" w:sz="4" w:space="14" w:color="5F2E74" w:themeColor="accent1"/>
        <w:bottom w:val="single" w:sz="4" w:space="14" w:color="5F2E74" w:themeColor="accent1"/>
        <w:right w:val="single" w:sz="4" w:space="14" w:color="5F2E74" w:themeColor="accent1"/>
      </w:pBdr>
      <w:shd w:val="clear" w:color="auto" w:fill="auto"/>
    </w:pPr>
  </w:style>
  <w:style w:type="paragraph" w:customStyle="1" w:styleId="Boxed2Bullet">
    <w:name w:val="Boxed 2 Bullet"/>
    <w:basedOn w:val="Boxed2Text"/>
    <w:uiPriority w:val="32"/>
    <w:rsid w:val="00AF0899"/>
    <w:pPr>
      <w:numPr>
        <w:ilvl w:val="1"/>
        <w:numId w:val="4"/>
      </w:numPr>
    </w:pPr>
  </w:style>
  <w:style w:type="paragraph" w:customStyle="1" w:styleId="Boxed2Heading">
    <w:name w:val="Boxed 2 Heading"/>
    <w:basedOn w:val="Boxed2Text"/>
    <w:uiPriority w:val="31"/>
    <w:rsid w:val="00AF0899"/>
    <w:pPr>
      <w:keepNext/>
    </w:pPr>
    <w:rPr>
      <w:b/>
    </w:rPr>
  </w:style>
  <w:style w:type="numbering" w:customStyle="1" w:styleId="BoxedBullets">
    <w:name w:val="Boxed Bullets"/>
    <w:uiPriority w:val="99"/>
    <w:rsid w:val="00AF0899"/>
    <w:pPr>
      <w:numPr>
        <w:numId w:val="6"/>
      </w:numPr>
    </w:pPr>
  </w:style>
  <w:style w:type="paragraph" w:customStyle="1" w:styleId="Bullet1">
    <w:name w:val="Bullet 1"/>
    <w:basedOn w:val="Normal"/>
    <w:uiPriority w:val="2"/>
    <w:qFormat/>
    <w:rsid w:val="00A60009"/>
    <w:pPr>
      <w:numPr>
        <w:numId w:val="34"/>
      </w:numPr>
    </w:pPr>
  </w:style>
  <w:style w:type="paragraph" w:customStyle="1" w:styleId="Bullet2">
    <w:name w:val="Bullet 2"/>
    <w:basedOn w:val="Normal"/>
    <w:uiPriority w:val="5"/>
    <w:unhideWhenUsed/>
    <w:rsid w:val="00A60009"/>
    <w:pPr>
      <w:numPr>
        <w:ilvl w:val="1"/>
        <w:numId w:val="34"/>
      </w:numPr>
    </w:pPr>
  </w:style>
  <w:style w:type="paragraph" w:customStyle="1" w:styleId="Bullet3">
    <w:name w:val="Bullet 3"/>
    <w:basedOn w:val="Normal"/>
    <w:uiPriority w:val="5"/>
    <w:unhideWhenUsed/>
    <w:rsid w:val="00A60009"/>
    <w:pPr>
      <w:numPr>
        <w:ilvl w:val="2"/>
        <w:numId w:val="34"/>
      </w:numPr>
    </w:pPr>
  </w:style>
  <w:style w:type="paragraph" w:styleId="Caption">
    <w:name w:val="caption"/>
    <w:basedOn w:val="Normal"/>
    <w:next w:val="Normal"/>
    <w:uiPriority w:val="19"/>
    <w:rsid w:val="00FD66D7"/>
    <w:pPr>
      <w:spacing w:before="0"/>
    </w:pPr>
    <w:rPr>
      <w:iCs/>
      <w:color w:val="404040" w:themeColor="text1" w:themeTint="BF"/>
      <w:szCs w:val="18"/>
    </w:rPr>
  </w:style>
  <w:style w:type="table" w:styleId="GridTable5Dark-Accent1">
    <w:name w:val="Grid Table 5 Dark Accent 1"/>
    <w:basedOn w:val="TableNormal"/>
    <w:uiPriority w:val="50"/>
    <w:rsid w:val="00AF0899"/>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CD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F2E7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F2E7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2E7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F2E74" w:themeFill="accent1"/>
      </w:tcPr>
    </w:tblStylePr>
    <w:tblStylePr w:type="band1Vert">
      <w:tblPr/>
      <w:tcPr>
        <w:shd w:val="clear" w:color="auto" w:fill="C59BD7" w:themeFill="accent1" w:themeFillTint="66"/>
      </w:tcPr>
    </w:tblStylePr>
    <w:tblStylePr w:type="band1Horz">
      <w:tblPr/>
      <w:tcPr>
        <w:shd w:val="clear" w:color="auto" w:fill="C59BD7" w:themeFill="accent1" w:themeFillTint="66"/>
      </w:tcPr>
    </w:tblStylePr>
  </w:style>
  <w:style w:type="table" w:customStyle="1" w:styleId="DefaultTable1">
    <w:name w:val="Default Table 1"/>
    <w:basedOn w:val="GridTable5Dark-Accent1"/>
    <w:uiPriority w:val="99"/>
    <w:rsid w:val="00AF0899"/>
    <w:pPr>
      <w:spacing w:before="60" w:after="60"/>
    </w:pPr>
    <w:rPr>
      <w:sz w:val="18"/>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57" w:type="dxa"/>
        <w:bottom w:w="57" w:type="dxa"/>
      </w:tblCellMar>
    </w:tblPr>
    <w:trPr>
      <w:cantSplit/>
    </w:trPr>
    <w:tcPr>
      <w:shd w:val="clear" w:color="auto" w:fill="auto"/>
    </w:tcPr>
    <w:tblStylePr w:type="firstRow">
      <w:pPr>
        <w:wordWrap/>
        <w:spacing w:beforeLines="0" w:before="60" w:beforeAutospacing="0" w:afterLines="0" w:after="60" w:afterAutospacing="0" w:line="240" w:lineRule="auto"/>
      </w:pPr>
      <w:rPr>
        <w:rFonts w:asciiTheme="majorHAnsi" w:hAnsiTheme="majorHAnsi"/>
        <w:b/>
        <w:bCs/>
        <w:caps w:val="0"/>
        <w:smallCaps w:val="0"/>
        <w:color w:val="FFFFFF" w:themeColor="background1"/>
        <w:sz w:val="18"/>
      </w:rPr>
      <w:tblPr/>
      <w:trPr>
        <w:cantSplit w:val="0"/>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F2E74" w:themeFill="accent1"/>
      </w:tcPr>
    </w:tblStylePr>
    <w:tblStylePr w:type="lastRow">
      <w:rPr>
        <w:b/>
        <w:bCs/>
        <w:color w:val="000000" w:themeColor="text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BFBFBF" w:themeFill="background1" w:themeFillShade="BF"/>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2E74" w:themeFill="accent1"/>
      </w:tcPr>
    </w:tblStylePr>
    <w:tblStylePr w:type="lastCol">
      <w:pPr>
        <w:jc w:val="right"/>
      </w:pPr>
      <w:rPr>
        <w:b/>
        <w:bCs/>
        <w:color w:val="000000" w:themeColor="text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FBFBF" w:themeFill="background1" w:themeFillShade="BF"/>
      </w:tcPr>
    </w:tblStylePr>
    <w:tblStylePr w:type="band1Vert">
      <w:tblPr/>
      <w:tcPr>
        <w:shd w:val="clear" w:color="auto" w:fill="E2CDEB" w:themeFill="accent1" w:themeFillTint="33"/>
      </w:tcPr>
    </w:tblStylePr>
    <w:tblStylePr w:type="band2Vert">
      <w:tblPr/>
      <w:tcPr>
        <w:shd w:val="clear" w:color="auto" w:fill="C59BD7" w:themeFill="accent1" w:themeFillTint="66"/>
      </w:tcPr>
    </w:tblStylePr>
    <w:tblStylePr w:type="band1Horz">
      <w:tblPr/>
      <w:tcPr>
        <w:shd w:val="clear" w:color="auto" w:fill="E2CDEB" w:themeFill="accent1" w:themeFillTint="33"/>
      </w:tcPr>
    </w:tblStylePr>
    <w:tblStylePr w:type="band2Horz">
      <w:tblPr/>
      <w:tcPr>
        <w:shd w:val="clear" w:color="auto" w:fill="C59BD7" w:themeFill="accent1" w:themeFillTint="66"/>
      </w:tcPr>
    </w:tblStylePr>
  </w:style>
  <w:style w:type="table" w:customStyle="1" w:styleId="DefaultTable2">
    <w:name w:val="Default Table 2"/>
    <w:basedOn w:val="TableNormal"/>
    <w:uiPriority w:val="99"/>
    <w:rsid w:val="00AF0899"/>
    <w:pPr>
      <w:spacing w:before="0" w:after="0"/>
    </w:pPr>
    <w:tblPr>
      <w:tblStyleRowBandSize w:val="1"/>
      <w:tblStyleColBandSize w:val="1"/>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28" w:type="dxa"/>
        <w:left w:w="57" w:type="dxa"/>
        <w:bottom w:w="28" w:type="dxa"/>
        <w:right w:w="57" w:type="dxa"/>
      </w:tblCellMar>
    </w:tblPr>
    <w:tblStylePr w:type="firstRow">
      <w:rPr>
        <w:b/>
      </w:rPr>
      <w:tblPr/>
      <w:tcPr>
        <w:shd w:val="clear" w:color="auto" w:fill="A6A6A6" w:themeFill="background1" w:themeFillShade="A6"/>
      </w:tcPr>
    </w:tblStylePr>
    <w:tblStylePr w:type="lastRow">
      <w:rPr>
        <w:b/>
      </w:rPr>
      <w:tblPr/>
      <w:tcPr>
        <w:shd w:val="clear" w:color="auto" w:fill="D9D9D9" w:themeFill="background1" w:themeFillShade="D9"/>
      </w:tcPr>
    </w:tblStylePr>
    <w:tblStylePr w:type="firstCol">
      <w:rPr>
        <w:b/>
      </w:rPr>
      <w:tblPr/>
      <w:tcPr>
        <w:shd w:val="clear" w:color="auto" w:fill="F2F2F2" w:themeFill="background1" w:themeFillShade="F2"/>
      </w:tcPr>
    </w:tblStylePr>
    <w:tblStylePr w:type="lastCol">
      <w:rPr>
        <w:b/>
      </w:rPr>
      <w:tblPr/>
      <w:tcPr>
        <w:shd w:val="clear" w:color="auto" w:fill="F2F2F2" w:themeFill="background1" w:themeFillShade="F2"/>
      </w:tcPr>
    </w:tblStylePr>
    <w:tblStylePr w:type="band1Vert">
      <w:tblPr/>
      <w:tcPr>
        <w:shd w:val="clear" w:color="auto" w:fill="F2F2F2" w:themeFill="background1" w:themeFillShade="F2"/>
      </w:tcPr>
    </w:tblStylePr>
    <w:tblStylePr w:type="band2Vert">
      <w:tblPr/>
      <w:tcPr>
        <w:shd w:val="clear" w:color="auto" w:fill="FFFFFF" w:themeFill="background1"/>
      </w:tcPr>
    </w:tblStylePr>
    <w:tblStylePr w:type="band1Horz">
      <w:tblPr/>
      <w:tcPr>
        <w:shd w:val="clear" w:color="auto" w:fill="F2F2F2" w:themeFill="background1" w:themeFillShade="F2"/>
      </w:tcPr>
    </w:tblStylePr>
    <w:tblStylePr w:type="band2Horz">
      <w:tblPr/>
      <w:tcPr>
        <w:shd w:val="clear" w:color="auto" w:fill="FFFFFF" w:themeFill="background1"/>
      </w:tcPr>
    </w:tblStylePr>
  </w:style>
  <w:style w:type="character" w:styleId="Emphasis">
    <w:name w:val="Emphasis"/>
    <w:basedOn w:val="DefaultParagraphFont"/>
    <w:uiPriority w:val="33"/>
    <w:rsid w:val="00AF0899"/>
    <w:rPr>
      <w:i/>
      <w:iCs/>
    </w:rPr>
  </w:style>
  <w:style w:type="numbering" w:customStyle="1" w:styleId="FigureNumbers">
    <w:name w:val="Figure Numbers"/>
    <w:uiPriority w:val="99"/>
    <w:rsid w:val="00AF0899"/>
    <w:pPr>
      <w:numPr>
        <w:numId w:val="10"/>
      </w:numPr>
    </w:pPr>
  </w:style>
  <w:style w:type="character" w:customStyle="1" w:styleId="QuoteChar">
    <w:name w:val="Quote Char"/>
    <w:basedOn w:val="DefaultParagraphFont"/>
    <w:link w:val="Quote"/>
    <w:uiPriority w:val="18"/>
    <w:rsid w:val="00FD66D7"/>
    <w:rPr>
      <w:b/>
      <w:iCs/>
      <w:color w:val="auto"/>
      <w:sz w:val="26"/>
    </w:rPr>
  </w:style>
  <w:style w:type="character" w:styleId="FollowedHyperlink">
    <w:name w:val="FollowedHyperlink"/>
    <w:basedOn w:val="DefaultParagraphFont"/>
    <w:uiPriority w:val="99"/>
    <w:rsid w:val="00AF0899"/>
    <w:rPr>
      <w:color w:val="0070C0"/>
      <w:u w:val="single"/>
    </w:rPr>
  </w:style>
  <w:style w:type="character" w:styleId="FootnoteReference">
    <w:name w:val="footnote reference"/>
    <w:basedOn w:val="DefaultParagraphFont"/>
    <w:uiPriority w:val="99"/>
    <w:rsid w:val="00AF0899"/>
    <w:rPr>
      <w:vertAlign w:val="superscript"/>
    </w:rPr>
  </w:style>
  <w:style w:type="paragraph" w:styleId="FootnoteText">
    <w:name w:val="footnote text"/>
    <w:basedOn w:val="Normal"/>
    <w:link w:val="FootnoteTextChar"/>
    <w:uiPriority w:val="99"/>
    <w:rsid w:val="00AF0899"/>
    <w:pPr>
      <w:spacing w:before="60" w:after="60"/>
    </w:pPr>
    <w:rPr>
      <w:sz w:val="18"/>
    </w:rPr>
  </w:style>
  <w:style w:type="character" w:customStyle="1" w:styleId="FootnoteTextChar">
    <w:name w:val="Footnote Text Char"/>
    <w:basedOn w:val="DefaultParagraphFont"/>
    <w:link w:val="FootnoteText"/>
    <w:uiPriority w:val="99"/>
    <w:rsid w:val="00AF0899"/>
    <w:rPr>
      <w:color w:val="000000" w:themeColor="text1"/>
      <w:sz w:val="18"/>
      <w:szCs w:val="20"/>
    </w:rPr>
  </w:style>
  <w:style w:type="character" w:customStyle="1" w:styleId="Heading1Char">
    <w:name w:val="Heading 1 Char"/>
    <w:basedOn w:val="DefaultParagraphFont"/>
    <w:link w:val="Heading1"/>
    <w:uiPriority w:val="1"/>
    <w:rsid w:val="00362AB6"/>
    <w:rPr>
      <w:rFonts w:asciiTheme="majorHAnsi" w:eastAsiaTheme="majorEastAsia" w:hAnsiTheme="majorHAnsi" w:cstheme="majorBidi"/>
      <w:b/>
      <w:color w:val="612C69"/>
      <w:sz w:val="40"/>
      <w:szCs w:val="40"/>
    </w:rPr>
  </w:style>
  <w:style w:type="character" w:customStyle="1" w:styleId="Heading3Char">
    <w:name w:val="Heading 3 Char"/>
    <w:basedOn w:val="DefaultParagraphFont"/>
    <w:link w:val="Heading3"/>
    <w:uiPriority w:val="1"/>
    <w:rsid w:val="00362AB6"/>
    <w:rPr>
      <w:rFonts w:asciiTheme="majorHAnsi" w:eastAsiaTheme="majorEastAsia" w:hAnsiTheme="majorHAnsi" w:cstheme="majorBidi"/>
      <w:b/>
      <w:color w:val="5F2E74" w:themeColor="text2"/>
      <w:sz w:val="26"/>
      <w:szCs w:val="24"/>
    </w:rPr>
  </w:style>
  <w:style w:type="character" w:customStyle="1" w:styleId="Heading4Char">
    <w:name w:val="Heading 4 Char"/>
    <w:basedOn w:val="DefaultParagraphFont"/>
    <w:link w:val="Heading4"/>
    <w:uiPriority w:val="9"/>
    <w:rsid w:val="00362AB6"/>
    <w:rPr>
      <w:rFonts w:eastAsiaTheme="majorEastAsia" w:cstheme="majorBidi"/>
      <w:i/>
      <w:iCs/>
      <w:color w:val="5F2E74" w:themeColor="text2"/>
      <w:sz w:val="26"/>
    </w:rPr>
  </w:style>
  <w:style w:type="character" w:customStyle="1" w:styleId="Heading5Char">
    <w:name w:val="Heading 5 Char"/>
    <w:basedOn w:val="DefaultParagraphFont"/>
    <w:link w:val="Heading5"/>
    <w:uiPriority w:val="9"/>
    <w:semiHidden/>
    <w:rsid w:val="00B83AB4"/>
    <w:rPr>
      <w:rFonts w:eastAsiaTheme="majorEastAsia" w:cstheme="majorBidi"/>
      <w:b/>
      <w:i/>
      <w:color w:val="5F2E74" w:themeColor="text2"/>
      <w:sz w:val="22"/>
    </w:rPr>
  </w:style>
  <w:style w:type="character" w:customStyle="1" w:styleId="Heading6Char">
    <w:name w:val="Heading 6 Char"/>
    <w:basedOn w:val="DefaultParagraphFont"/>
    <w:link w:val="Heading6"/>
    <w:uiPriority w:val="9"/>
    <w:rsid w:val="00B83AB4"/>
    <w:rPr>
      <w:rFonts w:eastAsiaTheme="majorEastAsia" w:cstheme="majorBidi"/>
      <w:b/>
      <w:i/>
      <w:sz w:val="22"/>
    </w:rPr>
  </w:style>
  <w:style w:type="character" w:customStyle="1" w:styleId="Heading7Char">
    <w:name w:val="Heading 7 Char"/>
    <w:basedOn w:val="DefaultParagraphFont"/>
    <w:link w:val="Heading7"/>
    <w:uiPriority w:val="9"/>
    <w:rsid w:val="00B83AB4"/>
    <w:rPr>
      <w:rFonts w:eastAsiaTheme="majorEastAsia" w:cstheme="majorBidi"/>
      <w:i/>
      <w:iCs/>
      <w:sz w:val="22"/>
    </w:rPr>
  </w:style>
  <w:style w:type="character" w:styleId="Hyperlink">
    <w:name w:val="Hyperlink"/>
    <w:basedOn w:val="DefaultParagraphFont"/>
    <w:uiPriority w:val="99"/>
    <w:rsid w:val="00362AB6"/>
    <w:rPr>
      <w:color w:val="943C84"/>
      <w:u w:val="single"/>
    </w:rPr>
  </w:style>
  <w:style w:type="character" w:styleId="IntenseEmphasis">
    <w:name w:val="Intense Emphasis"/>
    <w:basedOn w:val="DefaultParagraphFont"/>
    <w:uiPriority w:val="33"/>
    <w:rsid w:val="00AF0899"/>
    <w:rPr>
      <w:b/>
      <w:i/>
      <w:iCs/>
      <w:color w:val="000000" w:themeColor="text1"/>
    </w:rPr>
  </w:style>
  <w:style w:type="paragraph" w:customStyle="1" w:styleId="IntroPara">
    <w:name w:val="Intro Para"/>
    <w:basedOn w:val="Normal"/>
    <w:uiPriority w:val="1"/>
    <w:unhideWhenUsed/>
    <w:rsid w:val="00B83AB4"/>
    <w:pPr>
      <w:pBdr>
        <w:left w:val="single" w:sz="24" w:space="12" w:color="9DC44D" w:themeColor="accent6"/>
      </w:pBdr>
      <w:spacing w:line="420" w:lineRule="atLeast"/>
      <w:ind w:left="284" w:right="1701"/>
      <w:contextualSpacing/>
    </w:pPr>
    <w:rPr>
      <w:rFonts w:asciiTheme="majorHAnsi" w:hAnsiTheme="majorHAnsi"/>
      <w:color w:val="5F2E74" w:themeColor="text2"/>
      <w:sz w:val="32"/>
    </w:rPr>
  </w:style>
  <w:style w:type="numbering" w:customStyle="1" w:styleId="List1Numbered">
    <w:name w:val="List 1 Numbered"/>
    <w:uiPriority w:val="99"/>
    <w:rsid w:val="00DF74BA"/>
    <w:pPr>
      <w:numPr>
        <w:numId w:val="19"/>
      </w:numPr>
    </w:pPr>
  </w:style>
  <w:style w:type="paragraph" w:customStyle="1" w:styleId="List1Numbered1">
    <w:name w:val="List 1 Numbered 1"/>
    <w:basedOn w:val="Normal"/>
    <w:uiPriority w:val="2"/>
    <w:qFormat/>
    <w:rsid w:val="00DF74BA"/>
    <w:pPr>
      <w:numPr>
        <w:numId w:val="20"/>
      </w:numPr>
    </w:pPr>
  </w:style>
  <w:style w:type="paragraph" w:customStyle="1" w:styleId="List1Numbered2">
    <w:name w:val="List 1 Numbered 2"/>
    <w:basedOn w:val="Normal"/>
    <w:uiPriority w:val="4"/>
    <w:unhideWhenUsed/>
    <w:rsid w:val="00DF74BA"/>
    <w:pPr>
      <w:numPr>
        <w:ilvl w:val="1"/>
        <w:numId w:val="20"/>
      </w:numPr>
    </w:pPr>
  </w:style>
  <w:style w:type="paragraph" w:customStyle="1" w:styleId="List1Numbered3">
    <w:name w:val="List 1 Numbered 3"/>
    <w:basedOn w:val="Normal"/>
    <w:uiPriority w:val="4"/>
    <w:unhideWhenUsed/>
    <w:rsid w:val="00DF74BA"/>
    <w:pPr>
      <w:numPr>
        <w:ilvl w:val="2"/>
        <w:numId w:val="20"/>
      </w:numPr>
    </w:pPr>
  </w:style>
  <w:style w:type="paragraph" w:styleId="NoSpacing">
    <w:name w:val="No Spacing"/>
    <w:uiPriority w:val="1"/>
    <w:unhideWhenUsed/>
    <w:rsid w:val="00AF0899"/>
    <w:pPr>
      <w:spacing w:after="0"/>
    </w:pPr>
  </w:style>
  <w:style w:type="numbering" w:customStyle="1" w:styleId="NumberedHeadings">
    <w:name w:val="Numbered Headings"/>
    <w:uiPriority w:val="99"/>
    <w:rsid w:val="003449A0"/>
    <w:pPr>
      <w:numPr>
        <w:numId w:val="23"/>
      </w:numPr>
    </w:pPr>
  </w:style>
  <w:style w:type="paragraph" w:customStyle="1" w:styleId="PullOut">
    <w:name w:val="Pull Out"/>
    <w:basedOn w:val="Quote"/>
    <w:uiPriority w:val="22"/>
    <w:rsid w:val="00FD66D7"/>
  </w:style>
  <w:style w:type="character" w:styleId="Strong">
    <w:name w:val="Strong"/>
    <w:basedOn w:val="DefaultParagraphFont"/>
    <w:uiPriority w:val="33"/>
    <w:rsid w:val="00AF0899"/>
    <w:rPr>
      <w:b/>
      <w:bCs/>
    </w:rPr>
  </w:style>
  <w:style w:type="paragraph" w:styleId="Subtitle">
    <w:name w:val="Subtitle"/>
    <w:basedOn w:val="Normal"/>
    <w:next w:val="Normal"/>
    <w:link w:val="SubtitleChar"/>
    <w:uiPriority w:val="23"/>
    <w:rsid w:val="00B83AB4"/>
    <w:pPr>
      <w:keepLines/>
      <w:numPr>
        <w:ilvl w:val="1"/>
      </w:numPr>
      <w:pBdr>
        <w:left w:val="single" w:sz="24" w:space="15" w:color="9DC44D" w:themeColor="accent6"/>
      </w:pBdr>
      <w:spacing w:line="420" w:lineRule="atLeast"/>
      <w:ind w:left="284" w:right="1701"/>
      <w:contextualSpacing/>
    </w:pPr>
    <w:rPr>
      <w:rFonts w:eastAsiaTheme="minorEastAsia"/>
      <w:color w:val="5F2E74" w:themeColor="text2"/>
      <w:sz w:val="32"/>
      <w:szCs w:val="22"/>
    </w:rPr>
  </w:style>
  <w:style w:type="character" w:customStyle="1" w:styleId="SubtitleChar">
    <w:name w:val="Subtitle Char"/>
    <w:basedOn w:val="DefaultParagraphFont"/>
    <w:link w:val="Subtitle"/>
    <w:uiPriority w:val="23"/>
    <w:rsid w:val="00B83AB4"/>
    <w:rPr>
      <w:rFonts w:eastAsiaTheme="minorEastAsia"/>
      <w:color w:val="5F2E74" w:themeColor="text2"/>
      <w:sz w:val="32"/>
      <w:szCs w:val="22"/>
    </w:rPr>
  </w:style>
  <w:style w:type="table" w:styleId="TableGrid">
    <w:name w:val="Table Grid"/>
    <w:basedOn w:val="TableNormal"/>
    <w:uiPriority w:val="39"/>
    <w:rsid w:val="00AF089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ableNumbers">
    <w:name w:val="Table Numbers"/>
    <w:uiPriority w:val="99"/>
    <w:rsid w:val="00AF0899"/>
    <w:pPr>
      <w:numPr>
        <w:numId w:val="25"/>
      </w:numPr>
    </w:pPr>
  </w:style>
  <w:style w:type="paragraph" w:styleId="Title">
    <w:name w:val="Title"/>
    <w:basedOn w:val="Heading1"/>
    <w:next w:val="Normal"/>
    <w:link w:val="TitleChar"/>
    <w:uiPriority w:val="3"/>
    <w:qFormat/>
    <w:rsid w:val="00A60009"/>
    <w:rPr>
      <w:rFonts w:ascii="Calibri Light" w:hAnsi="Calibri Light" w:cs="Calibri Light"/>
      <w:b w:val="0"/>
      <w:sz w:val="48"/>
      <w:szCs w:val="48"/>
    </w:rPr>
  </w:style>
  <w:style w:type="character" w:customStyle="1" w:styleId="TitleChar">
    <w:name w:val="Title Char"/>
    <w:basedOn w:val="DefaultParagraphFont"/>
    <w:link w:val="Title"/>
    <w:uiPriority w:val="3"/>
    <w:rsid w:val="00362AB6"/>
    <w:rPr>
      <w:rFonts w:ascii="Calibri Light" w:eastAsiaTheme="majorEastAsia" w:hAnsi="Calibri Light" w:cs="Calibri Light"/>
      <w:color w:val="612C69"/>
      <w:sz w:val="48"/>
      <w:szCs w:val="48"/>
    </w:rPr>
  </w:style>
  <w:style w:type="paragraph" w:styleId="TOC1">
    <w:name w:val="toc 1"/>
    <w:basedOn w:val="Normal"/>
    <w:next w:val="Normal"/>
    <w:autoRedefine/>
    <w:uiPriority w:val="39"/>
    <w:rsid w:val="00CB64BD"/>
    <w:pPr>
      <w:keepNext/>
      <w:tabs>
        <w:tab w:val="right" w:leader="dot" w:pos="9628"/>
      </w:tabs>
      <w:spacing w:before="120" w:after="120" w:line="240" w:lineRule="auto"/>
    </w:pPr>
    <w:rPr>
      <w:rFonts w:asciiTheme="majorHAnsi" w:hAnsiTheme="majorHAnsi"/>
      <w:color w:val="auto"/>
      <w:sz w:val="24"/>
    </w:rPr>
  </w:style>
  <w:style w:type="paragraph" w:styleId="TOC2">
    <w:name w:val="toc 2"/>
    <w:basedOn w:val="Normal"/>
    <w:next w:val="Normal"/>
    <w:autoRedefine/>
    <w:uiPriority w:val="39"/>
    <w:rsid w:val="00CB64BD"/>
    <w:pPr>
      <w:tabs>
        <w:tab w:val="right" w:leader="dot" w:pos="9628"/>
      </w:tabs>
      <w:spacing w:before="120" w:after="120" w:line="240" w:lineRule="auto"/>
      <w:ind w:left="851" w:hanging="567"/>
    </w:pPr>
    <w:rPr>
      <w:rFonts w:asciiTheme="majorHAnsi" w:hAnsiTheme="majorHAnsi"/>
    </w:rPr>
  </w:style>
  <w:style w:type="paragraph" w:styleId="TOC3">
    <w:name w:val="toc 3"/>
    <w:basedOn w:val="Normal"/>
    <w:next w:val="Normal"/>
    <w:autoRedefine/>
    <w:uiPriority w:val="39"/>
    <w:rsid w:val="00CB64BD"/>
    <w:pPr>
      <w:tabs>
        <w:tab w:val="right" w:leader="dot" w:pos="9628"/>
      </w:tabs>
      <w:spacing w:before="120" w:after="120" w:line="240" w:lineRule="auto"/>
      <w:ind w:left="1134" w:hanging="567"/>
    </w:pPr>
  </w:style>
  <w:style w:type="paragraph" w:styleId="TOC4">
    <w:name w:val="toc 4"/>
    <w:basedOn w:val="Normal"/>
    <w:next w:val="Normal"/>
    <w:autoRedefine/>
    <w:uiPriority w:val="39"/>
    <w:rsid w:val="00AF0899"/>
    <w:pPr>
      <w:tabs>
        <w:tab w:val="right" w:pos="9628"/>
      </w:tabs>
      <w:spacing w:before="60" w:after="60"/>
      <w:ind w:left="1135" w:hanging="851"/>
    </w:pPr>
  </w:style>
  <w:style w:type="paragraph" w:styleId="TOCHeading">
    <w:name w:val="TOC Heading"/>
    <w:basedOn w:val="Heading1"/>
    <w:next w:val="Normal"/>
    <w:uiPriority w:val="39"/>
    <w:qFormat/>
    <w:rsid w:val="00AF0899"/>
    <w:pPr>
      <w:outlineLvl w:val="9"/>
    </w:pPr>
  </w:style>
  <w:style w:type="numbering" w:customStyle="1" w:styleId="DefaultBullets">
    <w:name w:val="Default Bullets"/>
    <w:uiPriority w:val="99"/>
    <w:rsid w:val="00DF74BA"/>
    <w:pPr>
      <w:numPr>
        <w:numId w:val="28"/>
      </w:numPr>
    </w:pPr>
  </w:style>
  <w:style w:type="table" w:customStyle="1" w:styleId="NDISCommission">
    <w:name w:val="NDIS Commission"/>
    <w:basedOn w:val="ListTable3-Accent2"/>
    <w:uiPriority w:val="99"/>
    <w:rsid w:val="006D6D91"/>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shd w:val="clear" w:color="auto" w:fill="962C8B" w:themeFill="accent2"/>
      </w:tcPr>
    </w:tblStylePr>
    <w:tblStylePr w:type="lastRow">
      <w:rPr>
        <w:b/>
        <w:bCs/>
      </w:rPr>
      <w:tblPr/>
      <w:tcPr>
        <w:tcBorders>
          <w:top w:val="double" w:sz="4" w:space="0" w:color="962C8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2C8B" w:themeColor="accent2"/>
          <w:right w:val="single" w:sz="4" w:space="0" w:color="962C8B" w:themeColor="accent2"/>
        </w:tcBorders>
      </w:tcPr>
    </w:tblStylePr>
    <w:tblStylePr w:type="band1Horz">
      <w:tblPr/>
      <w:tcPr>
        <w:tcBorders>
          <w:top w:val="single" w:sz="4" w:space="0" w:color="962C8B" w:themeColor="accent2"/>
          <w:bottom w:val="single" w:sz="4" w:space="0" w:color="962C8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2C8B" w:themeColor="accent2"/>
          <w:left w:val="nil"/>
        </w:tcBorders>
      </w:tcPr>
    </w:tblStylePr>
    <w:tblStylePr w:type="swCell">
      <w:tblPr/>
      <w:tcPr>
        <w:tcBorders>
          <w:top w:val="double" w:sz="4" w:space="0" w:color="962C8B" w:themeColor="accent2"/>
          <w:right w:val="nil"/>
        </w:tcBorders>
      </w:tcPr>
    </w:tblStylePr>
  </w:style>
  <w:style w:type="table" w:styleId="ListTable3-Accent2">
    <w:name w:val="List Table 3 Accent 2"/>
    <w:basedOn w:val="TableNormal"/>
    <w:uiPriority w:val="48"/>
    <w:rsid w:val="00CB64BD"/>
    <w:pPr>
      <w:spacing w:after="0"/>
    </w:pPr>
    <w:tblPr>
      <w:tblStyleRowBandSize w:val="1"/>
      <w:tblStyleColBandSize w:val="1"/>
      <w:tblBorders>
        <w:top w:val="single" w:sz="4" w:space="0" w:color="962C8B" w:themeColor="accent2"/>
        <w:left w:val="single" w:sz="4" w:space="0" w:color="962C8B" w:themeColor="accent2"/>
        <w:bottom w:val="single" w:sz="4" w:space="0" w:color="962C8B" w:themeColor="accent2"/>
        <w:right w:val="single" w:sz="4" w:space="0" w:color="962C8B" w:themeColor="accent2"/>
      </w:tblBorders>
    </w:tblPr>
    <w:tblStylePr w:type="firstRow">
      <w:rPr>
        <w:b/>
        <w:bCs/>
        <w:color w:val="FFFFFF" w:themeColor="background1"/>
      </w:rPr>
      <w:tblPr/>
      <w:tcPr>
        <w:shd w:val="clear" w:color="auto" w:fill="962C8B" w:themeFill="accent2"/>
      </w:tcPr>
    </w:tblStylePr>
    <w:tblStylePr w:type="lastRow">
      <w:rPr>
        <w:b/>
        <w:bCs/>
      </w:rPr>
      <w:tblPr/>
      <w:tcPr>
        <w:tcBorders>
          <w:top w:val="double" w:sz="4" w:space="0" w:color="962C8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2C8B" w:themeColor="accent2"/>
          <w:right w:val="single" w:sz="4" w:space="0" w:color="962C8B" w:themeColor="accent2"/>
        </w:tcBorders>
      </w:tcPr>
    </w:tblStylePr>
    <w:tblStylePr w:type="band1Horz">
      <w:tblPr/>
      <w:tcPr>
        <w:tcBorders>
          <w:top w:val="single" w:sz="4" w:space="0" w:color="962C8B" w:themeColor="accent2"/>
          <w:bottom w:val="single" w:sz="4" w:space="0" w:color="962C8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2C8B" w:themeColor="accent2"/>
          <w:left w:val="nil"/>
        </w:tcBorders>
      </w:tcPr>
    </w:tblStylePr>
    <w:tblStylePr w:type="swCell">
      <w:tblPr/>
      <w:tcPr>
        <w:tcBorders>
          <w:top w:val="double" w:sz="4" w:space="0" w:color="962C8B" w:themeColor="accent2"/>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tif"/><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Corporate%20Templates\NQSC\Document.dotx" TargetMode="External"/></Relationships>
</file>

<file path=word/theme/theme1.xml><?xml version="1.0" encoding="utf-8"?>
<a:theme xmlns:a="http://schemas.openxmlformats.org/drawingml/2006/main" name="Office Theme">
  <a:themeElements>
    <a:clrScheme name="NDIS QaSC">
      <a:dk1>
        <a:sysClr val="windowText" lastClr="000000"/>
      </a:dk1>
      <a:lt1>
        <a:sysClr val="window" lastClr="FFFFFF"/>
      </a:lt1>
      <a:dk2>
        <a:srgbClr val="5F2E74"/>
      </a:dk2>
      <a:lt2>
        <a:srgbClr val="DDDDDD"/>
      </a:lt2>
      <a:accent1>
        <a:srgbClr val="5F2E74"/>
      </a:accent1>
      <a:accent2>
        <a:srgbClr val="962C8B"/>
      </a:accent2>
      <a:accent3>
        <a:srgbClr val="BA2E96"/>
      </a:accent3>
      <a:accent4>
        <a:srgbClr val="539250"/>
      </a:accent4>
      <a:accent5>
        <a:srgbClr val="83B14C"/>
      </a:accent5>
      <a:accent6>
        <a:srgbClr val="9DC44D"/>
      </a:accent6>
      <a:hlink>
        <a:srgbClr val="0000FF"/>
      </a:hlink>
      <a:folHlink>
        <a:srgbClr val="BA2E96"/>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PDMS Document" ma:contentTypeID="0x010100266966F133664895A6EE3632470D45F500A7B482D025AD3B40ABDBAE200FD14D80" ma:contentTypeVersion="" ma:contentTypeDescription="PDMS Document Site Content Type" ma:contentTypeScope="" ma:versionID="6ac163faa3d661f95b8670597a699d75">
  <xsd:schema xmlns:xsd="http://www.w3.org/2001/XMLSchema" xmlns:xs="http://www.w3.org/2001/XMLSchema" xmlns:p="http://schemas.microsoft.com/office/2006/metadata/properties" xmlns:ns2="E4F2D337-31EA-497C-8EAE-CF2E2A1C3047" targetNamespace="http://schemas.microsoft.com/office/2006/metadata/properties" ma:root="true" ma:fieldsID="fe2fc4e47bb43fe6337e9158412ad72c" ns2:_="">
    <xsd:import namespace="E4F2D337-31EA-497C-8EAE-CF2E2A1C3047"/>
    <xsd:element name="properties">
      <xsd:complexType>
        <xsd:sequence>
          <xsd:element name="documentManagement">
            <xsd:complexType>
              <xsd:all>
                <xsd:element ref="ns2: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F2D337-31EA-497C-8EAE-CF2E2A1C3047"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hidden="true" ma:internalName="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DB7401-7D4D-4BF4-8473-50D67DCB1B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F2D337-31EA-497C-8EAE-CF2E2A1C30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6680CB3-FEA3-4EDA-A0B6-AAAEC70C8FA1}">
  <ds:schemaRefs>
    <ds:schemaRef ds:uri="http://schemas.microsoft.com/sharepoint/v3/contenttype/forms"/>
  </ds:schemaRefs>
</ds:datastoreItem>
</file>

<file path=customXml/itemProps3.xml><?xml version="1.0" encoding="utf-8"?>
<ds:datastoreItem xmlns:ds="http://schemas.openxmlformats.org/officeDocument/2006/customXml" ds:itemID="{E5245B48-6F00-405F-8F61-CA24317D6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Template>
  <TotalTime>0</TotalTime>
  <Pages>3</Pages>
  <Words>1078</Words>
  <Characters>5959</Characters>
  <Application>Microsoft Office Word</Application>
  <DocSecurity>0</DocSecurity>
  <Lines>100</Lines>
  <Paragraphs>36</Paragraphs>
  <ScaleCrop>false</ScaleCrop>
  <HeadingPairs>
    <vt:vector size="2" baseType="variant">
      <vt:variant>
        <vt:lpstr>Title</vt:lpstr>
      </vt:variant>
      <vt:variant>
        <vt:i4>1</vt:i4>
      </vt:variant>
    </vt:vector>
  </HeadingPairs>
  <TitlesOfParts>
    <vt:vector size="1" baseType="lpstr">
      <vt:lpstr>Joint Statement on the Approach to Supporting at Risk NDIS participants</vt:lpstr>
    </vt:vector>
  </TitlesOfParts>
  <Company>NDIS Quality and Safeguards Commission</Company>
  <LinksUpToDate>false</LinksUpToDate>
  <CharactersWithSpaces>7018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Joint Statement on the Approach to Supporting at Risk NDIS participants</dc:title>
  <dc:subject>Joint Statement on the Approach to Supporting at Risk NDIS participants</dc:subject>
  <dc:creator>RAMIREZ, Maria Charissa</dc:creator>
  <cp:keywords>[SEC=OFFICIAL]</cp:keywords>
  <cp:lastModifiedBy>MARTIN, Jessica</cp:lastModifiedBy>
  <cp:revision>2</cp:revision>
  <dcterms:created xsi:type="dcterms:W3CDTF">2022-10-18T05:25:00Z</dcterms:created>
  <dcterms:modified xsi:type="dcterms:W3CDTF">2022-10-18T05:25:00Z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earanceActualDate">
    <vt:lpwstr>07 June 2022</vt:lpwstr>
  </property>
  <property fmtid="{D5CDD505-2E9C-101B-9397-08002B2CF9AE}" pid="3" name="ClearanceDueDate">
    <vt:lpwstr>10 June 2022</vt:lpwstr>
  </property>
  <property fmtid="{D5CDD505-2E9C-101B-9397-08002B2CF9AE}" pid="4" name="LastClearingOfficer">
    <vt:lpwstr>Tracy MACKEY</vt:lpwstr>
  </property>
  <property fmtid="{D5CDD505-2E9C-101B-9397-08002B2CF9AE}" pid="5" name="MOActionActualDate">
    <vt:lpwstr/>
  </property>
  <property fmtid="{D5CDD505-2E9C-101B-9397-08002B2CF9AE}" pid="6" name="MOActionDueDate">
    <vt:lpwstr/>
  </property>
  <property fmtid="{D5CDD505-2E9C-101B-9397-08002B2CF9AE}" pid="7" name="PM_Caveats_Count">
    <vt:lpwstr>0</vt:lpwstr>
  </property>
  <property fmtid="{D5CDD505-2E9C-101B-9397-08002B2CF9AE}" pid="8" name="PM_Display">
    <vt:lpwstr>OFFICIAL</vt:lpwstr>
  </property>
  <property fmtid="{D5CDD505-2E9C-101B-9397-08002B2CF9AE}" pid="9" name="PM_DisplayValueSecClassificationWithQualifier">
    <vt:lpwstr>OFFICIAL</vt:lpwstr>
  </property>
  <property fmtid="{D5CDD505-2E9C-101B-9397-08002B2CF9AE}" pid="10" name="PM_Hash_Salt">
    <vt:lpwstr>6FD8F0A466AD0611D836546069036A66</vt:lpwstr>
  </property>
  <property fmtid="{D5CDD505-2E9C-101B-9397-08002B2CF9AE}" pid="11" name="PM_Hash_Salt_Prev">
    <vt:lpwstr>C54FBE0D74F4323EEDF077B080C622E5</vt:lpwstr>
  </property>
  <property fmtid="{D5CDD505-2E9C-101B-9397-08002B2CF9AE}" pid="12" name="PM_Hash_SHA1">
    <vt:lpwstr>17628C6F65E5EDD6EF5A12856EA50F9E262D7A2A</vt:lpwstr>
  </property>
  <property fmtid="{D5CDD505-2E9C-101B-9397-08002B2CF9AE}" pid="13" name="PM_Hash_Version">
    <vt:lpwstr>2018.0</vt:lpwstr>
  </property>
  <property fmtid="{D5CDD505-2E9C-101B-9397-08002B2CF9AE}" pid="14" name="PM_InsertionValue">
    <vt:lpwstr>OFFICIAL</vt:lpwstr>
  </property>
  <property fmtid="{D5CDD505-2E9C-101B-9397-08002B2CF9AE}" pid="15" name="PM_Markers">
    <vt:lpwstr/>
  </property>
  <property fmtid="{D5CDD505-2E9C-101B-9397-08002B2CF9AE}" pid="16" name="PM_MinimumSecurityClassification">
    <vt:lpwstr/>
  </property>
  <property fmtid="{D5CDD505-2E9C-101B-9397-08002B2CF9AE}" pid="17" name="PM_Namespace">
    <vt:lpwstr>gov.au</vt:lpwstr>
  </property>
  <property fmtid="{D5CDD505-2E9C-101B-9397-08002B2CF9AE}" pid="18" name="PM_Note">
    <vt:lpwstr/>
  </property>
  <property fmtid="{D5CDD505-2E9C-101B-9397-08002B2CF9AE}" pid="19" name="PM_Originating_FileId">
    <vt:lpwstr>4E407E73600042BA953B261541982565</vt:lpwstr>
  </property>
  <property fmtid="{D5CDD505-2E9C-101B-9397-08002B2CF9AE}" pid="20" name="PM_OriginationTimeStamp">
    <vt:lpwstr>2022-10-18T05:25:13Z</vt:lpwstr>
  </property>
  <property fmtid="{D5CDD505-2E9C-101B-9397-08002B2CF9AE}" pid="21" name="PM_OriginatorDomainName_SHA256">
    <vt:lpwstr>CE53151D70EF3143B9B6CA1DC053F41E858E2C804CF2EE5AE813E5CCE407743B</vt:lpwstr>
  </property>
  <property fmtid="{D5CDD505-2E9C-101B-9397-08002B2CF9AE}" pid="22" name="PM_OriginatorUserAccountName_SHA256">
    <vt:lpwstr>3DA78915B1F95C35574819ADC34E0E42975CBC4ACA644FA473261B0E401EB5BC</vt:lpwstr>
  </property>
  <property fmtid="{D5CDD505-2E9C-101B-9397-08002B2CF9AE}" pid="23" name="PM_Originator_Hash_SHA1">
    <vt:lpwstr>38F9BF24E34B9020E28CEEAE4D48B506C0CA5314</vt:lpwstr>
  </property>
  <property fmtid="{D5CDD505-2E9C-101B-9397-08002B2CF9AE}" pid="24" name="PM_ProtectiveMarkingImage_Footer">
    <vt:lpwstr>C:\Program Files (x86)\Common Files\janusNET Shared\janusSEAL\Images\DocumentSlashBlue.png</vt:lpwstr>
  </property>
  <property fmtid="{D5CDD505-2E9C-101B-9397-08002B2CF9AE}" pid="25" name="PM_ProtectiveMarkingImage_Header">
    <vt:lpwstr>C:\Program Files (x86)\Common Files\janusNET Shared\janusSEAL\Images\DocumentSlashBlue.png</vt:lpwstr>
  </property>
  <property fmtid="{D5CDD505-2E9C-101B-9397-08002B2CF9AE}" pid="26" name="PM_ProtectiveMarkingValue_Footer">
    <vt:lpwstr>OFFICIAL</vt:lpwstr>
  </property>
  <property fmtid="{D5CDD505-2E9C-101B-9397-08002B2CF9AE}" pid="27" name="PM_ProtectiveMarkingValue_Header">
    <vt:lpwstr>OFFICIAL</vt:lpwstr>
  </property>
  <property fmtid="{D5CDD505-2E9C-101B-9397-08002B2CF9AE}" pid="28" name="PM_Qualifier">
    <vt:lpwstr/>
  </property>
  <property fmtid="{D5CDD505-2E9C-101B-9397-08002B2CF9AE}" pid="29" name="PM_Qualifier_Prev">
    <vt:lpwstr/>
  </property>
  <property fmtid="{D5CDD505-2E9C-101B-9397-08002B2CF9AE}" pid="30" name="PM_SecurityClassification">
    <vt:lpwstr>OFFICIAL</vt:lpwstr>
  </property>
  <property fmtid="{D5CDD505-2E9C-101B-9397-08002B2CF9AE}" pid="31" name="PM_SecurityClassification_Prev">
    <vt:lpwstr>OFFICIAL</vt:lpwstr>
  </property>
  <property fmtid="{D5CDD505-2E9C-101B-9397-08002B2CF9AE}" pid="32" name="PM_Version">
    <vt:lpwstr>2018.4</vt:lpwstr>
  </property>
</Properties>
</file>