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00555" w14:textId="6139A662" w:rsidR="00FE2BD5" w:rsidRPr="00520ED0" w:rsidRDefault="00FE2BD5" w:rsidP="00FE2BD5">
      <w:pPr>
        <w:pStyle w:val="Heading1"/>
        <w:rPr>
          <w:rFonts w:eastAsia="SimHei"/>
          <w:lang w:eastAsia="ja-JP"/>
        </w:rPr>
      </w:pPr>
      <w:bookmarkStart w:id="0" w:name="_GoBack"/>
      <w:bookmarkEnd w:id="0"/>
      <w:r>
        <w:rPr>
          <w:rFonts w:eastAsia="SimHei"/>
          <w:lang w:eastAsia="ja-JP"/>
        </w:rPr>
        <w:t xml:space="preserve">Fact sheet: </w:t>
      </w:r>
      <w:r w:rsidR="00884432">
        <w:rPr>
          <w:rFonts w:eastAsia="SimHei"/>
          <w:lang w:eastAsia="ja-JP"/>
        </w:rPr>
        <w:t>C</w:t>
      </w:r>
      <w:r w:rsidR="00DE10E3" w:rsidRPr="00DE10E3">
        <w:rPr>
          <w:rFonts w:eastAsia="SimHei"/>
          <w:lang w:eastAsia="ja-JP"/>
        </w:rPr>
        <w:t>omparison of Ag</w:t>
      </w:r>
      <w:r w:rsidR="00884432">
        <w:rPr>
          <w:rFonts w:eastAsia="SimHei"/>
          <w:lang w:eastAsia="ja-JP"/>
        </w:rPr>
        <w:t>ed Care Accreditation and NDIS Registration and Audit R</w:t>
      </w:r>
      <w:r w:rsidR="00DE10E3" w:rsidRPr="00DE10E3">
        <w:rPr>
          <w:rFonts w:eastAsia="SimHei"/>
          <w:lang w:eastAsia="ja-JP"/>
        </w:rPr>
        <w:t>equirements</w:t>
      </w:r>
    </w:p>
    <w:p w14:paraId="04D99368" w14:textId="77777777" w:rsidR="00DE10E3" w:rsidRPr="002053D2" w:rsidRDefault="00DE10E3" w:rsidP="002053D2">
      <w:pPr>
        <w:pStyle w:val="Heading2"/>
        <w:rPr>
          <w:sz w:val="28"/>
          <w:szCs w:val="28"/>
          <w:lang w:eastAsia="en-US"/>
        </w:rPr>
      </w:pPr>
      <w:r w:rsidRPr="002053D2">
        <w:rPr>
          <w:sz w:val="28"/>
          <w:szCs w:val="28"/>
          <w:lang w:eastAsia="en-US"/>
        </w:rPr>
        <w:t>Commonalities across the aged care and NDIS audit processes include:</w:t>
      </w:r>
    </w:p>
    <w:p w14:paraId="29F8A445" w14:textId="77777777" w:rsidR="00DE10E3" w:rsidRPr="00B849DD" w:rsidRDefault="00DE10E3" w:rsidP="00DE10E3">
      <w:pPr>
        <w:pStyle w:val="ListParagraph"/>
        <w:numPr>
          <w:ilvl w:val="0"/>
          <w:numId w:val="39"/>
        </w:numPr>
        <w:spacing w:before="120" w:after="120" w:line="360" w:lineRule="auto"/>
        <w:rPr>
          <w:lang w:eastAsia="en-US"/>
        </w:rPr>
      </w:pPr>
      <w:r w:rsidRPr="00B849DD">
        <w:rPr>
          <w:lang w:eastAsia="en-US"/>
        </w:rPr>
        <w:t>Both processes require providers to demonstrate compliance with quality standards.</w:t>
      </w:r>
    </w:p>
    <w:p w14:paraId="42C2BA57" w14:textId="77777777" w:rsidR="00DE10E3" w:rsidRPr="00B849DD" w:rsidRDefault="00DE10E3" w:rsidP="00DE10E3">
      <w:pPr>
        <w:pStyle w:val="ListParagraph"/>
        <w:numPr>
          <w:ilvl w:val="0"/>
          <w:numId w:val="39"/>
        </w:numPr>
        <w:spacing w:before="120" w:after="120" w:line="360" w:lineRule="auto"/>
        <w:rPr>
          <w:lang w:eastAsia="en-US"/>
        </w:rPr>
      </w:pPr>
      <w:r w:rsidRPr="00B849DD">
        <w:rPr>
          <w:lang w:eastAsia="en-US"/>
        </w:rPr>
        <w:t>Both processes require an assessment of provider and key personnel suitability.</w:t>
      </w:r>
    </w:p>
    <w:p w14:paraId="43737C30" w14:textId="77777777" w:rsidR="00DE10E3" w:rsidRPr="00B849DD" w:rsidRDefault="00DE10E3" w:rsidP="00DE10E3">
      <w:pPr>
        <w:pStyle w:val="ListParagraph"/>
        <w:numPr>
          <w:ilvl w:val="0"/>
          <w:numId w:val="39"/>
        </w:numPr>
        <w:spacing w:before="120" w:after="120" w:line="360" w:lineRule="auto"/>
        <w:rPr>
          <w:lang w:eastAsia="en-US"/>
        </w:rPr>
      </w:pPr>
      <w:r w:rsidRPr="00B849DD">
        <w:rPr>
          <w:lang w:eastAsia="en-US"/>
        </w:rPr>
        <w:t>Both processes require providers to demonstrate knowledge of quality standards, legislation and policy and procedures.</w:t>
      </w:r>
    </w:p>
    <w:p w14:paraId="40701C72" w14:textId="77777777" w:rsidR="00DE10E3" w:rsidRPr="00B849DD" w:rsidRDefault="00DE10E3" w:rsidP="00DE10E3">
      <w:pPr>
        <w:pStyle w:val="ListParagraph"/>
        <w:numPr>
          <w:ilvl w:val="0"/>
          <w:numId w:val="39"/>
        </w:numPr>
        <w:spacing w:before="120" w:after="120" w:line="360" w:lineRule="auto"/>
        <w:rPr>
          <w:lang w:eastAsia="en-US"/>
        </w:rPr>
      </w:pPr>
      <w:r w:rsidRPr="00B849DD">
        <w:rPr>
          <w:lang w:eastAsia="en-US"/>
        </w:rPr>
        <w:t>General audit processes and methodology – assessment against quality standards and quality indicators, review of policy and procedures, interviews with staff and participants, site sampling, review and outcome findings by the relevant Commission.</w:t>
      </w:r>
    </w:p>
    <w:p w14:paraId="2800278B" w14:textId="77777777" w:rsidR="00DE10E3" w:rsidRPr="00B849DD" w:rsidRDefault="00DE10E3" w:rsidP="00DE10E3">
      <w:pPr>
        <w:pStyle w:val="ListParagraph"/>
        <w:numPr>
          <w:ilvl w:val="0"/>
          <w:numId w:val="39"/>
        </w:numPr>
        <w:spacing w:before="120" w:after="120" w:line="360" w:lineRule="auto"/>
        <w:rPr>
          <w:lang w:eastAsia="en-US"/>
        </w:rPr>
      </w:pPr>
      <w:r w:rsidRPr="00B849DD">
        <w:rPr>
          <w:lang w:eastAsia="en-US"/>
        </w:rPr>
        <w:t>3 Year audit cycle.</w:t>
      </w:r>
    </w:p>
    <w:p w14:paraId="28F9C914" w14:textId="77777777" w:rsidR="00DE10E3" w:rsidRPr="002053D2" w:rsidRDefault="00DE10E3" w:rsidP="002053D2">
      <w:pPr>
        <w:pStyle w:val="Heading2"/>
        <w:rPr>
          <w:sz w:val="28"/>
          <w:szCs w:val="28"/>
          <w:lang w:eastAsia="en-US"/>
        </w:rPr>
      </w:pPr>
      <w:r w:rsidRPr="002053D2">
        <w:rPr>
          <w:sz w:val="28"/>
          <w:szCs w:val="28"/>
          <w:lang w:eastAsia="en-US"/>
        </w:rPr>
        <w:t>Differences across the aged care and NDIS audit process include:</w:t>
      </w:r>
    </w:p>
    <w:p w14:paraId="11A3C5FB" w14:textId="77777777" w:rsidR="00DE10E3" w:rsidRPr="00B849DD" w:rsidRDefault="00DE10E3" w:rsidP="00DE10E3">
      <w:pPr>
        <w:pStyle w:val="ListParagraph"/>
        <w:numPr>
          <w:ilvl w:val="0"/>
          <w:numId w:val="40"/>
        </w:numPr>
        <w:spacing w:before="120" w:after="120" w:line="360" w:lineRule="auto"/>
        <w:rPr>
          <w:lang w:eastAsia="en-US"/>
        </w:rPr>
      </w:pPr>
      <w:r w:rsidRPr="00B849DD">
        <w:rPr>
          <w:lang w:eastAsia="en-US"/>
        </w:rPr>
        <w:t>Terminology differences; the accreditation process in the aged care sector is called registration in the NDIS sector.</w:t>
      </w:r>
    </w:p>
    <w:p w14:paraId="52EEED1F" w14:textId="7C58E89C" w:rsidR="00DE10E3" w:rsidRPr="00B849DD" w:rsidRDefault="00DE10E3" w:rsidP="00DE10E3">
      <w:pPr>
        <w:pStyle w:val="ListParagraph"/>
        <w:numPr>
          <w:ilvl w:val="0"/>
          <w:numId w:val="40"/>
        </w:numPr>
        <w:spacing w:before="120" w:after="120" w:line="360" w:lineRule="auto"/>
        <w:rPr>
          <w:lang w:eastAsia="en-US"/>
        </w:rPr>
      </w:pPr>
      <w:r w:rsidRPr="00B849DD">
        <w:rPr>
          <w:lang w:eastAsia="en-US"/>
        </w:rPr>
        <w:t>The timing of the audit; the aged care process occurs within 1 year of accreditation and prior to re-accreditation, whereas the NDIS process occurs before registration (or registration</w:t>
      </w:r>
      <w:r w:rsidR="00EB378C">
        <w:rPr>
          <w:lang w:eastAsia="en-US"/>
        </w:rPr>
        <w:t xml:space="preserve"> renewal</w:t>
      </w:r>
      <w:r w:rsidRPr="00B849DD">
        <w:rPr>
          <w:lang w:eastAsia="en-US"/>
        </w:rPr>
        <w:t>).</w:t>
      </w:r>
    </w:p>
    <w:p w14:paraId="330BAE48" w14:textId="77777777" w:rsidR="00DE10E3" w:rsidRPr="00B849DD" w:rsidRDefault="00DE10E3" w:rsidP="00DE10E3">
      <w:pPr>
        <w:pStyle w:val="ListParagraph"/>
        <w:numPr>
          <w:ilvl w:val="0"/>
          <w:numId w:val="40"/>
        </w:numPr>
        <w:spacing w:before="120" w:after="120" w:line="360" w:lineRule="auto"/>
        <w:rPr>
          <w:lang w:eastAsia="en-US"/>
        </w:rPr>
      </w:pPr>
      <w:r w:rsidRPr="00B849DD">
        <w:rPr>
          <w:lang w:eastAsia="en-US"/>
        </w:rPr>
        <w:t>Different types of costs; in the aged care system there are application and assessment fees but no audit fees whereas in the NDIS process you pay for the audit but there are no registration fees.</w:t>
      </w:r>
    </w:p>
    <w:p w14:paraId="6229C8D6" w14:textId="77777777" w:rsidR="00DE10E3" w:rsidRPr="00B849DD" w:rsidRDefault="00DE10E3" w:rsidP="00DE10E3">
      <w:pPr>
        <w:pStyle w:val="ListParagraph"/>
        <w:numPr>
          <w:ilvl w:val="0"/>
          <w:numId w:val="40"/>
        </w:numPr>
        <w:spacing w:before="120" w:after="120" w:line="360" w:lineRule="auto"/>
        <w:rPr>
          <w:lang w:eastAsia="en-US"/>
        </w:rPr>
      </w:pPr>
      <w:r w:rsidRPr="00B849DD">
        <w:rPr>
          <w:lang w:eastAsia="en-US"/>
        </w:rPr>
        <w:t>Under the NDIS audit process you engage your own Approved Quality Auditor whereas in the aged care process you are appointed an assessor.</w:t>
      </w:r>
    </w:p>
    <w:p w14:paraId="780A9AEC" w14:textId="79E0AFEA" w:rsidR="00DE10E3" w:rsidRPr="00D911D5" w:rsidRDefault="00DE10E3" w:rsidP="00DE10E3">
      <w:pPr>
        <w:pStyle w:val="ListParagraph"/>
        <w:numPr>
          <w:ilvl w:val="0"/>
          <w:numId w:val="40"/>
        </w:numPr>
        <w:spacing w:before="120" w:after="120" w:line="360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The</w:t>
      </w:r>
      <w:r w:rsidRPr="00D911D5">
        <w:rPr>
          <w:sz w:val="24"/>
          <w:szCs w:val="24"/>
          <w:lang w:eastAsia="en-US"/>
        </w:rPr>
        <w:t xml:space="preserve"> aged care audit is undertaken for every</w:t>
      </w:r>
      <w:r>
        <w:rPr>
          <w:sz w:val="24"/>
          <w:szCs w:val="24"/>
          <w:lang w:eastAsia="en-US"/>
        </w:rPr>
        <w:t xml:space="preserve"> residential aged care</w:t>
      </w:r>
      <w:r w:rsidRPr="00D911D5">
        <w:rPr>
          <w:sz w:val="24"/>
          <w:szCs w:val="24"/>
          <w:lang w:eastAsia="en-US"/>
        </w:rPr>
        <w:t xml:space="preserve"> site where</w:t>
      </w:r>
      <w:r>
        <w:rPr>
          <w:sz w:val="24"/>
          <w:szCs w:val="24"/>
          <w:lang w:eastAsia="en-US"/>
        </w:rPr>
        <w:t>as</w:t>
      </w:r>
      <w:r w:rsidRPr="00D911D5">
        <w:rPr>
          <w:sz w:val="24"/>
          <w:szCs w:val="24"/>
          <w:lang w:eastAsia="en-US"/>
        </w:rPr>
        <w:t xml:space="preserve"> the NDIS audit is only conducted for each organisation with a sample</w:t>
      </w:r>
      <w:r w:rsidR="00EB378C">
        <w:rPr>
          <w:sz w:val="24"/>
          <w:szCs w:val="24"/>
          <w:lang w:eastAsia="en-US"/>
        </w:rPr>
        <w:t xml:space="preserve"> of sites</w:t>
      </w:r>
      <w:r w:rsidRPr="00D911D5">
        <w:rPr>
          <w:sz w:val="24"/>
          <w:szCs w:val="24"/>
          <w:lang w:eastAsia="en-US"/>
        </w:rPr>
        <w:t xml:space="preserve"> derived from each </w:t>
      </w:r>
      <w:r w:rsidR="00EB378C">
        <w:rPr>
          <w:sz w:val="24"/>
          <w:szCs w:val="24"/>
          <w:lang w:eastAsia="en-US"/>
        </w:rPr>
        <w:t>provider</w:t>
      </w:r>
      <w:r>
        <w:rPr>
          <w:sz w:val="24"/>
          <w:szCs w:val="24"/>
          <w:lang w:eastAsia="en-US"/>
        </w:rPr>
        <w:t>.</w:t>
      </w:r>
    </w:p>
    <w:p w14:paraId="49E64020" w14:textId="77777777" w:rsidR="00DE10E3" w:rsidRDefault="00DE10E3" w:rsidP="00DE10E3">
      <w:pPr>
        <w:pStyle w:val="ListParagraph"/>
        <w:numPr>
          <w:ilvl w:val="0"/>
          <w:numId w:val="40"/>
        </w:numPr>
        <w:spacing w:before="120" w:after="120" w:line="360" w:lineRule="auto"/>
        <w:rPr>
          <w:sz w:val="24"/>
          <w:szCs w:val="24"/>
          <w:lang w:eastAsia="en-US"/>
        </w:rPr>
      </w:pPr>
      <w:r w:rsidRPr="00D911D5">
        <w:rPr>
          <w:sz w:val="24"/>
          <w:szCs w:val="24"/>
          <w:lang w:eastAsia="en-US"/>
        </w:rPr>
        <w:t>The aged care audit report is publicly available while the NDIS audit report is not</w:t>
      </w:r>
      <w:r>
        <w:rPr>
          <w:sz w:val="24"/>
          <w:szCs w:val="24"/>
          <w:lang w:eastAsia="en-US"/>
        </w:rPr>
        <w:t>.</w:t>
      </w:r>
    </w:p>
    <w:p w14:paraId="2136F726" w14:textId="77777777" w:rsidR="00DE10E3" w:rsidRPr="00A6191D" w:rsidRDefault="00DE10E3" w:rsidP="00DE10E3">
      <w:pPr>
        <w:pStyle w:val="ListParagraph"/>
        <w:spacing w:before="120" w:after="120" w:line="360" w:lineRule="auto"/>
        <w:rPr>
          <w:sz w:val="24"/>
          <w:szCs w:val="24"/>
          <w:lang w:eastAsia="en-US"/>
        </w:rPr>
      </w:pPr>
    </w:p>
    <w:p w14:paraId="54B43961" w14:textId="77777777" w:rsidR="00DE10E3" w:rsidRDefault="00DE10E3" w:rsidP="00B849DD">
      <w:pPr>
        <w:rPr>
          <w:b/>
          <w:bCs/>
        </w:rPr>
      </w:pPr>
      <w:bookmarkStart w:id="1" w:name="_Hlk110520504"/>
      <w:r w:rsidRPr="00CC688E">
        <w:lastRenderedPageBreak/>
        <w:t>For further information, please re</w:t>
      </w:r>
      <w:r>
        <w:t>fer to the:</w:t>
      </w:r>
      <w:r>
        <w:rPr>
          <w:b/>
          <w:bCs/>
        </w:rPr>
        <w:t xml:space="preserve"> </w:t>
      </w:r>
      <w:r w:rsidRPr="00A6191D">
        <w:t>NDIS RAC Provider Toolkit Part C - Comparison of Aged Care and NDIS Registration and Audit Requirements.</w:t>
      </w:r>
    </w:p>
    <w:bookmarkEnd w:id="1"/>
    <w:p w14:paraId="36956E11" w14:textId="2A675860" w:rsidR="00FE2BD5" w:rsidRDefault="00DE10E3" w:rsidP="00FE2BD5">
      <w:r w:rsidRPr="00DE10E3">
        <w:rPr>
          <w:lang w:eastAsia="en-US"/>
        </w:rPr>
        <w:t xml:space="preserve">To learn more about NDIS Registration go to our </w:t>
      </w:r>
      <w:hyperlink r:id="rId11" w:history="1">
        <w:r w:rsidRPr="00DE10E3">
          <w:rPr>
            <w:rStyle w:val="Hyperlink"/>
            <w:lang w:eastAsia="en-US"/>
          </w:rPr>
          <w:t>Residential aged care provider obligations</w:t>
        </w:r>
      </w:hyperlink>
      <w:r>
        <w:rPr>
          <w:lang w:eastAsia="en-US"/>
        </w:rPr>
        <w:t xml:space="preserve"> page</w:t>
      </w:r>
      <w:r w:rsidRPr="00DE10E3">
        <w:rPr>
          <w:lang w:eastAsia="en-US"/>
        </w:rPr>
        <w:t>.</w:t>
      </w:r>
    </w:p>
    <w:p w14:paraId="1DAC4B15" w14:textId="77777777" w:rsidR="00FE2BD5" w:rsidRPr="00BD2586" w:rsidRDefault="00FE2BD5" w:rsidP="00B849DD">
      <w:pPr>
        <w:pStyle w:val="Heading2"/>
      </w:pPr>
      <w:r w:rsidRPr="00BD2586">
        <w:t>Contact us</w:t>
      </w:r>
    </w:p>
    <w:p w14:paraId="75C9345A" w14:textId="77777777" w:rsidR="00FE2BD5" w:rsidRPr="00BD2586" w:rsidRDefault="00FE2BD5" w:rsidP="00FE2BD5">
      <w:r w:rsidRPr="00BD2586">
        <w:t xml:space="preserve">Email: </w:t>
      </w:r>
      <w:hyperlink r:id="rId12" w:history="1">
        <w:r w:rsidRPr="00BD2586">
          <w:rPr>
            <w:rStyle w:val="Hyperlink"/>
            <w:sz w:val="24"/>
            <w:szCs w:val="24"/>
          </w:rPr>
          <w:t>contactcentre@ndiscommission.gov.au</w:t>
        </w:r>
      </w:hyperlink>
      <w:r w:rsidRPr="00BD2586">
        <w:t xml:space="preserve"> </w:t>
      </w:r>
    </w:p>
    <w:p w14:paraId="42EA44BA" w14:textId="77777777" w:rsidR="00FE2BD5" w:rsidRPr="00BD2586" w:rsidRDefault="00FE2BD5" w:rsidP="00FE2BD5">
      <w:r w:rsidRPr="00BD2586">
        <w:t>Call: 1800 035 544</w:t>
      </w:r>
    </w:p>
    <w:p w14:paraId="305B59EE" w14:textId="77777777" w:rsidR="00FE2BD5" w:rsidRPr="00BD2586" w:rsidRDefault="00FE2BD5" w:rsidP="00B849DD">
      <w:pPr>
        <w:pStyle w:val="Heading2"/>
      </w:pPr>
      <w:r w:rsidRPr="00BD2586">
        <w:t>Find out more</w:t>
      </w:r>
    </w:p>
    <w:p w14:paraId="3B95C871" w14:textId="0FD442F9" w:rsidR="00FE2BD5" w:rsidRPr="00BD2586" w:rsidRDefault="00FE2BD5" w:rsidP="00FE2BD5">
      <w:r w:rsidRPr="00BD2586">
        <w:t>More information about the NDIS Commission, including resources for providers and participants, is available on the NDIS Commission website</w:t>
      </w:r>
      <w:r>
        <w:t xml:space="preserve">: </w:t>
      </w:r>
      <w:hyperlink r:id="rId13" w:history="1">
        <w:r w:rsidRPr="00BD2586">
          <w:rPr>
            <w:rStyle w:val="Hyperlink"/>
            <w:sz w:val="24"/>
            <w:szCs w:val="24"/>
          </w:rPr>
          <w:t>www.ndiscommission.gov.au</w:t>
        </w:r>
      </w:hyperlink>
      <w:r w:rsidRPr="00BD2586">
        <w:t xml:space="preserve"> </w:t>
      </w:r>
    </w:p>
    <w:p w14:paraId="7C376DBD" w14:textId="77777777" w:rsidR="00FE2BD5" w:rsidRPr="00BD2586" w:rsidRDefault="00FE2BD5" w:rsidP="00B849DD">
      <w:pPr>
        <w:pStyle w:val="Heading2"/>
      </w:pPr>
      <w:r w:rsidRPr="00BD2586">
        <w:t>Follow us</w:t>
      </w:r>
    </w:p>
    <w:p w14:paraId="7579F1EE" w14:textId="77777777" w:rsidR="00FE2BD5" w:rsidRPr="00BD2586" w:rsidRDefault="00D1201B" w:rsidP="00FE2BD5">
      <w:hyperlink r:id="rId14" w:history="1">
        <w:r w:rsidR="00FE2BD5" w:rsidRPr="00BD2586">
          <w:rPr>
            <w:rStyle w:val="Hyperlink"/>
            <w:sz w:val="24"/>
            <w:szCs w:val="24"/>
          </w:rPr>
          <w:t>www.facebook.com/NDISCommission</w:t>
        </w:r>
      </w:hyperlink>
      <w:r w:rsidR="00FE2BD5" w:rsidRPr="00BD2586">
        <w:t xml:space="preserve"> </w:t>
      </w:r>
    </w:p>
    <w:p w14:paraId="6243247B" w14:textId="77777777" w:rsidR="00FE2BD5" w:rsidRPr="001964CA" w:rsidRDefault="00D1201B" w:rsidP="00FE2BD5">
      <w:hyperlink r:id="rId15" w:history="1">
        <w:r w:rsidR="00FE2BD5" w:rsidRPr="00BD2586">
          <w:rPr>
            <w:rStyle w:val="Hyperlink"/>
            <w:sz w:val="24"/>
            <w:szCs w:val="24"/>
          </w:rPr>
          <w:t>www.linkedin.com/company/ndiscommission</w:t>
        </w:r>
      </w:hyperlink>
    </w:p>
    <w:sectPr w:rsidR="00FE2BD5" w:rsidRPr="001964CA" w:rsidSect="00362AB6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AD53F" w14:textId="77777777" w:rsidR="00516CD4" w:rsidRDefault="00516CD4" w:rsidP="008E21DE">
      <w:pPr>
        <w:spacing w:after="0"/>
      </w:pPr>
      <w:r>
        <w:separator/>
      </w:r>
    </w:p>
  </w:endnote>
  <w:endnote w:type="continuationSeparator" w:id="0">
    <w:p w14:paraId="0ADE464E" w14:textId="77777777" w:rsidR="00516CD4" w:rsidRDefault="00516CD4" w:rsidP="008E21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50F20" w14:textId="77777777"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197A522C" wp14:editId="04AF1491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5AE175E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7CC235E8" w14:textId="3F2D4CF5"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D1201B">
      <w:rPr>
        <w:noProof/>
      </w:rPr>
      <w:t>2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332E9" w14:textId="77777777" w:rsidR="009F4EAA" w:rsidRDefault="00AA094B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470B1479" wp14:editId="0F1D359C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DC267B5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6734C559" w14:textId="5FA2EEC4" w:rsidR="008E21DE" w:rsidRPr="00080615" w:rsidRDefault="004D4273" w:rsidP="00080615">
    <w:pPr>
      <w:pStyle w:val="Footer"/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1201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00A59" w14:textId="77777777" w:rsidR="00516CD4" w:rsidRDefault="00516CD4" w:rsidP="008E21DE">
      <w:pPr>
        <w:spacing w:after="0"/>
      </w:pPr>
      <w:r>
        <w:separator/>
      </w:r>
    </w:p>
  </w:footnote>
  <w:footnote w:type="continuationSeparator" w:id="0">
    <w:p w14:paraId="394F746F" w14:textId="77777777" w:rsidR="00516CD4" w:rsidRDefault="00516CD4" w:rsidP="008E21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D9C21" w14:textId="77777777" w:rsidR="008B7938" w:rsidRDefault="008B7938">
    <w:pPr>
      <w:pStyle w:val="Header"/>
    </w:pPr>
  </w:p>
  <w:p w14:paraId="2BBB615A" w14:textId="77777777"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0212C4B5" wp14:editId="2511085B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300E714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B2C69" w14:textId="77777777"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eastAsia="en-AU"/>
      </w:rPr>
      <w:drawing>
        <wp:inline distT="0" distB="0" distL="0" distR="0" wp14:anchorId="4BB4A317" wp14:editId="6BE18DD5">
          <wp:extent cx="3404235" cy="1223842"/>
          <wp:effectExtent l="0" t="0" r="5715" b="0"/>
          <wp:docPr id="11" name="Picture 1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1F0C03"/>
    <w:multiLevelType w:val="hybridMultilevel"/>
    <w:tmpl w:val="04C8BA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A632A9"/>
    <w:multiLevelType w:val="multilevel"/>
    <w:tmpl w:val="A41689A2"/>
    <w:numStyleLink w:val="AppendixNumbers"/>
  </w:abstractNum>
  <w:abstractNum w:abstractNumId="10" w15:restartNumberingAfterBreak="0">
    <w:nsid w:val="2BC6764C"/>
    <w:multiLevelType w:val="hybridMultilevel"/>
    <w:tmpl w:val="1F5C7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975F8"/>
    <w:multiLevelType w:val="hybridMultilevel"/>
    <w:tmpl w:val="08502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4" w15:restartNumberingAfterBreak="0">
    <w:nsid w:val="49587F78"/>
    <w:multiLevelType w:val="multilevel"/>
    <w:tmpl w:val="07629034"/>
    <w:numStyleLink w:val="KCBullets"/>
  </w:abstractNum>
  <w:abstractNum w:abstractNumId="15" w15:restartNumberingAfterBreak="0">
    <w:nsid w:val="50517343"/>
    <w:multiLevelType w:val="multilevel"/>
    <w:tmpl w:val="131EEC6C"/>
    <w:numStyleLink w:val="TableNumbers"/>
  </w:abstractNum>
  <w:abstractNum w:abstractNumId="16" w15:restartNumberingAfterBreak="0">
    <w:nsid w:val="50E12008"/>
    <w:multiLevelType w:val="multilevel"/>
    <w:tmpl w:val="07629034"/>
    <w:numStyleLink w:val="KCBullets"/>
  </w:abstractNum>
  <w:abstractNum w:abstractNumId="17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563048B"/>
    <w:multiLevelType w:val="multilevel"/>
    <w:tmpl w:val="C284D0B0"/>
    <w:numStyleLink w:val="FigureNumbers"/>
  </w:abstractNum>
  <w:abstractNum w:abstractNumId="19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8615703"/>
    <w:multiLevelType w:val="multilevel"/>
    <w:tmpl w:val="803CF862"/>
    <w:numStyleLink w:val="List1Numbered"/>
  </w:abstractNum>
  <w:abstractNum w:abstractNumId="21" w15:restartNumberingAfterBreak="0">
    <w:nsid w:val="5BF51665"/>
    <w:multiLevelType w:val="multilevel"/>
    <w:tmpl w:val="4E929216"/>
    <w:numStyleLink w:val="NumberedHeadings"/>
  </w:abstractNum>
  <w:abstractNum w:abstractNumId="22" w15:restartNumberingAfterBreak="0">
    <w:nsid w:val="62397869"/>
    <w:multiLevelType w:val="multilevel"/>
    <w:tmpl w:val="4E929216"/>
    <w:numStyleLink w:val="NumberedHeadings"/>
  </w:abstractNum>
  <w:abstractNum w:abstractNumId="23" w15:restartNumberingAfterBreak="0">
    <w:nsid w:val="6D4F423B"/>
    <w:multiLevelType w:val="multilevel"/>
    <w:tmpl w:val="4A7CCC2C"/>
    <w:numStyleLink w:val="DefaultBullets"/>
  </w:abstractNum>
  <w:abstractNum w:abstractNumId="24" w15:restartNumberingAfterBreak="0">
    <w:nsid w:val="717C7945"/>
    <w:multiLevelType w:val="hybridMultilevel"/>
    <w:tmpl w:val="3E887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790B67C4"/>
    <w:multiLevelType w:val="multilevel"/>
    <w:tmpl w:val="FE688822"/>
    <w:numStyleLink w:val="BoxedBullets"/>
  </w:abstractNum>
  <w:abstractNum w:abstractNumId="27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27"/>
  </w:num>
  <w:num w:numId="3">
    <w:abstractNumId w:val="17"/>
  </w:num>
  <w:num w:numId="4">
    <w:abstractNumId w:val="26"/>
  </w:num>
  <w:num w:numId="5">
    <w:abstractNumId w:val="26"/>
  </w:num>
  <w:num w:numId="6">
    <w:abstractNumId w:val="13"/>
  </w:num>
  <w:num w:numId="7">
    <w:abstractNumId w:val="16"/>
  </w:num>
  <w:num w:numId="8">
    <w:abstractNumId w:val="16"/>
  </w:num>
  <w:num w:numId="9">
    <w:abstractNumId w:val="16"/>
  </w:num>
  <w:num w:numId="10">
    <w:abstractNumId w:val="6"/>
  </w:num>
  <w:num w:numId="11">
    <w:abstractNumId w:val="18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5"/>
  </w:num>
  <w:num w:numId="20">
    <w:abstractNumId w:val="20"/>
  </w:num>
  <w:num w:numId="21">
    <w:abstractNumId w:val="20"/>
  </w:num>
  <w:num w:numId="22">
    <w:abstractNumId w:val="20"/>
  </w:num>
  <w:num w:numId="23">
    <w:abstractNumId w:val="19"/>
  </w:num>
  <w:num w:numId="24">
    <w:abstractNumId w:val="11"/>
  </w:num>
  <w:num w:numId="25">
    <w:abstractNumId w:val="7"/>
  </w:num>
  <w:num w:numId="26">
    <w:abstractNumId w:val="15"/>
  </w:num>
  <w:num w:numId="27">
    <w:abstractNumId w:val="0"/>
  </w:num>
  <w:num w:numId="28">
    <w:abstractNumId w:val="25"/>
  </w:num>
  <w:num w:numId="29">
    <w:abstractNumId w:val="2"/>
  </w:num>
  <w:num w:numId="30">
    <w:abstractNumId w:val="1"/>
  </w:num>
  <w:num w:numId="31">
    <w:abstractNumId w:val="8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3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>
    <w:abstractNumId w:val="9"/>
  </w:num>
  <w:num w:numId="36">
    <w:abstractNumId w:val="14"/>
  </w:num>
  <w:num w:numId="37">
    <w:abstractNumId w:val="12"/>
  </w:num>
  <w:num w:numId="38">
    <w:abstractNumId w:val="24"/>
  </w:num>
  <w:num w:numId="39">
    <w:abstractNumId w:val="10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D5"/>
    <w:rsid w:val="00043D08"/>
    <w:rsid w:val="00080615"/>
    <w:rsid w:val="000C165C"/>
    <w:rsid w:val="000C252F"/>
    <w:rsid w:val="000F3A54"/>
    <w:rsid w:val="000F48FC"/>
    <w:rsid w:val="00182709"/>
    <w:rsid w:val="00201052"/>
    <w:rsid w:val="002053D2"/>
    <w:rsid w:val="00231AAC"/>
    <w:rsid w:val="00234871"/>
    <w:rsid w:val="00267949"/>
    <w:rsid w:val="002804D3"/>
    <w:rsid w:val="003449A0"/>
    <w:rsid w:val="00362AB6"/>
    <w:rsid w:val="003F29B8"/>
    <w:rsid w:val="004154E2"/>
    <w:rsid w:val="004D4273"/>
    <w:rsid w:val="00516CD4"/>
    <w:rsid w:val="00534D53"/>
    <w:rsid w:val="005B053D"/>
    <w:rsid w:val="00625854"/>
    <w:rsid w:val="00651348"/>
    <w:rsid w:val="00680A20"/>
    <w:rsid w:val="00680F04"/>
    <w:rsid w:val="006D6D91"/>
    <w:rsid w:val="0078103B"/>
    <w:rsid w:val="00884432"/>
    <w:rsid w:val="008970F3"/>
    <w:rsid w:val="008A649A"/>
    <w:rsid w:val="008B7938"/>
    <w:rsid w:val="008E21DE"/>
    <w:rsid w:val="0092679E"/>
    <w:rsid w:val="009539C8"/>
    <w:rsid w:val="009B19B9"/>
    <w:rsid w:val="009D06E2"/>
    <w:rsid w:val="009F4EAA"/>
    <w:rsid w:val="00A07E4A"/>
    <w:rsid w:val="00A60009"/>
    <w:rsid w:val="00AA094B"/>
    <w:rsid w:val="00AB12D5"/>
    <w:rsid w:val="00AD735D"/>
    <w:rsid w:val="00AF0899"/>
    <w:rsid w:val="00B10ED9"/>
    <w:rsid w:val="00B603C0"/>
    <w:rsid w:val="00B83AB4"/>
    <w:rsid w:val="00B849DD"/>
    <w:rsid w:val="00BA4FF9"/>
    <w:rsid w:val="00BC3BA1"/>
    <w:rsid w:val="00C0421C"/>
    <w:rsid w:val="00C10202"/>
    <w:rsid w:val="00C153E3"/>
    <w:rsid w:val="00C21944"/>
    <w:rsid w:val="00C2698C"/>
    <w:rsid w:val="00C52C59"/>
    <w:rsid w:val="00C90DF2"/>
    <w:rsid w:val="00C92907"/>
    <w:rsid w:val="00CB64BD"/>
    <w:rsid w:val="00D01953"/>
    <w:rsid w:val="00D0516B"/>
    <w:rsid w:val="00D1201B"/>
    <w:rsid w:val="00DE10E3"/>
    <w:rsid w:val="00DF74BA"/>
    <w:rsid w:val="00E243C4"/>
    <w:rsid w:val="00E260AC"/>
    <w:rsid w:val="00E40290"/>
    <w:rsid w:val="00E65AB0"/>
    <w:rsid w:val="00EB378C"/>
    <w:rsid w:val="00EE737C"/>
    <w:rsid w:val="00EF0AC9"/>
    <w:rsid w:val="00F41613"/>
    <w:rsid w:val="00F9318C"/>
    <w:rsid w:val="00FD66D7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EC63E5D"/>
  <w15:chartTrackingRefBased/>
  <w15:docId w15:val="{3EE342BC-9D08-4643-9584-52856D21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BD5"/>
    <w:pPr>
      <w:spacing w:before="0" w:after="200" w:line="276" w:lineRule="auto"/>
    </w:pPr>
    <w:rPr>
      <w:rFonts w:ascii="Arial" w:eastAsiaTheme="minorEastAsia" w:hAnsi="Arial"/>
      <w:color w:val="auto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D66D7"/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color w:val="5F2E74" w:themeColor="text2"/>
      <w:sz w:val="3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FE2B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BD5"/>
    <w:rPr>
      <w:rFonts w:ascii="Segoe UI" w:eastAsiaTheme="minorEastAsia" w:hAnsi="Segoe UI" w:cs="Segoe UI"/>
      <w:color w:val="auto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E1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1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10E3"/>
    <w:rPr>
      <w:rFonts w:ascii="Arial" w:eastAsiaTheme="minorEastAsia" w:hAnsi="Arial"/>
      <w:color w:val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discommission.gov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ontactcentre@ndiscommission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providers/registered-ndis-providers/provider-obligations-and-requirements/residential-aged-car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linkedin.com/company/ndiscommission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cebook.com/NDISCommiss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5E44A-BAAA-46D6-B884-4E93226E9DD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2D22F82A-A5EF-48CF-8D71-43B7221E543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049725-BAA7-40A9-98A4-CF564556D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BD1B46-7D4C-4179-9F97-B24748693E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466B51-8130-4033-AA71-3038B643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0</TotalTime>
  <Pages>2</Pages>
  <Words>329</Words>
  <Characters>1960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- Comparison of Aged Care Accreditation and NDIS Registration and Audit Requirements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- Comparison of Aged Care Accreditation and NDIS Registration and Audit Requirements</dc:title>
  <dc:subject/>
  <dc:creator>ATHERTON, Justine</dc:creator>
  <cp:keywords>[SEC=OFFICIAL]</cp:keywords>
  <dc:description/>
  <cp:lastModifiedBy>MARTIN, Jessica</cp:lastModifiedBy>
  <cp:revision>2</cp:revision>
  <dcterms:created xsi:type="dcterms:W3CDTF">2022-10-23T22:51:00Z</dcterms:created>
  <dcterms:modified xsi:type="dcterms:W3CDTF">2022-10-23T22:51:00Z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B091CD86AC694D1CA3B644F97A7D2AE4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38F9BF24E34B9020E28CEEAE4D48B506C0CA5314</vt:lpwstr>
  </property>
  <property fmtid="{D5CDD505-2E9C-101B-9397-08002B2CF9AE}" pid="11" name="PM_OriginationTimeStamp">
    <vt:lpwstr>2022-10-23T22:50:59Z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E3286C61937701FBFC86235DEC859B2C</vt:lpwstr>
  </property>
  <property fmtid="{D5CDD505-2E9C-101B-9397-08002B2CF9AE}" pid="21" name="PM_Hash_Salt">
    <vt:lpwstr>462CFF7F1F24F5099A490233DA81D8A0</vt:lpwstr>
  </property>
  <property fmtid="{D5CDD505-2E9C-101B-9397-08002B2CF9AE}" pid="22" name="PM_Hash_SHA1">
    <vt:lpwstr>889E508C10FAB40623795C673AD9B1B37CB768ED</vt:lpwstr>
  </property>
  <property fmtid="{D5CDD505-2E9C-101B-9397-08002B2CF9AE}" pid="23" name="PM_OriginatorUserAccountName_SHA256">
    <vt:lpwstr>3DA78915B1F95C35574819ADC34E0E42975CBC4ACA644FA473261B0E401EB5BC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MinimumSecurityClassification">
    <vt:lpwstr/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  <property fmtid="{D5CDD505-2E9C-101B-9397-08002B2CF9AE}" pid="28" name="ContentTypeId">
    <vt:lpwstr>0x010100266966F133664895A6EE3632470D45F5000D40C1017DAB034AA442A9BD62271985</vt:lpwstr>
  </property>
</Properties>
</file>