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2D6C7E" w:rsidP="00772F7F">
      <w:pPr>
        <w:pStyle w:val="2Subtitleh2"/>
      </w:pPr>
      <w:r>
        <w:t>Practice reviews</w:t>
      </w:r>
      <w:r w:rsidR="00C016B4">
        <w:t>:</w:t>
      </w:r>
    </w:p>
    <w:p w:rsidR="006028D8" w:rsidRPr="008A036D" w:rsidRDefault="004A24C4" w:rsidP="002D6C7E">
      <w:pPr>
        <w:pStyle w:val="3Titleh3"/>
      </w:pPr>
      <w:r>
        <w:t>Reflection exercises for reviewers</w:t>
      </w:r>
    </w:p>
    <w:p w:rsidR="00272BE4" w:rsidRDefault="00272BE4" w:rsidP="00272BE4">
      <w:pPr>
        <w:pStyle w:val="5AboutHeadingh4"/>
      </w:pPr>
      <w:r>
        <w:t xml:space="preserve">About this </w:t>
      </w:r>
      <w:r w:rsidRPr="009D1B26">
        <w:t>fact</w:t>
      </w:r>
      <w:r>
        <w:t xml:space="preserve"> sheet </w:t>
      </w:r>
    </w:p>
    <w:p w:rsidR="004A24C4" w:rsidRDefault="004A24C4" w:rsidP="004A24C4">
      <w:pPr>
        <w:pStyle w:val="6Aboutbody"/>
      </w:pPr>
      <w:r>
        <w:t>This fact sheet provides steps to a guided reflection, to be used by people doing a practice review – to help them if they get stuck.</w:t>
      </w:r>
    </w:p>
    <w:p w:rsidR="00272BE4" w:rsidRDefault="004A24C4" w:rsidP="004A24C4">
      <w:pPr>
        <w:pStyle w:val="6Aboutbody"/>
      </w:pPr>
      <w:r w:rsidRPr="008418BF">
        <w:t xml:space="preserve">It is one in a series of resources about practice reviews, and should be read in conjunction with other NDIS Commission fact sheets and publications about practice reviews. As a minimum, it is suggested that you also read the Practice Review Framework for NDIS Providers, and the </w:t>
      </w:r>
      <w:proofErr w:type="gramStart"/>
      <w:r w:rsidRPr="008418BF">
        <w:t>What</w:t>
      </w:r>
      <w:proofErr w:type="gramEnd"/>
      <w:r w:rsidRPr="008418BF">
        <w:t xml:space="preserve"> is a Practice Review fact sheet.</w:t>
      </w:r>
    </w:p>
    <w:p w:rsidR="004A24C4" w:rsidRDefault="004A24C4" w:rsidP="004A24C4">
      <w:pPr>
        <w:pStyle w:val="7Headingh4"/>
        <w:ind w:right="-35"/>
      </w:pPr>
      <w:r>
        <w:t xml:space="preserve">Key </w:t>
      </w:r>
      <w:r w:rsidRPr="00D14997">
        <w:t>messages</w:t>
      </w:r>
      <w:r>
        <w:t xml:space="preserve"> </w:t>
      </w:r>
    </w:p>
    <w:p w:rsidR="004A24C4" w:rsidRDefault="004A24C4" w:rsidP="004A24C4">
      <w:pPr>
        <w:pStyle w:val="Body"/>
      </w:pPr>
      <w: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4A24C4" w:rsidRDefault="004A24C4" w:rsidP="004A24C4">
      <w:pPr>
        <w:pStyle w:val="Body"/>
      </w:pPr>
      <w:r>
        <w:t>Reflection is an important step of the practice review process.</w:t>
      </w:r>
    </w:p>
    <w:p w:rsidR="004A24C4" w:rsidRDefault="004A24C4" w:rsidP="004A24C4">
      <w:pPr>
        <w:pStyle w:val="Body"/>
      </w:pPr>
      <w:r>
        <w:t>It is critical at the end of the process, when considering the learnings and implications of the practice review, as well as during the other steps of the practice review (as outlined in Table 2 in the How to do a practice review fact sheet).</w:t>
      </w:r>
    </w:p>
    <w:p w:rsidR="004A24C4" w:rsidRDefault="004A24C4" w:rsidP="004A24C4">
      <w:pPr>
        <w:pStyle w:val="Body"/>
      </w:pPr>
      <w:r>
        <w:t>This reflection exercise is designed for the person or people leading the practice review. It is a way to work through complex issues that might arise during the practice review.</w:t>
      </w:r>
    </w:p>
    <w:p w:rsidR="00BC124E" w:rsidRDefault="00BC124E">
      <w:pPr>
        <w:rPr>
          <w:rFonts w:ascii="Calibri" w:hAnsi="Calibri" w:cs="Arial Unicode MS"/>
          <w:b/>
          <w:bCs/>
          <w:color w:val="000000"/>
          <w:sz w:val="28"/>
          <w:szCs w:val="28"/>
          <w:lang w:eastAsia="en-AU"/>
          <w14:textOutline w14:w="0" w14:cap="flat" w14:cmpd="sng" w14:algn="ctr">
            <w14:noFill/>
            <w14:prstDash w14:val="solid"/>
            <w14:bevel/>
          </w14:textOutline>
        </w:rPr>
      </w:pPr>
      <w:r>
        <w:br w:type="page"/>
      </w:r>
    </w:p>
    <w:p w:rsidR="00BC124E" w:rsidRPr="00AA5841" w:rsidRDefault="00BC124E" w:rsidP="00BC124E">
      <w:pPr>
        <w:pStyle w:val="8SubHeadingh5"/>
      </w:pPr>
      <w:r w:rsidRPr="00AA5841">
        <w:lastRenderedPageBreak/>
        <w:t>Key definitions</w:t>
      </w:r>
    </w:p>
    <w:p w:rsidR="00BC124E" w:rsidRDefault="00BC124E" w:rsidP="00BC124E">
      <w:pPr>
        <w:pStyle w:val="Body"/>
      </w:pPr>
      <w:r w:rsidRPr="00BC124E">
        <w:rPr>
          <w:b/>
        </w:rPr>
        <w:t>Reflection:</w:t>
      </w:r>
      <w:r>
        <w:t xml:space="preserve"> </w:t>
      </w:r>
      <w:r w:rsidRPr="00AA5841">
        <w:t>Awareness of self within the moment, having a clear mind so as to be open to possibility of that moment (Johns, 2009).</w:t>
      </w:r>
    </w:p>
    <w:p w:rsidR="00BC124E" w:rsidRDefault="00BC124E" w:rsidP="00BC124E">
      <w:pPr>
        <w:pStyle w:val="Body"/>
      </w:pPr>
      <w:r w:rsidRPr="00BC124E">
        <w:rPr>
          <w:b/>
        </w:rPr>
        <w:t>Reflective Practice:</w:t>
      </w:r>
      <w:r>
        <w:t xml:space="preserve"> </w:t>
      </w:r>
      <w:r w:rsidRPr="00AA5841">
        <w:t>Learning through and from experience towards gaining new insights of self and practice (Finlay, 2008).</w:t>
      </w:r>
    </w:p>
    <w:p w:rsidR="00BC124E" w:rsidRPr="00AA5841" w:rsidRDefault="00BC124E" w:rsidP="00BC124E">
      <w:pPr>
        <w:pStyle w:val="Body"/>
        <w:rPr>
          <w:b/>
        </w:rPr>
      </w:pPr>
      <w:r w:rsidRPr="00AA5841">
        <w:t>Types of Reflective Practice (</w:t>
      </w:r>
      <w:proofErr w:type="spellStart"/>
      <w:r w:rsidRPr="00AA5841">
        <w:t>Schon</w:t>
      </w:r>
      <w:proofErr w:type="spellEnd"/>
      <w:r w:rsidRPr="00AA5841">
        <w:t>, 1983; 1987; 1995):</w:t>
      </w:r>
    </w:p>
    <w:p w:rsidR="00BC124E" w:rsidRPr="00AA5841" w:rsidRDefault="00BC124E" w:rsidP="00BC124E">
      <w:pPr>
        <w:pStyle w:val="Body"/>
        <w:numPr>
          <w:ilvl w:val="0"/>
          <w:numId w:val="26"/>
        </w:numPr>
        <w:rPr>
          <w:b/>
        </w:rPr>
      </w:pPr>
      <w:r w:rsidRPr="00AA5841">
        <w:t>Reflection-in-Action: A way of thinking about a situation whist engaged within in.</w:t>
      </w:r>
    </w:p>
    <w:p w:rsidR="004A24C4" w:rsidRDefault="00BC124E" w:rsidP="00BC124E">
      <w:pPr>
        <w:pStyle w:val="Body"/>
        <w:numPr>
          <w:ilvl w:val="0"/>
          <w:numId w:val="26"/>
        </w:numPr>
        <w:rPr>
          <w:b/>
        </w:rPr>
      </w:pPr>
      <w:r w:rsidRPr="00AA5841">
        <w:t>Reflection-on-Action: All of the thinking that occurs after an event.</w:t>
      </w:r>
    </w:p>
    <w:p w:rsidR="00BC124E" w:rsidRDefault="00BC124E" w:rsidP="00BC124E">
      <w:pPr>
        <w:pStyle w:val="8SubHeadingh5"/>
      </w:pPr>
      <w:r>
        <w:t xml:space="preserve">Reflection task </w:t>
      </w:r>
    </w:p>
    <w:p w:rsidR="00BC124E" w:rsidRDefault="00BC124E" w:rsidP="00BC124E">
      <w:pPr>
        <w:pStyle w:val="Body"/>
        <w:rPr>
          <w:sz w:val="22"/>
          <w:szCs w:val="22"/>
          <w:lang w:val="en-AU"/>
        </w:rPr>
      </w:pPr>
      <w:r w:rsidRPr="00A05A16">
        <w:rPr>
          <w:sz w:val="22"/>
          <w:szCs w:val="22"/>
          <w:lang w:val="en-AU"/>
        </w:rPr>
        <w:t>The Johari Window (</w:t>
      </w:r>
      <w:proofErr w:type="spellStart"/>
      <w:r w:rsidRPr="00A05A16">
        <w:rPr>
          <w:sz w:val="22"/>
          <w:szCs w:val="22"/>
          <w:lang w:val="en-AU"/>
        </w:rPr>
        <w:t>Luft</w:t>
      </w:r>
      <w:proofErr w:type="spellEnd"/>
      <w:r w:rsidRPr="00A05A16">
        <w:rPr>
          <w:sz w:val="22"/>
          <w:szCs w:val="22"/>
          <w:lang w:val="en-AU"/>
        </w:rPr>
        <w:t xml:space="preserve"> &amp; Ingham, 1955) is a reflective technique designed to help individuals better understand their relationships with themselves and others. It can be used to identity and capture feelings, experiences, views, attitudes, skills, intentions, and motivations within or about an individual, or in relation to their group. In particular, it can be useful for identifying any blind spots. </w:t>
      </w:r>
    </w:p>
    <w:p w:rsidR="00BC124E" w:rsidRPr="00A05A16" w:rsidRDefault="00BC124E" w:rsidP="00BC124E">
      <w:pPr>
        <w:pStyle w:val="Body"/>
        <w:rPr>
          <w:sz w:val="22"/>
          <w:szCs w:val="22"/>
          <w:lang w:val="en-AU"/>
        </w:rPr>
      </w:pPr>
      <w:r w:rsidRPr="00A05A16">
        <w:rPr>
          <w:sz w:val="22"/>
          <w:szCs w:val="22"/>
          <w:lang w:val="en-AU"/>
        </w:rPr>
        <w:t>In this context it has been adapted to support practice review panels during difficult times of the practice review process. It is useful for increasing self and team awareness when managing a response to change.</w:t>
      </w:r>
    </w:p>
    <w:p w:rsidR="00BC124E" w:rsidRPr="00A05A16" w:rsidRDefault="00BC124E" w:rsidP="00BC124E">
      <w:pPr>
        <w:pStyle w:val="Body"/>
        <w:rPr>
          <w:b/>
          <w:lang w:val="en-AU"/>
        </w:rPr>
      </w:pPr>
      <w:r w:rsidRPr="00A05A16">
        <w:rPr>
          <w:b/>
          <w:lang w:val="en-AU"/>
        </w:rPr>
        <w:t>The Johari Window asks 4 questions:</w:t>
      </w:r>
    </w:p>
    <w:p w:rsidR="00BC124E" w:rsidRPr="00A05A16" w:rsidRDefault="00BC124E" w:rsidP="00BC124E">
      <w:pPr>
        <w:pStyle w:val="Body"/>
        <w:numPr>
          <w:ilvl w:val="0"/>
          <w:numId w:val="27"/>
        </w:numPr>
        <w:rPr>
          <w:sz w:val="22"/>
          <w:szCs w:val="22"/>
          <w:lang w:val="en-AU"/>
        </w:rPr>
      </w:pPr>
      <w:r w:rsidRPr="00A05A16">
        <w:rPr>
          <w:sz w:val="22"/>
          <w:szCs w:val="22"/>
          <w:lang w:val="en-AU"/>
        </w:rPr>
        <w:t>What is known to you about yourself and also known by others? (Open).</w:t>
      </w:r>
    </w:p>
    <w:p w:rsidR="00BC124E" w:rsidRPr="00A05A16" w:rsidRDefault="00BC124E" w:rsidP="00BC124E">
      <w:pPr>
        <w:pStyle w:val="Body"/>
        <w:numPr>
          <w:ilvl w:val="0"/>
          <w:numId w:val="27"/>
        </w:numPr>
        <w:rPr>
          <w:sz w:val="22"/>
          <w:szCs w:val="22"/>
          <w:lang w:val="en-AU"/>
        </w:rPr>
      </w:pPr>
      <w:r w:rsidRPr="00A05A16">
        <w:rPr>
          <w:sz w:val="22"/>
          <w:szCs w:val="22"/>
          <w:lang w:val="en-AU"/>
        </w:rPr>
        <w:t>What is unknown by you about yourself but known by others? (Blind).</w:t>
      </w:r>
    </w:p>
    <w:p w:rsidR="00BC124E" w:rsidRPr="00A05A16" w:rsidRDefault="00BC124E" w:rsidP="00BC124E">
      <w:pPr>
        <w:pStyle w:val="Body"/>
        <w:numPr>
          <w:ilvl w:val="0"/>
          <w:numId w:val="27"/>
        </w:numPr>
        <w:rPr>
          <w:sz w:val="22"/>
          <w:szCs w:val="22"/>
          <w:lang w:val="en-AU"/>
        </w:rPr>
      </w:pPr>
      <w:r w:rsidRPr="00A05A16">
        <w:rPr>
          <w:sz w:val="22"/>
          <w:szCs w:val="22"/>
          <w:lang w:val="en-AU"/>
        </w:rPr>
        <w:t>What do you know about yourself that others do not know? (Hidden).</w:t>
      </w:r>
    </w:p>
    <w:p w:rsidR="00BC124E" w:rsidRDefault="00BC124E" w:rsidP="00BC124E">
      <w:pPr>
        <w:pStyle w:val="Body"/>
        <w:numPr>
          <w:ilvl w:val="0"/>
          <w:numId w:val="27"/>
        </w:numPr>
        <w:rPr>
          <w:sz w:val="22"/>
          <w:szCs w:val="22"/>
          <w:lang w:val="en-AU"/>
        </w:rPr>
      </w:pPr>
      <w:r w:rsidRPr="00A05A16">
        <w:rPr>
          <w:sz w:val="22"/>
          <w:szCs w:val="22"/>
          <w:lang w:val="en-AU"/>
        </w:rPr>
        <w:t>What is unknown to you about yourself and also unknown by others? (Unknown).</w:t>
      </w:r>
    </w:p>
    <w:p w:rsidR="00BC124E" w:rsidRDefault="00BC124E">
      <w:pPr>
        <w:rPr>
          <w:rFonts w:ascii="Calibri" w:hAnsi="Calibri" w:cs="Arial Unicode MS"/>
          <w:color w:val="000000"/>
          <w:lang w:val="en-AU"/>
          <w14:textOutline w14:w="0" w14:cap="flat" w14:cmpd="sng" w14:algn="ctr">
            <w14:noFill/>
            <w14:prstDash w14:val="solid"/>
            <w14:bevel/>
          </w14:textOutline>
        </w:rPr>
      </w:pPr>
      <w:r>
        <w:rPr>
          <w:lang w:val="en-AU"/>
        </w:rPr>
        <w:br w:type="page"/>
      </w:r>
    </w:p>
    <w:p w:rsidR="00BC124E" w:rsidRPr="00BC124E" w:rsidRDefault="00BC124E" w:rsidP="00BC124E">
      <w:pPr>
        <w:pStyle w:val="Body"/>
        <w:rPr>
          <w:lang w:val="en-AU"/>
        </w:rPr>
      </w:pPr>
    </w:p>
    <w:p w:rsidR="00BC124E" w:rsidRDefault="0099420C" w:rsidP="00BC124E">
      <w:pPr>
        <w:rPr>
          <w:rFonts w:ascii="Calibri" w:eastAsia="Calibri" w:hAnsi="Calibri" w:cs="Calibri"/>
          <w:b/>
          <w:bCs/>
          <w:bdr w:val="none" w:sz="0" w:space="0" w:color="auto"/>
          <w:lang w:val="en-AU"/>
        </w:rPr>
      </w:pPr>
      <w:r w:rsidRPr="0099420C">
        <w:rPr>
          <w:rFonts w:ascii="Calibri" w:eastAsia="Calibri" w:hAnsi="Calibri" w:cs="Calibri"/>
          <w:b/>
          <w:bCs/>
          <w:noProof/>
          <w:bdr w:val="none" w:sz="0" w:space="0" w:color="auto"/>
          <w:lang w:val="en-AU" w:eastAsia="en-AU"/>
        </w:rPr>
        <w:drawing>
          <wp:inline distT="0" distB="0" distL="0" distR="0" wp14:anchorId="2FBD873B" wp14:editId="46BD18EE">
            <wp:extent cx="4171532" cy="2920416"/>
            <wp:effectExtent l="0" t="0" r="635" b="0"/>
            <wp:docPr id="7" name="Picture 7" descr="Diagram of the Johari Window:&#10;1. What is known to you about yourself and also known by others? (Open).&#10;2. What is unknown by you about yourself but known by others? (Blind).&#10;3. What do you know about yourself that others do not know? (Hidden).&#10;4. What is unknown to you about yourself and also unknown by others? (Unknow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8161" cy="2925057"/>
                    </a:xfrm>
                    <a:prstGeom prst="rect">
                      <a:avLst/>
                    </a:prstGeom>
                  </pic:spPr>
                </pic:pic>
              </a:graphicData>
            </a:graphic>
          </wp:inline>
        </w:drawing>
      </w:r>
    </w:p>
    <w:p w:rsidR="00BC124E" w:rsidRPr="009C138C" w:rsidRDefault="00BC124E" w:rsidP="00BC124E">
      <w:pPr>
        <w:rPr>
          <w:rFonts w:ascii="Calibri" w:eastAsia="Calibri" w:hAnsi="Calibri" w:cs="Calibri"/>
          <w:b/>
          <w:bCs/>
          <w:bdr w:val="none" w:sz="0" w:space="0" w:color="auto"/>
          <w:lang w:val="en-AU"/>
        </w:rPr>
      </w:pPr>
      <w:r w:rsidRPr="009C138C">
        <w:rPr>
          <w:rFonts w:ascii="Calibri" w:eastAsia="Calibri" w:hAnsi="Calibri" w:cs="Calibri"/>
          <w:b/>
          <w:bCs/>
          <w:bdr w:val="none" w:sz="0" w:space="0" w:color="auto"/>
          <w:lang w:val="en-AU"/>
        </w:rPr>
        <w:t>References:</w:t>
      </w:r>
    </w:p>
    <w:p w:rsidR="00BC124E" w:rsidRPr="009C138C" w:rsidRDefault="00BC124E" w:rsidP="00BC12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1"/>
        <w:ind w:right="1149"/>
        <w:rPr>
          <w:rFonts w:ascii="Calibri" w:eastAsia="Calibri" w:hAnsi="Calibri" w:cs="Calibri"/>
          <w:sz w:val="22"/>
          <w:szCs w:val="22"/>
          <w:bdr w:val="none" w:sz="0" w:space="0" w:color="auto"/>
          <w:lang w:val="en-AU"/>
        </w:rPr>
      </w:pPr>
      <w:r w:rsidRPr="009C138C">
        <w:rPr>
          <w:rFonts w:ascii="Calibri" w:eastAsia="Calibri" w:hAnsi="Calibri" w:cs="Calibri"/>
          <w:sz w:val="22"/>
          <w:szCs w:val="22"/>
          <w:bdr w:val="none" w:sz="0" w:space="0" w:color="auto"/>
          <w:lang w:val="en-AU"/>
        </w:rPr>
        <w:t xml:space="preserve">Finlay, L. (2008). </w:t>
      </w:r>
      <w:r w:rsidRPr="009C138C">
        <w:rPr>
          <w:rFonts w:ascii="Calibri" w:eastAsia="Calibri" w:hAnsi="Calibri" w:cs="Calibri"/>
          <w:i/>
          <w:sz w:val="22"/>
          <w:szCs w:val="22"/>
          <w:bdr w:val="none" w:sz="0" w:space="0" w:color="auto"/>
          <w:lang w:val="en-AU"/>
        </w:rPr>
        <w:t xml:space="preserve">Reflecting on ‘Reflective practice’. </w:t>
      </w:r>
      <w:r w:rsidRPr="009C138C">
        <w:rPr>
          <w:rFonts w:ascii="Calibri" w:eastAsia="Calibri" w:hAnsi="Calibri" w:cs="Calibri"/>
          <w:sz w:val="22"/>
          <w:szCs w:val="22"/>
          <w:bdr w:val="none" w:sz="0" w:space="0" w:color="auto"/>
          <w:lang w:val="en-AU"/>
        </w:rPr>
        <w:t>Practice-based Professional Learning Paper 52, The Open University.</w:t>
      </w:r>
    </w:p>
    <w:p w:rsidR="00BC124E" w:rsidRPr="009C138C" w:rsidRDefault="00BC124E" w:rsidP="00BC12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rPr>
          <w:rFonts w:ascii="Calibri" w:eastAsia="Calibri" w:hAnsi="Calibri" w:cs="Calibri"/>
          <w:sz w:val="22"/>
          <w:szCs w:val="22"/>
          <w:bdr w:val="none" w:sz="0" w:space="0" w:color="auto"/>
          <w:lang w:val="en-AU"/>
        </w:rPr>
      </w:pPr>
      <w:r w:rsidRPr="009C138C">
        <w:rPr>
          <w:rFonts w:ascii="Calibri" w:eastAsia="Calibri" w:hAnsi="Calibri" w:cs="Calibri"/>
          <w:sz w:val="22"/>
          <w:szCs w:val="22"/>
          <w:bdr w:val="none" w:sz="0" w:space="0" w:color="auto"/>
          <w:lang w:val="en-AU"/>
        </w:rPr>
        <w:t xml:space="preserve">Johns, C. (2009). </w:t>
      </w:r>
      <w:r w:rsidRPr="009C138C">
        <w:rPr>
          <w:rFonts w:ascii="Calibri" w:eastAsia="Calibri" w:hAnsi="Calibri" w:cs="Calibri"/>
          <w:i/>
          <w:sz w:val="22"/>
          <w:szCs w:val="22"/>
          <w:bdr w:val="none" w:sz="0" w:space="0" w:color="auto"/>
          <w:lang w:val="en-AU"/>
        </w:rPr>
        <w:t xml:space="preserve">Becoming a Reflective Practitioner. </w:t>
      </w:r>
      <w:r w:rsidRPr="009C138C">
        <w:rPr>
          <w:rFonts w:ascii="Calibri" w:eastAsia="Calibri" w:hAnsi="Calibri" w:cs="Calibri"/>
          <w:sz w:val="22"/>
          <w:szCs w:val="22"/>
          <w:bdr w:val="none" w:sz="0" w:space="0" w:color="auto"/>
          <w:lang w:val="en-AU"/>
        </w:rPr>
        <w:t>3rd ed. UK: Wiley Blackwell.</w:t>
      </w:r>
    </w:p>
    <w:p w:rsidR="00BC124E" w:rsidRPr="009C138C" w:rsidRDefault="00BC124E" w:rsidP="00BC12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rPr>
          <w:rFonts w:ascii="Calibri" w:eastAsia="Calibri" w:hAnsi="Calibri" w:cs="Calibri"/>
          <w:sz w:val="22"/>
          <w:szCs w:val="22"/>
          <w:bdr w:val="none" w:sz="0" w:space="0" w:color="auto"/>
          <w:lang w:val="en-AU"/>
        </w:rPr>
      </w:pPr>
      <w:proofErr w:type="spellStart"/>
      <w:r w:rsidRPr="009C138C">
        <w:rPr>
          <w:rFonts w:ascii="Calibri" w:eastAsia="Calibri" w:hAnsi="Calibri" w:cs="Calibri"/>
          <w:sz w:val="22"/>
          <w:szCs w:val="22"/>
          <w:bdr w:val="none" w:sz="0" w:space="0" w:color="auto"/>
          <w:lang w:val="en-AU"/>
        </w:rPr>
        <w:t>Schon</w:t>
      </w:r>
      <w:proofErr w:type="spellEnd"/>
      <w:r w:rsidRPr="009C138C">
        <w:rPr>
          <w:rFonts w:ascii="Calibri" w:eastAsia="Calibri" w:hAnsi="Calibri" w:cs="Calibri"/>
          <w:sz w:val="22"/>
          <w:szCs w:val="22"/>
          <w:bdr w:val="none" w:sz="0" w:space="0" w:color="auto"/>
          <w:lang w:val="en-AU"/>
        </w:rPr>
        <w:t xml:space="preserve">, D.A. (1995). </w:t>
      </w:r>
      <w:r w:rsidRPr="009C138C">
        <w:rPr>
          <w:rFonts w:ascii="Calibri" w:eastAsia="Calibri" w:hAnsi="Calibri" w:cs="Calibri"/>
          <w:i/>
          <w:sz w:val="22"/>
          <w:szCs w:val="22"/>
          <w:bdr w:val="none" w:sz="0" w:space="0" w:color="auto"/>
          <w:lang w:val="en-AU"/>
        </w:rPr>
        <w:t xml:space="preserve">The Reflective Practitioner: How professionals think in action. </w:t>
      </w:r>
      <w:r w:rsidRPr="009C138C">
        <w:rPr>
          <w:rFonts w:ascii="Calibri" w:eastAsia="Calibri" w:hAnsi="Calibri" w:cs="Calibri"/>
          <w:sz w:val="22"/>
          <w:szCs w:val="22"/>
          <w:bdr w:val="none" w:sz="0" w:space="0" w:color="auto"/>
          <w:lang w:val="en-AU"/>
        </w:rPr>
        <w:t>UK: Taylor &amp; Francis Ltd.</w:t>
      </w:r>
    </w:p>
    <w:p w:rsidR="00BC124E" w:rsidRPr="009C138C" w:rsidRDefault="00BC124E" w:rsidP="00BC12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1"/>
        <w:ind w:right="1045" w:firstLine="1"/>
        <w:rPr>
          <w:rFonts w:ascii="Calibri" w:eastAsia="Calibri" w:hAnsi="Calibri" w:cs="Calibri"/>
          <w:sz w:val="22"/>
          <w:szCs w:val="22"/>
          <w:bdr w:val="none" w:sz="0" w:space="0" w:color="auto"/>
          <w:lang w:val="en-AU"/>
        </w:rPr>
      </w:pPr>
      <w:proofErr w:type="spellStart"/>
      <w:r w:rsidRPr="009C138C">
        <w:rPr>
          <w:rFonts w:ascii="Calibri" w:eastAsia="Calibri" w:hAnsi="Calibri" w:cs="Calibri"/>
          <w:sz w:val="22"/>
          <w:szCs w:val="22"/>
          <w:bdr w:val="none" w:sz="0" w:space="0" w:color="auto"/>
          <w:lang w:val="en-AU"/>
        </w:rPr>
        <w:t>Luft</w:t>
      </w:r>
      <w:proofErr w:type="spellEnd"/>
      <w:r w:rsidRPr="009C138C">
        <w:rPr>
          <w:rFonts w:ascii="Calibri" w:eastAsia="Calibri" w:hAnsi="Calibri" w:cs="Calibri"/>
          <w:sz w:val="22"/>
          <w:szCs w:val="22"/>
          <w:bdr w:val="none" w:sz="0" w:space="0" w:color="auto"/>
          <w:lang w:val="en-AU"/>
        </w:rPr>
        <w:t xml:space="preserve">, J., and Ingham, H. (1955). ‘The Johari window, a graphic model of interpersonal awareness’, </w:t>
      </w:r>
      <w:r w:rsidRPr="009C138C">
        <w:rPr>
          <w:rFonts w:ascii="Calibri" w:eastAsia="Calibri" w:hAnsi="Calibri" w:cs="Calibri"/>
          <w:i/>
          <w:sz w:val="22"/>
          <w:szCs w:val="22"/>
          <w:bdr w:val="none" w:sz="0" w:space="0" w:color="auto"/>
          <w:lang w:val="en-AU"/>
        </w:rPr>
        <w:t xml:space="preserve">Proceedings of the western training laboratory in group development. </w:t>
      </w:r>
      <w:r w:rsidRPr="009C138C">
        <w:rPr>
          <w:rFonts w:ascii="Calibri" w:eastAsia="Calibri" w:hAnsi="Calibri" w:cs="Calibri"/>
          <w:sz w:val="22"/>
          <w:szCs w:val="22"/>
          <w:bdr w:val="none" w:sz="0" w:space="0" w:color="auto"/>
          <w:lang w:val="en-AU"/>
        </w:rPr>
        <w:t>Los Angeles: UCLA.</w:t>
      </w:r>
    </w:p>
    <w:p w:rsidR="00BC124E" w:rsidRPr="00BC124E" w:rsidRDefault="00BC124E" w:rsidP="00BC124E">
      <w:pPr>
        <w:pStyle w:val="Body"/>
        <w:rPr>
          <w:lang w:val="en-AU"/>
        </w:rPr>
      </w:pPr>
    </w:p>
    <w:p w:rsidR="00BC124E" w:rsidRPr="00BC124E" w:rsidRDefault="00BC124E" w:rsidP="00BC124E"/>
    <w:p w:rsidR="004A24C4" w:rsidRDefault="004A24C4" w:rsidP="00BC124E">
      <w:pPr>
        <w:pStyle w:val="Body"/>
        <w:rPr>
          <w:b/>
          <w:bCs/>
          <w:color w:val="612C69"/>
          <w:sz w:val="40"/>
          <w:szCs w:val="40"/>
          <w:lang w:eastAsia="en-AU"/>
        </w:rPr>
      </w:pPr>
      <w:r>
        <w:br w:type="page"/>
      </w:r>
    </w:p>
    <w:p w:rsidR="00A459BE" w:rsidRDefault="00A459BE" w:rsidP="00A459BE">
      <w:pPr>
        <w:pStyle w:val="7Headingh4"/>
        <w:ind w:left="360" w:right="-35"/>
        <w:rPr>
          <w:rFonts w:eastAsia="Calibri" w:cs="Calibri"/>
        </w:rPr>
      </w:pPr>
      <w:r>
        <w:lastRenderedPageBreak/>
        <w:t xml:space="preserve">Related resources </w:t>
      </w:r>
    </w:p>
    <w:p w:rsidR="00A459BE" w:rsidRPr="000D179B" w:rsidRDefault="003964B9" w:rsidP="00A459BE">
      <w:pPr>
        <w:pStyle w:val="Body"/>
        <w:ind w:left="360"/>
        <w:rPr>
          <w:rStyle w:val="Link"/>
          <w:color w:val="000000"/>
          <w:u w:val="none"/>
        </w:rPr>
      </w:pPr>
      <w:r w:rsidRPr="003964B9">
        <w:t xml:space="preserve">Refer to the </w:t>
      </w:r>
      <w:r w:rsidRPr="004A24C4">
        <w:rPr>
          <w:i/>
        </w:rPr>
        <w:t>Practice Review Framework for NDIS Provide</w:t>
      </w:r>
      <w:bookmarkStart w:id="0" w:name="_GoBack"/>
      <w:bookmarkEnd w:id="0"/>
      <w:r w:rsidRPr="004A24C4">
        <w:rPr>
          <w:i/>
        </w:rPr>
        <w:t>rs</w:t>
      </w:r>
      <w:r w:rsidRPr="003964B9">
        <w:t xml:space="preserve"> for a complete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How to do a practice review fact sheet.  How to engage people in a practice review. Questions and prompts to use in a practice review. Consulting with people with disability during a practice review. "/>
      </w:tblPr>
      <w:tblGrid>
        <w:gridCol w:w="3208"/>
        <w:gridCol w:w="3209"/>
        <w:gridCol w:w="3209"/>
      </w:tblGrid>
      <w:tr w:rsidR="00A459BE" w:rsidRPr="004C7085" w:rsidTr="003E21ED">
        <w:trPr>
          <w:tblHeader/>
        </w:trPr>
        <w:tc>
          <w:tcPr>
            <w:tcW w:w="1666" w:type="pct"/>
          </w:tcPr>
          <w:p w:rsidR="00A459BE" w:rsidRPr="005F3AA2" w:rsidRDefault="00A459BE" w:rsidP="00A459BE">
            <w:pPr>
              <w:pStyle w:val="Body"/>
              <w:ind w:left="360"/>
            </w:pPr>
            <w:r w:rsidRPr="005F3AA2">
              <w:rPr>
                <w:noProof/>
                <w:lang w:val="en-AU" w:eastAsia="en-AU"/>
              </w:rPr>
              <w:drawing>
                <wp:inline distT="0" distB="0" distL="0" distR="0" wp14:anchorId="79313EC5" wp14:editId="7141F43D">
                  <wp:extent cx="508116" cy="660550"/>
                  <wp:effectExtent l="0" t="0" r="6350" b="6350"/>
                  <wp:docPr id="6" name="Picture 6"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10">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3964B9" w:rsidP="003964B9">
            <w:pPr>
              <w:pStyle w:val="Body"/>
              <w:ind w:left="360"/>
              <w:rPr>
                <w:rStyle w:val="Hyperlink"/>
              </w:rPr>
            </w:pPr>
            <w:r w:rsidRPr="003964B9">
              <w:rPr>
                <w:rFonts w:asciiTheme="minorHAnsi" w:hAnsiTheme="minorHAnsi" w:cs="Times New Roman"/>
                <w:color w:val="auto"/>
                <w14:textOutline w14:w="0" w14:cap="rnd" w14:cmpd="sng" w14:algn="ctr">
                  <w14:noFill/>
                  <w14:prstDash w14:val="solid"/>
                  <w14:bevel/>
                </w14:textOutline>
              </w:rPr>
              <w:t>Practice Review</w:t>
            </w:r>
            <w:r>
              <w:rPr>
                <w:rFonts w:asciiTheme="minorHAnsi" w:hAnsiTheme="minorHAnsi" w:cs="Times New Roman"/>
                <w:color w:val="auto"/>
                <w14:textOutline w14:w="0" w14:cap="rnd" w14:cmpd="sng" w14:algn="ctr">
                  <w14:noFill/>
                  <w14:prstDash w14:val="solid"/>
                  <w14:bevel/>
                </w14:textOutline>
              </w:rPr>
              <w:t xml:space="preserve"> </w:t>
            </w:r>
            <w:r w:rsidRPr="003964B9">
              <w:rPr>
                <w:rFonts w:asciiTheme="minorHAnsi" w:hAnsiTheme="minorHAnsi" w:cs="Times New Roman"/>
                <w:color w:val="auto"/>
                <w14:textOutline w14:w="0" w14:cap="rnd" w14:cmpd="sng" w14:algn="ctr">
                  <w14:noFill/>
                  <w14:prstDash w14:val="solid"/>
                  <w14:bevel/>
                </w14:textOutline>
              </w:rPr>
              <w:t xml:space="preserve">Framework for </w:t>
            </w:r>
            <w:r>
              <w:rPr>
                <w:rFonts w:asciiTheme="minorHAnsi" w:hAnsiTheme="minorHAnsi" w:cs="Times New Roman"/>
                <w:color w:val="auto"/>
                <w14:textOutline w14:w="0" w14:cap="rnd" w14:cmpd="sng" w14:algn="ctr">
                  <w14:noFill/>
                  <w14:prstDash w14:val="solid"/>
                  <w14:bevel/>
                </w14:textOutline>
              </w:rPr>
              <w:br/>
            </w:r>
            <w:r w:rsidRPr="003964B9">
              <w:rPr>
                <w:rFonts w:asciiTheme="minorHAnsi" w:hAnsiTheme="minorHAnsi" w:cs="Times New Roman"/>
                <w:color w:val="auto"/>
                <w14:textOutline w14:w="0" w14:cap="rnd" w14:cmpd="sng" w14:algn="ctr">
                  <w14:noFill/>
                  <w14:prstDash w14:val="solid"/>
                  <w14:bevel/>
                </w14:textOutline>
              </w:rPr>
              <w:t>NDIS Providers</w:t>
            </w:r>
          </w:p>
        </w:tc>
        <w:tc>
          <w:tcPr>
            <w:tcW w:w="1667" w:type="pct"/>
          </w:tcPr>
          <w:p w:rsidR="00A459BE" w:rsidRPr="005F3AA2" w:rsidRDefault="00A459BE" w:rsidP="00A459BE">
            <w:pPr>
              <w:pStyle w:val="Body"/>
              <w:ind w:left="360"/>
            </w:pPr>
            <w:r w:rsidRPr="005F3AA2">
              <w:rPr>
                <w:noProof/>
                <w:lang w:val="en-AU" w:eastAsia="en-AU"/>
              </w:rPr>
              <w:drawing>
                <wp:inline distT="0" distB="0" distL="0" distR="0" wp14:anchorId="0A43BEED" wp14:editId="640039D3">
                  <wp:extent cx="508116" cy="660550"/>
                  <wp:effectExtent l="0" t="0" r="6350" b="6350"/>
                  <wp:docPr id="5" name="Picture 5"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10">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1A2E25" w:rsidP="001A2E25">
            <w:pPr>
              <w:pStyle w:val="Body"/>
              <w:ind w:left="360"/>
              <w:rPr>
                <w:rStyle w:val="Hyperlink"/>
              </w:rPr>
            </w:pPr>
            <w:r w:rsidRPr="001A2E25">
              <w:rPr>
                <w:rFonts w:asciiTheme="minorHAnsi" w:hAnsiTheme="minorHAnsi" w:cs="Times New Roman"/>
                <w:color w:val="auto"/>
                <w14:textOutline w14:w="0" w14:cap="rnd" w14:cmpd="sng" w14:algn="ctr">
                  <w14:noFill/>
                  <w14:prstDash w14:val="solid"/>
                  <w14:bevel/>
                </w14:textOutline>
              </w:rPr>
              <w:t>How to do a practice</w:t>
            </w:r>
            <w:r>
              <w:rPr>
                <w:rFonts w:asciiTheme="minorHAnsi" w:hAnsiTheme="minorHAnsi" w:cs="Times New Roman"/>
                <w:color w:val="auto"/>
                <w14:textOutline w14:w="0" w14:cap="rnd" w14:cmpd="sng" w14:algn="ctr">
                  <w14:noFill/>
                  <w14:prstDash w14:val="solid"/>
                  <w14:bevel/>
                </w14:textOutline>
              </w:rPr>
              <w:t xml:space="preserve"> </w:t>
            </w:r>
            <w:r w:rsidRPr="001A2E25">
              <w:rPr>
                <w:rFonts w:asciiTheme="minorHAnsi" w:hAnsiTheme="minorHAnsi" w:cs="Times New Roman"/>
                <w:color w:val="auto"/>
                <w14:textOutline w14:w="0" w14:cap="rnd" w14:cmpd="sng" w14:algn="ctr">
                  <w14:noFill/>
                  <w14:prstDash w14:val="solid"/>
                  <w14:bevel/>
                </w14:textOutline>
              </w:rPr>
              <w:t>review fact sheet</w:t>
            </w:r>
          </w:p>
        </w:tc>
        <w:tc>
          <w:tcPr>
            <w:tcW w:w="1667" w:type="pct"/>
          </w:tcPr>
          <w:p w:rsidR="001A2E25" w:rsidRPr="005F3AA2" w:rsidRDefault="001A2E25" w:rsidP="001A2E25">
            <w:pPr>
              <w:pStyle w:val="Body"/>
              <w:ind w:left="360"/>
            </w:pPr>
            <w:r w:rsidRPr="005F3AA2">
              <w:rPr>
                <w:noProof/>
                <w:lang w:val="en-AU" w:eastAsia="en-AU"/>
              </w:rPr>
              <w:drawing>
                <wp:inline distT="0" distB="0" distL="0" distR="0" wp14:anchorId="66B3A630" wp14:editId="14FB7FF1">
                  <wp:extent cx="508116" cy="660550"/>
                  <wp:effectExtent l="0" t="0" r="6350" b="6350"/>
                  <wp:docPr id="1" name="Picture 1"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10">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A2E25" w:rsidRDefault="001A2E25" w:rsidP="001A2E25">
            <w:pPr>
              <w:ind w:left="360"/>
            </w:pPr>
            <w:r>
              <w:t>How to engage people</w:t>
            </w:r>
          </w:p>
          <w:p w:rsidR="00A459BE" w:rsidRPr="00BA16DF" w:rsidRDefault="001A2E25" w:rsidP="001A2E25">
            <w:pPr>
              <w:ind w:left="360"/>
              <w:rPr>
                <w:rStyle w:val="Hyperlink"/>
              </w:rPr>
            </w:pPr>
            <w:r>
              <w:t>in a practice review</w:t>
            </w:r>
          </w:p>
        </w:tc>
      </w:tr>
      <w:tr w:rsidR="001A2E25" w:rsidRPr="004C7085" w:rsidTr="00427608">
        <w:tc>
          <w:tcPr>
            <w:tcW w:w="1666" w:type="pct"/>
          </w:tcPr>
          <w:p w:rsidR="001A2E25" w:rsidRPr="005F3AA2" w:rsidRDefault="001A2E25" w:rsidP="001A2E25">
            <w:pPr>
              <w:pStyle w:val="Body"/>
              <w:ind w:left="360"/>
            </w:pPr>
            <w:r w:rsidRPr="005F3AA2">
              <w:rPr>
                <w:noProof/>
                <w:lang w:val="en-AU" w:eastAsia="en-AU"/>
              </w:rPr>
              <w:drawing>
                <wp:inline distT="0" distB="0" distL="0" distR="0" wp14:anchorId="66B3A630" wp14:editId="14FB7FF1">
                  <wp:extent cx="508116" cy="660550"/>
                  <wp:effectExtent l="0" t="0" r="6350" b="6350"/>
                  <wp:docPr id="2" name="Picture 2"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10">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A2E25" w:rsidRPr="005F3AA2" w:rsidRDefault="001A2E25" w:rsidP="001A2E25">
            <w:pPr>
              <w:pStyle w:val="Body"/>
              <w:ind w:left="360"/>
              <w:rPr>
                <w:noProof/>
                <w:lang w:val="en-AU" w:eastAsia="en-AU"/>
              </w:rPr>
            </w:pPr>
            <w:r w:rsidRPr="001A2E25">
              <w:rPr>
                <w:rFonts w:asciiTheme="minorHAnsi" w:hAnsiTheme="minorHAnsi" w:cs="Times New Roman"/>
                <w:color w:val="auto"/>
                <w14:textOutline w14:w="0" w14:cap="rnd" w14:cmpd="sng" w14:algn="ctr">
                  <w14:noFill/>
                  <w14:prstDash w14:val="solid"/>
                  <w14:bevel/>
                </w14:textOutline>
              </w:rPr>
              <w:t>Questions and prompts to use in a practice review with people with disability</w:t>
            </w:r>
          </w:p>
        </w:tc>
        <w:tc>
          <w:tcPr>
            <w:tcW w:w="1667" w:type="pct"/>
          </w:tcPr>
          <w:p w:rsidR="001A2E25" w:rsidRPr="005F3AA2" w:rsidRDefault="001A2E25" w:rsidP="001A2E25">
            <w:pPr>
              <w:pStyle w:val="Body"/>
              <w:ind w:left="360"/>
            </w:pPr>
            <w:r w:rsidRPr="005F3AA2">
              <w:rPr>
                <w:noProof/>
                <w:lang w:val="en-AU" w:eastAsia="en-AU"/>
              </w:rPr>
              <w:drawing>
                <wp:inline distT="0" distB="0" distL="0" distR="0" wp14:anchorId="66B3A630" wp14:editId="14FB7FF1">
                  <wp:extent cx="508116" cy="660550"/>
                  <wp:effectExtent l="0" t="0" r="6350" b="6350"/>
                  <wp:docPr id="3" name="Picture 3"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10">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A2E25" w:rsidRPr="005F3AA2" w:rsidRDefault="001A2E25" w:rsidP="001A2E25">
            <w:pPr>
              <w:pStyle w:val="Body"/>
              <w:ind w:left="360"/>
              <w:rPr>
                <w:noProof/>
                <w:lang w:val="en-AU" w:eastAsia="en-AU"/>
              </w:rPr>
            </w:pPr>
            <w:r w:rsidRPr="001A2E25">
              <w:rPr>
                <w:rFonts w:asciiTheme="minorHAnsi" w:hAnsiTheme="minorHAnsi" w:cs="Times New Roman"/>
                <w:color w:val="auto"/>
                <w14:textOutline w14:w="0" w14:cap="rnd" w14:cmpd="sng" w14:algn="ctr">
                  <w14:noFill/>
                  <w14:prstDash w14:val="solid"/>
                  <w14:bevel/>
                </w14:textOutline>
              </w:rPr>
              <w:t>Consulting with people with disability during a practice review</w:t>
            </w:r>
          </w:p>
        </w:tc>
        <w:tc>
          <w:tcPr>
            <w:tcW w:w="1667" w:type="pct"/>
          </w:tcPr>
          <w:p w:rsidR="001A2E25" w:rsidRPr="005F3AA2" w:rsidRDefault="001A2E25" w:rsidP="001A2E25">
            <w:pPr>
              <w:pStyle w:val="Body"/>
              <w:ind w:left="360"/>
              <w:rPr>
                <w:noProof/>
                <w:lang w:val="en-AU" w:eastAsia="en-AU"/>
              </w:rPr>
            </w:pPr>
          </w:p>
        </w:tc>
      </w:tr>
    </w:tbl>
    <w:p w:rsidR="00A459BE" w:rsidRPr="00A459BE" w:rsidRDefault="00A459BE" w:rsidP="00A459BE">
      <w:pPr>
        <w:ind w:left="360" w:right="-35"/>
        <w:rPr>
          <w:sz w:val="20"/>
          <w:szCs w:val="20"/>
          <w:lang w:val="en-AU" w:eastAsia="en-AU"/>
        </w:rPr>
      </w:pPr>
    </w:p>
    <w:p w:rsidR="00421AD5" w:rsidRDefault="00421AD5" w:rsidP="00421AD5">
      <w:pPr>
        <w:pStyle w:val="ContactUsheadingh4"/>
        <w:ind w:left="360" w:right="-35"/>
        <w:rPr>
          <w:rFonts w:eastAsia="Calibri" w:cs="Calibri"/>
        </w:rPr>
      </w:pPr>
      <w:r>
        <w:t xml:space="preserve">Contact Us </w:t>
      </w:r>
    </w:p>
    <w:p w:rsidR="00421AD5" w:rsidRDefault="00421AD5" w:rsidP="00421AD5">
      <w:pPr>
        <w:pStyle w:val="Body"/>
        <w:ind w:left="360"/>
      </w:pPr>
      <w:r w:rsidRPr="0037316A">
        <w:rPr>
          <w:b/>
          <w:bCs/>
          <w:color w:val="auto"/>
          <w:sz w:val="28"/>
          <w:szCs w:val="28"/>
        </w:rPr>
        <w:t xml:space="preserve">Call: 1800 035 544 </w:t>
      </w:r>
      <w:r>
        <w:t xml:space="preserve">(free call from landlines). </w:t>
      </w:r>
    </w:p>
    <w:p w:rsidR="00421AD5" w:rsidRDefault="00421AD5" w:rsidP="00421AD5">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421AD5" w:rsidRDefault="00421AD5" w:rsidP="00421AD5">
      <w:pPr>
        <w:pStyle w:val="Body"/>
        <w:ind w:left="360"/>
      </w:pPr>
      <w:r w:rsidRPr="00427608">
        <w:rPr>
          <w:b/>
        </w:rPr>
        <w:t>Email</w:t>
      </w:r>
      <w:r>
        <w:t xml:space="preserve">: </w:t>
      </w:r>
      <w:hyperlink r:id="rId11" w:history="1">
        <w:r w:rsidRPr="003371C2">
          <w:rPr>
            <w:rStyle w:val="Hyperlink"/>
          </w:rPr>
          <w:t>contactcentre@ndiscommission.gov.au</w:t>
        </w:r>
      </w:hyperlink>
    </w:p>
    <w:p w:rsidR="00421AD5" w:rsidRPr="008A58D0" w:rsidRDefault="00421AD5" w:rsidP="00421AD5">
      <w:pPr>
        <w:pStyle w:val="Body"/>
        <w:ind w:left="360"/>
      </w:pPr>
      <w:r w:rsidRPr="00427608">
        <w:rPr>
          <w:b/>
        </w:rPr>
        <w:t>Website</w:t>
      </w:r>
      <w:r>
        <w:t xml:space="preserve">: </w:t>
      </w:r>
      <w:hyperlink r:id="rId12" w:history="1">
        <w:r>
          <w:rPr>
            <w:rStyle w:val="Hyperlink"/>
          </w:rPr>
          <w:t>www.ndiscommission.gov.au</w:t>
        </w:r>
      </w:hyperlink>
    </w:p>
    <w:p w:rsidR="003839B7" w:rsidRPr="00421AD5" w:rsidRDefault="003839B7" w:rsidP="00421AD5"/>
    <w:sectPr w:rsidR="003839B7" w:rsidRPr="00421AD5" w:rsidSect="000049AE">
      <w:headerReference w:type="default" r:id="rId13"/>
      <w:footerReference w:type="default" r:id="rId14"/>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8A" w:rsidRDefault="00883E8A">
      <w:r>
        <w:separator/>
      </w:r>
    </w:p>
  </w:endnote>
  <w:endnote w:type="continuationSeparator" w:id="0">
    <w:p w:rsidR="00883E8A" w:rsidRDefault="0088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0742C2" w:rsidP="00003524">
    <w:pPr>
      <w:pStyle w:val="Footer"/>
    </w:pPr>
    <w:r>
      <w:t>Practice reviews</w:t>
    </w:r>
    <w:r w:rsidR="009D1B26" w:rsidRPr="000049AE">
      <w:t xml:space="preserve"> – </w:t>
    </w:r>
    <w:r>
      <w:t>July</w:t>
    </w:r>
    <w:r w:rsidR="009D1B26" w:rsidRPr="000049AE">
      <w:t xml:space="preserve"> 202</w:t>
    </w:r>
    <w:r w:rsidR="0042078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8A" w:rsidRDefault="00883E8A">
      <w:r>
        <w:separator/>
      </w:r>
    </w:p>
  </w:footnote>
  <w:footnote w:type="continuationSeparator" w:id="0">
    <w:p w:rsidR="00883E8A" w:rsidRDefault="0088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5pt;height:52.5pt" o:bullet="t">
        <v:imagedata r:id="rId1" o:title="Document-icon"/>
      </v:shape>
    </w:pict>
  </w:numPicBullet>
  <w:numPicBullet w:numPicBulletId="1">
    <w:pict>
      <v:shape id="_x0000_i1031"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76ABC"/>
    <w:multiLevelType w:val="hybridMultilevel"/>
    <w:tmpl w:val="D2FE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6E3640"/>
    <w:multiLevelType w:val="hybridMultilevel"/>
    <w:tmpl w:val="CCB01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01055"/>
    <w:multiLevelType w:val="hybridMultilevel"/>
    <w:tmpl w:val="622471BE"/>
    <w:numStyleLink w:val="Bullet"/>
  </w:abstractNum>
  <w:abstractNum w:abstractNumId="18"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21"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A6ECB"/>
    <w:multiLevelType w:val="hybridMultilevel"/>
    <w:tmpl w:val="2A66E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17"/>
  </w:num>
  <w:num w:numId="3">
    <w:abstractNumId w:val="2"/>
  </w:num>
  <w:num w:numId="4">
    <w:abstractNumId w:val="10"/>
  </w:num>
  <w:num w:numId="5">
    <w:abstractNumId w:val="13"/>
  </w:num>
  <w:num w:numId="6">
    <w:abstractNumId w:val="3"/>
  </w:num>
  <w:num w:numId="7">
    <w:abstractNumId w:val="7"/>
  </w:num>
  <w:num w:numId="8">
    <w:abstractNumId w:val="26"/>
  </w:num>
  <w:num w:numId="9">
    <w:abstractNumId w:val="18"/>
  </w:num>
  <w:num w:numId="10">
    <w:abstractNumId w:val="5"/>
  </w:num>
  <w:num w:numId="11">
    <w:abstractNumId w:val="8"/>
  </w:num>
  <w:num w:numId="12">
    <w:abstractNumId w:val="19"/>
  </w:num>
  <w:num w:numId="13">
    <w:abstractNumId w:val="1"/>
  </w:num>
  <w:num w:numId="14">
    <w:abstractNumId w:val="6"/>
  </w:num>
  <w:num w:numId="15">
    <w:abstractNumId w:val="14"/>
  </w:num>
  <w:num w:numId="16">
    <w:abstractNumId w:val="0"/>
  </w:num>
  <w:num w:numId="17">
    <w:abstractNumId w:val="12"/>
  </w:num>
  <w:num w:numId="18">
    <w:abstractNumId w:val="20"/>
  </w:num>
  <w:num w:numId="19">
    <w:abstractNumId w:val="11"/>
  </w:num>
  <w:num w:numId="20">
    <w:abstractNumId w:val="23"/>
  </w:num>
  <w:num w:numId="21">
    <w:abstractNumId w:val="21"/>
  </w:num>
  <w:num w:numId="22">
    <w:abstractNumId w:val="24"/>
  </w:num>
  <w:num w:numId="23">
    <w:abstractNumId w:val="4"/>
  </w:num>
  <w:num w:numId="24">
    <w:abstractNumId w:val="16"/>
  </w:num>
  <w:num w:numId="25">
    <w:abstractNumId w:val="25"/>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742C2"/>
    <w:rsid w:val="000A7F89"/>
    <w:rsid w:val="000B37AC"/>
    <w:rsid w:val="000C6312"/>
    <w:rsid w:val="000D084F"/>
    <w:rsid w:val="001045AC"/>
    <w:rsid w:val="001165D5"/>
    <w:rsid w:val="00155A13"/>
    <w:rsid w:val="00174D62"/>
    <w:rsid w:val="001A2E25"/>
    <w:rsid w:val="001A6429"/>
    <w:rsid w:val="001C0C67"/>
    <w:rsid w:val="001C52EE"/>
    <w:rsid w:val="00255485"/>
    <w:rsid w:val="00261193"/>
    <w:rsid w:val="0027224A"/>
    <w:rsid w:val="0027230A"/>
    <w:rsid w:val="00272BE4"/>
    <w:rsid w:val="002A2678"/>
    <w:rsid w:val="002B01C7"/>
    <w:rsid w:val="002D1D4B"/>
    <w:rsid w:val="002D6C7E"/>
    <w:rsid w:val="00306771"/>
    <w:rsid w:val="0031006D"/>
    <w:rsid w:val="00310BAC"/>
    <w:rsid w:val="00313947"/>
    <w:rsid w:val="0037316A"/>
    <w:rsid w:val="003839B7"/>
    <w:rsid w:val="003964B9"/>
    <w:rsid w:val="003A3A42"/>
    <w:rsid w:val="003B09B3"/>
    <w:rsid w:val="003C7B93"/>
    <w:rsid w:val="003E21ED"/>
    <w:rsid w:val="003F30D8"/>
    <w:rsid w:val="00416A2C"/>
    <w:rsid w:val="0042078D"/>
    <w:rsid w:val="00421AD5"/>
    <w:rsid w:val="00425CC0"/>
    <w:rsid w:val="00427608"/>
    <w:rsid w:val="00452E46"/>
    <w:rsid w:val="00467979"/>
    <w:rsid w:val="00475D3F"/>
    <w:rsid w:val="00480FBB"/>
    <w:rsid w:val="004878AB"/>
    <w:rsid w:val="00493855"/>
    <w:rsid w:val="004A1572"/>
    <w:rsid w:val="004A24C4"/>
    <w:rsid w:val="004C7085"/>
    <w:rsid w:val="004D5EB8"/>
    <w:rsid w:val="004F22E0"/>
    <w:rsid w:val="005008C1"/>
    <w:rsid w:val="00505935"/>
    <w:rsid w:val="00513DAF"/>
    <w:rsid w:val="00514051"/>
    <w:rsid w:val="00524A56"/>
    <w:rsid w:val="005301CB"/>
    <w:rsid w:val="00553244"/>
    <w:rsid w:val="00570007"/>
    <w:rsid w:val="00575C92"/>
    <w:rsid w:val="0058282D"/>
    <w:rsid w:val="00583464"/>
    <w:rsid w:val="00595FE8"/>
    <w:rsid w:val="005A1BF9"/>
    <w:rsid w:val="005B688D"/>
    <w:rsid w:val="005C347D"/>
    <w:rsid w:val="005E14E5"/>
    <w:rsid w:val="005F3AA2"/>
    <w:rsid w:val="006028D8"/>
    <w:rsid w:val="00613181"/>
    <w:rsid w:val="00623EDB"/>
    <w:rsid w:val="00640658"/>
    <w:rsid w:val="00651ABF"/>
    <w:rsid w:val="00655084"/>
    <w:rsid w:val="00660CF2"/>
    <w:rsid w:val="00673136"/>
    <w:rsid w:val="006B17BF"/>
    <w:rsid w:val="006B5114"/>
    <w:rsid w:val="006E547B"/>
    <w:rsid w:val="006E79B9"/>
    <w:rsid w:val="00706138"/>
    <w:rsid w:val="00772F7F"/>
    <w:rsid w:val="00782F55"/>
    <w:rsid w:val="007967CE"/>
    <w:rsid w:val="00797731"/>
    <w:rsid w:val="007B540D"/>
    <w:rsid w:val="007C3285"/>
    <w:rsid w:val="007E280A"/>
    <w:rsid w:val="00830B58"/>
    <w:rsid w:val="0084097C"/>
    <w:rsid w:val="00846BA6"/>
    <w:rsid w:val="00853FB9"/>
    <w:rsid w:val="00875A49"/>
    <w:rsid w:val="00883E8A"/>
    <w:rsid w:val="00887B14"/>
    <w:rsid w:val="008914AB"/>
    <w:rsid w:val="0089352C"/>
    <w:rsid w:val="00894EC9"/>
    <w:rsid w:val="008A036D"/>
    <w:rsid w:val="008A4C48"/>
    <w:rsid w:val="008A58D0"/>
    <w:rsid w:val="008E1B7B"/>
    <w:rsid w:val="008F2F50"/>
    <w:rsid w:val="008F67B6"/>
    <w:rsid w:val="0093146D"/>
    <w:rsid w:val="00974269"/>
    <w:rsid w:val="00977A29"/>
    <w:rsid w:val="009817A6"/>
    <w:rsid w:val="00981C6F"/>
    <w:rsid w:val="0099420C"/>
    <w:rsid w:val="009D1B26"/>
    <w:rsid w:val="009E09C5"/>
    <w:rsid w:val="00A367B0"/>
    <w:rsid w:val="00A43D2C"/>
    <w:rsid w:val="00A459BE"/>
    <w:rsid w:val="00A55B39"/>
    <w:rsid w:val="00A624F9"/>
    <w:rsid w:val="00AB2716"/>
    <w:rsid w:val="00AC38B9"/>
    <w:rsid w:val="00AC4976"/>
    <w:rsid w:val="00AE5258"/>
    <w:rsid w:val="00AF03E0"/>
    <w:rsid w:val="00B542A9"/>
    <w:rsid w:val="00B640EE"/>
    <w:rsid w:val="00B70226"/>
    <w:rsid w:val="00B73E56"/>
    <w:rsid w:val="00B91A42"/>
    <w:rsid w:val="00B97C17"/>
    <w:rsid w:val="00BA16DF"/>
    <w:rsid w:val="00BA6A87"/>
    <w:rsid w:val="00BB0004"/>
    <w:rsid w:val="00BC124E"/>
    <w:rsid w:val="00BC6E58"/>
    <w:rsid w:val="00BF01EE"/>
    <w:rsid w:val="00C016B4"/>
    <w:rsid w:val="00C07050"/>
    <w:rsid w:val="00C0731F"/>
    <w:rsid w:val="00C129C0"/>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30E20"/>
    <w:rsid w:val="00D7385F"/>
    <w:rsid w:val="00D80B75"/>
    <w:rsid w:val="00D94D13"/>
    <w:rsid w:val="00DA2C24"/>
    <w:rsid w:val="00DB3C94"/>
    <w:rsid w:val="00DB482A"/>
    <w:rsid w:val="00DC2451"/>
    <w:rsid w:val="00DD0F41"/>
    <w:rsid w:val="00DE4555"/>
    <w:rsid w:val="00DF103A"/>
    <w:rsid w:val="00DF5215"/>
    <w:rsid w:val="00DF6E53"/>
    <w:rsid w:val="00E13E89"/>
    <w:rsid w:val="00E53494"/>
    <w:rsid w:val="00E72561"/>
    <w:rsid w:val="00E928CC"/>
    <w:rsid w:val="00E97FBE"/>
    <w:rsid w:val="00EB3B0E"/>
    <w:rsid w:val="00EB430B"/>
    <w:rsid w:val="00EC6194"/>
    <w:rsid w:val="00EE13B2"/>
    <w:rsid w:val="00EE2998"/>
    <w:rsid w:val="00F03459"/>
    <w:rsid w:val="00F11D81"/>
    <w:rsid w:val="00F15AC8"/>
    <w:rsid w:val="00F21C49"/>
    <w:rsid w:val="00F30E91"/>
    <w:rsid w:val="00F3784E"/>
    <w:rsid w:val="00F51A9C"/>
    <w:rsid w:val="00F63716"/>
    <w:rsid w:val="00F730E3"/>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6C4C9"/>
  <w15:docId w15:val="{BC0A29EF-7DC7-4BE5-A222-7D3CEFF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scommission.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ntre@ndiscommission.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3100A-F94D-4EA0-9CC5-31E43B91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Fact sheet Practice reviews: Reflection exercises for reviewers</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Practice reviews: Reflection exercises for reviewers</dc:title>
  <dc:creator>Luke Berruex</dc:creator>
  <cp:lastModifiedBy>MARTIN, Jessica</cp:lastModifiedBy>
  <cp:revision>4</cp:revision>
  <dcterms:created xsi:type="dcterms:W3CDTF">2021-07-19T03:46:00Z</dcterms:created>
  <dcterms:modified xsi:type="dcterms:W3CDTF">2021-07-19T21:42:00Z</dcterms:modified>
</cp:coreProperties>
</file>