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FF07D" w14:textId="6747D57E" w:rsidR="00CE4DAF" w:rsidRPr="00E30DA3" w:rsidRDefault="00F007FA" w:rsidP="00CE4DAF">
      <w:pPr>
        <w:pStyle w:val="Covertitle"/>
        <w:rPr>
          <w:sz w:val="80"/>
          <w:szCs w:val="80"/>
        </w:rPr>
      </w:pPr>
      <w:r>
        <w:rPr>
          <w:sz w:val="80"/>
          <w:szCs w:val="80"/>
        </w:rPr>
        <w:t>Practice Reviews</w:t>
      </w:r>
    </w:p>
    <w:p w14:paraId="0FA9A303" w14:textId="31AAA30D" w:rsidR="00CE4DAF" w:rsidRPr="00F704CE" w:rsidRDefault="00F007FA" w:rsidP="00F704CE">
      <w:pPr>
        <w:pStyle w:val="Coversubtitle"/>
      </w:pPr>
      <w:r>
        <w:t>A framework</w:t>
      </w:r>
      <w:r w:rsidR="00E26F63">
        <w:t xml:space="preserve"> for NDIS Providers</w:t>
      </w:r>
    </w:p>
    <w:p w14:paraId="79DF5505" w14:textId="05628276" w:rsidR="00CE4DAF" w:rsidRPr="004359DF" w:rsidRDefault="00947473" w:rsidP="004359DF">
      <w:pPr>
        <w:pBdr>
          <w:left w:val="single" w:sz="48" w:space="4" w:color="9DC44D" w:themeColor="accent6"/>
        </w:pBdr>
        <w:spacing w:before="0"/>
        <w:ind w:left="284" w:firstLine="425"/>
        <w:rPr>
          <w:color w:val="FFFFFF" w:themeColor="background1"/>
          <w:sz w:val="40"/>
          <w:szCs w:val="40"/>
        </w:rPr>
        <w:sectPr w:rsidR="00CE4DAF" w:rsidRPr="004359DF" w:rsidSect="00362AB6">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284" w:footer="397" w:gutter="0"/>
          <w:cols w:space="340"/>
          <w:titlePg/>
          <w:docGrid w:linePitch="360"/>
          <w15:footnoteColumns w:val="1"/>
        </w:sectPr>
      </w:pPr>
      <w:r>
        <w:rPr>
          <w:color w:val="FFFFFF" w:themeColor="background1"/>
          <w:sz w:val="40"/>
          <w:szCs w:val="40"/>
        </w:rPr>
        <w:t>December</w:t>
      </w:r>
      <w:r w:rsidR="00F007FA">
        <w:rPr>
          <w:color w:val="FFFFFF" w:themeColor="background1"/>
          <w:sz w:val="40"/>
          <w:szCs w:val="40"/>
        </w:rPr>
        <w:t xml:space="preserve"> 2020</w:t>
      </w:r>
    </w:p>
    <w:sdt>
      <w:sdtPr>
        <w:rPr>
          <w:rFonts w:asciiTheme="minorHAnsi" w:eastAsiaTheme="minorHAnsi" w:hAnsiTheme="minorHAnsi" w:cstheme="minorBidi"/>
          <w:b w:val="0"/>
          <w:color w:val="000000" w:themeColor="text1"/>
          <w:sz w:val="22"/>
          <w:szCs w:val="20"/>
        </w:rPr>
        <w:id w:val="-591554068"/>
        <w:docPartObj>
          <w:docPartGallery w:val="Table of Contents"/>
          <w:docPartUnique/>
        </w:docPartObj>
      </w:sdtPr>
      <w:sdtEndPr>
        <w:rPr>
          <w:bCs/>
          <w:noProof/>
        </w:rPr>
      </w:sdtEndPr>
      <w:sdtContent>
        <w:p w14:paraId="4BB43B70" w14:textId="77777777" w:rsidR="009B0D3E" w:rsidRDefault="009B0D3E">
          <w:pPr>
            <w:pStyle w:val="TOCHeading"/>
          </w:pPr>
          <w:r>
            <w:t>Contents</w:t>
          </w:r>
        </w:p>
        <w:p w14:paraId="1947469E" w14:textId="3CE22427" w:rsidR="001973A0" w:rsidRDefault="009B0D3E">
          <w:pPr>
            <w:pStyle w:val="TOC1"/>
            <w:rPr>
              <w:rFonts w:asciiTheme="minorHAnsi" w:eastAsiaTheme="minorEastAsia" w:hAnsiTheme="minorHAnsi"/>
              <w:noProof/>
              <w:sz w:val="22"/>
              <w:szCs w:val="22"/>
              <w:lang w:eastAsia="en-AU"/>
            </w:rPr>
          </w:pPr>
          <w:r>
            <w:fldChar w:fldCharType="begin"/>
          </w:r>
          <w:r>
            <w:instrText xml:space="preserve"> TOC \o "1-1" \h \z \u </w:instrText>
          </w:r>
          <w:r>
            <w:fldChar w:fldCharType="separate"/>
          </w:r>
          <w:hyperlink w:anchor="_Toc56005161" w:history="1">
            <w:r w:rsidR="001973A0" w:rsidRPr="00A556ED">
              <w:rPr>
                <w:rStyle w:val="Hyperlink"/>
                <w:noProof/>
              </w:rPr>
              <w:t>Overview</w:t>
            </w:r>
            <w:r w:rsidR="001973A0">
              <w:rPr>
                <w:noProof/>
                <w:webHidden/>
              </w:rPr>
              <w:tab/>
            </w:r>
            <w:r w:rsidR="001973A0">
              <w:rPr>
                <w:noProof/>
                <w:webHidden/>
              </w:rPr>
              <w:fldChar w:fldCharType="begin"/>
            </w:r>
            <w:r w:rsidR="001973A0">
              <w:rPr>
                <w:noProof/>
                <w:webHidden/>
              </w:rPr>
              <w:instrText xml:space="preserve"> PAGEREF _Toc56005161 \h </w:instrText>
            </w:r>
            <w:r w:rsidR="001973A0">
              <w:rPr>
                <w:noProof/>
                <w:webHidden/>
              </w:rPr>
            </w:r>
            <w:r w:rsidR="001973A0">
              <w:rPr>
                <w:noProof/>
                <w:webHidden/>
              </w:rPr>
              <w:fldChar w:fldCharType="separate"/>
            </w:r>
            <w:r w:rsidR="001973A0">
              <w:rPr>
                <w:noProof/>
                <w:webHidden/>
              </w:rPr>
              <w:t>3</w:t>
            </w:r>
            <w:r w:rsidR="001973A0">
              <w:rPr>
                <w:noProof/>
                <w:webHidden/>
              </w:rPr>
              <w:fldChar w:fldCharType="end"/>
            </w:r>
          </w:hyperlink>
        </w:p>
        <w:p w14:paraId="5E6CCD13" w14:textId="1AE0FCEC" w:rsidR="001973A0" w:rsidRDefault="00A3538F">
          <w:pPr>
            <w:pStyle w:val="TOC1"/>
            <w:rPr>
              <w:rFonts w:asciiTheme="minorHAnsi" w:eastAsiaTheme="minorEastAsia" w:hAnsiTheme="minorHAnsi"/>
              <w:noProof/>
              <w:sz w:val="22"/>
              <w:szCs w:val="22"/>
              <w:lang w:eastAsia="en-AU"/>
            </w:rPr>
          </w:pPr>
          <w:hyperlink w:anchor="_Toc56005162" w:history="1">
            <w:r w:rsidR="001973A0" w:rsidRPr="00A556ED">
              <w:rPr>
                <w:rStyle w:val="Hyperlink"/>
                <w:noProof/>
              </w:rPr>
              <w:t>Context</w:t>
            </w:r>
            <w:r w:rsidR="001973A0">
              <w:rPr>
                <w:noProof/>
                <w:webHidden/>
              </w:rPr>
              <w:tab/>
            </w:r>
            <w:r w:rsidR="001973A0">
              <w:rPr>
                <w:noProof/>
                <w:webHidden/>
              </w:rPr>
              <w:fldChar w:fldCharType="begin"/>
            </w:r>
            <w:r w:rsidR="001973A0">
              <w:rPr>
                <w:noProof/>
                <w:webHidden/>
              </w:rPr>
              <w:instrText xml:space="preserve"> PAGEREF _Toc56005162 \h </w:instrText>
            </w:r>
            <w:r w:rsidR="001973A0">
              <w:rPr>
                <w:noProof/>
                <w:webHidden/>
              </w:rPr>
            </w:r>
            <w:r w:rsidR="001973A0">
              <w:rPr>
                <w:noProof/>
                <w:webHidden/>
              </w:rPr>
              <w:fldChar w:fldCharType="separate"/>
            </w:r>
            <w:r w:rsidR="001973A0">
              <w:rPr>
                <w:noProof/>
                <w:webHidden/>
              </w:rPr>
              <w:t>3</w:t>
            </w:r>
            <w:r w:rsidR="001973A0">
              <w:rPr>
                <w:noProof/>
                <w:webHidden/>
              </w:rPr>
              <w:fldChar w:fldCharType="end"/>
            </w:r>
          </w:hyperlink>
        </w:p>
        <w:p w14:paraId="0F043C27" w14:textId="5E9861C8" w:rsidR="001973A0" w:rsidRDefault="00A3538F">
          <w:pPr>
            <w:pStyle w:val="TOC1"/>
            <w:rPr>
              <w:rFonts w:asciiTheme="minorHAnsi" w:eastAsiaTheme="minorEastAsia" w:hAnsiTheme="minorHAnsi"/>
              <w:noProof/>
              <w:sz w:val="22"/>
              <w:szCs w:val="22"/>
              <w:lang w:eastAsia="en-AU"/>
            </w:rPr>
          </w:pPr>
          <w:hyperlink w:anchor="_Toc56005163" w:history="1">
            <w:r w:rsidR="001973A0" w:rsidRPr="00A556ED">
              <w:rPr>
                <w:rStyle w:val="Hyperlink"/>
                <w:noProof/>
              </w:rPr>
              <w:t>Definition</w:t>
            </w:r>
            <w:r w:rsidR="001973A0">
              <w:rPr>
                <w:noProof/>
                <w:webHidden/>
              </w:rPr>
              <w:tab/>
            </w:r>
            <w:r w:rsidR="001973A0">
              <w:rPr>
                <w:noProof/>
                <w:webHidden/>
              </w:rPr>
              <w:fldChar w:fldCharType="begin"/>
            </w:r>
            <w:r w:rsidR="001973A0">
              <w:rPr>
                <w:noProof/>
                <w:webHidden/>
              </w:rPr>
              <w:instrText xml:space="preserve"> PAGEREF _Toc56005163 \h </w:instrText>
            </w:r>
            <w:r w:rsidR="001973A0">
              <w:rPr>
                <w:noProof/>
                <w:webHidden/>
              </w:rPr>
            </w:r>
            <w:r w:rsidR="001973A0">
              <w:rPr>
                <w:noProof/>
                <w:webHidden/>
              </w:rPr>
              <w:fldChar w:fldCharType="separate"/>
            </w:r>
            <w:r w:rsidR="001973A0">
              <w:rPr>
                <w:noProof/>
                <w:webHidden/>
              </w:rPr>
              <w:t>4</w:t>
            </w:r>
            <w:r w:rsidR="001973A0">
              <w:rPr>
                <w:noProof/>
                <w:webHidden/>
              </w:rPr>
              <w:fldChar w:fldCharType="end"/>
            </w:r>
          </w:hyperlink>
        </w:p>
        <w:p w14:paraId="30846D60" w14:textId="601C280B" w:rsidR="001973A0" w:rsidRDefault="00A3538F">
          <w:pPr>
            <w:pStyle w:val="TOC1"/>
            <w:rPr>
              <w:rFonts w:asciiTheme="minorHAnsi" w:eastAsiaTheme="minorEastAsia" w:hAnsiTheme="minorHAnsi"/>
              <w:noProof/>
              <w:sz w:val="22"/>
              <w:szCs w:val="22"/>
              <w:lang w:eastAsia="en-AU"/>
            </w:rPr>
          </w:pPr>
          <w:hyperlink w:anchor="_Toc56005164" w:history="1">
            <w:r w:rsidR="001973A0" w:rsidRPr="00A556ED">
              <w:rPr>
                <w:rStyle w:val="Hyperlink"/>
                <w:noProof/>
              </w:rPr>
              <w:t>Objectives</w:t>
            </w:r>
            <w:r w:rsidR="001973A0">
              <w:rPr>
                <w:noProof/>
                <w:webHidden/>
              </w:rPr>
              <w:tab/>
            </w:r>
            <w:r w:rsidR="001973A0">
              <w:rPr>
                <w:noProof/>
                <w:webHidden/>
              </w:rPr>
              <w:fldChar w:fldCharType="begin"/>
            </w:r>
            <w:r w:rsidR="001973A0">
              <w:rPr>
                <w:noProof/>
                <w:webHidden/>
              </w:rPr>
              <w:instrText xml:space="preserve"> PAGEREF _Toc56005164 \h </w:instrText>
            </w:r>
            <w:r w:rsidR="001973A0">
              <w:rPr>
                <w:noProof/>
                <w:webHidden/>
              </w:rPr>
            </w:r>
            <w:r w:rsidR="001973A0">
              <w:rPr>
                <w:noProof/>
                <w:webHidden/>
              </w:rPr>
              <w:fldChar w:fldCharType="separate"/>
            </w:r>
            <w:r w:rsidR="001973A0">
              <w:rPr>
                <w:noProof/>
                <w:webHidden/>
              </w:rPr>
              <w:t>4</w:t>
            </w:r>
            <w:r w:rsidR="001973A0">
              <w:rPr>
                <w:noProof/>
                <w:webHidden/>
              </w:rPr>
              <w:fldChar w:fldCharType="end"/>
            </w:r>
          </w:hyperlink>
        </w:p>
        <w:p w14:paraId="6364C11B" w14:textId="59EEC36D" w:rsidR="001973A0" w:rsidRDefault="00A3538F">
          <w:pPr>
            <w:pStyle w:val="TOC1"/>
            <w:rPr>
              <w:rFonts w:asciiTheme="minorHAnsi" w:eastAsiaTheme="minorEastAsia" w:hAnsiTheme="minorHAnsi"/>
              <w:noProof/>
              <w:sz w:val="22"/>
              <w:szCs w:val="22"/>
              <w:lang w:eastAsia="en-AU"/>
            </w:rPr>
          </w:pPr>
          <w:hyperlink w:anchor="_Toc56005165" w:history="1">
            <w:r w:rsidR="001973A0" w:rsidRPr="00A556ED">
              <w:rPr>
                <w:rStyle w:val="Hyperlink"/>
                <w:noProof/>
              </w:rPr>
              <w:t>Principles</w:t>
            </w:r>
            <w:r w:rsidR="001973A0">
              <w:rPr>
                <w:noProof/>
                <w:webHidden/>
              </w:rPr>
              <w:tab/>
            </w:r>
            <w:r w:rsidR="001973A0">
              <w:rPr>
                <w:noProof/>
                <w:webHidden/>
              </w:rPr>
              <w:fldChar w:fldCharType="begin"/>
            </w:r>
            <w:r w:rsidR="001973A0">
              <w:rPr>
                <w:noProof/>
                <w:webHidden/>
              </w:rPr>
              <w:instrText xml:space="preserve"> PAGEREF _Toc56005165 \h </w:instrText>
            </w:r>
            <w:r w:rsidR="001973A0">
              <w:rPr>
                <w:noProof/>
                <w:webHidden/>
              </w:rPr>
            </w:r>
            <w:r w:rsidR="001973A0">
              <w:rPr>
                <w:noProof/>
                <w:webHidden/>
              </w:rPr>
              <w:fldChar w:fldCharType="separate"/>
            </w:r>
            <w:r w:rsidR="001973A0">
              <w:rPr>
                <w:noProof/>
                <w:webHidden/>
              </w:rPr>
              <w:t>4</w:t>
            </w:r>
            <w:r w:rsidR="001973A0">
              <w:rPr>
                <w:noProof/>
                <w:webHidden/>
              </w:rPr>
              <w:fldChar w:fldCharType="end"/>
            </w:r>
          </w:hyperlink>
        </w:p>
        <w:p w14:paraId="2B5122B8" w14:textId="329E0712" w:rsidR="001973A0" w:rsidRDefault="00A3538F">
          <w:pPr>
            <w:pStyle w:val="TOC1"/>
            <w:rPr>
              <w:rFonts w:asciiTheme="minorHAnsi" w:eastAsiaTheme="minorEastAsia" w:hAnsiTheme="minorHAnsi"/>
              <w:noProof/>
              <w:sz w:val="22"/>
              <w:szCs w:val="22"/>
              <w:lang w:eastAsia="en-AU"/>
            </w:rPr>
          </w:pPr>
          <w:hyperlink w:anchor="_Toc56005166" w:history="1">
            <w:r w:rsidR="001973A0" w:rsidRPr="00A556ED">
              <w:rPr>
                <w:rStyle w:val="Hyperlink"/>
                <w:noProof/>
              </w:rPr>
              <w:t>Components</w:t>
            </w:r>
            <w:r w:rsidR="001973A0">
              <w:rPr>
                <w:noProof/>
                <w:webHidden/>
              </w:rPr>
              <w:tab/>
            </w:r>
            <w:r w:rsidR="001973A0">
              <w:rPr>
                <w:noProof/>
                <w:webHidden/>
              </w:rPr>
              <w:fldChar w:fldCharType="begin"/>
            </w:r>
            <w:r w:rsidR="001973A0">
              <w:rPr>
                <w:noProof/>
                <w:webHidden/>
              </w:rPr>
              <w:instrText xml:space="preserve"> PAGEREF _Toc56005166 \h </w:instrText>
            </w:r>
            <w:r w:rsidR="001973A0">
              <w:rPr>
                <w:noProof/>
                <w:webHidden/>
              </w:rPr>
            </w:r>
            <w:r w:rsidR="001973A0">
              <w:rPr>
                <w:noProof/>
                <w:webHidden/>
              </w:rPr>
              <w:fldChar w:fldCharType="separate"/>
            </w:r>
            <w:r w:rsidR="001973A0">
              <w:rPr>
                <w:noProof/>
                <w:webHidden/>
              </w:rPr>
              <w:t>5</w:t>
            </w:r>
            <w:r w:rsidR="001973A0">
              <w:rPr>
                <w:noProof/>
                <w:webHidden/>
              </w:rPr>
              <w:fldChar w:fldCharType="end"/>
            </w:r>
          </w:hyperlink>
        </w:p>
        <w:p w14:paraId="62ADB4A0" w14:textId="390126CC" w:rsidR="001973A0" w:rsidRDefault="00A3538F">
          <w:pPr>
            <w:pStyle w:val="TOC1"/>
            <w:rPr>
              <w:rFonts w:asciiTheme="minorHAnsi" w:eastAsiaTheme="minorEastAsia" w:hAnsiTheme="minorHAnsi"/>
              <w:noProof/>
              <w:sz w:val="22"/>
              <w:szCs w:val="22"/>
              <w:lang w:eastAsia="en-AU"/>
            </w:rPr>
          </w:pPr>
          <w:hyperlink w:anchor="_Toc56005167" w:history="1">
            <w:r w:rsidR="001973A0" w:rsidRPr="00A556ED">
              <w:rPr>
                <w:rStyle w:val="Hyperlink"/>
                <w:noProof/>
              </w:rPr>
              <w:t>Regulatory obligations</w:t>
            </w:r>
            <w:r w:rsidR="001973A0">
              <w:rPr>
                <w:noProof/>
                <w:webHidden/>
              </w:rPr>
              <w:tab/>
            </w:r>
            <w:r w:rsidR="001973A0">
              <w:rPr>
                <w:noProof/>
                <w:webHidden/>
              </w:rPr>
              <w:fldChar w:fldCharType="begin"/>
            </w:r>
            <w:r w:rsidR="001973A0">
              <w:rPr>
                <w:noProof/>
                <w:webHidden/>
              </w:rPr>
              <w:instrText xml:space="preserve"> PAGEREF _Toc56005167 \h </w:instrText>
            </w:r>
            <w:r w:rsidR="001973A0">
              <w:rPr>
                <w:noProof/>
                <w:webHidden/>
              </w:rPr>
            </w:r>
            <w:r w:rsidR="001973A0">
              <w:rPr>
                <w:noProof/>
                <w:webHidden/>
              </w:rPr>
              <w:fldChar w:fldCharType="separate"/>
            </w:r>
            <w:r w:rsidR="001973A0">
              <w:rPr>
                <w:noProof/>
                <w:webHidden/>
              </w:rPr>
              <w:t>6</w:t>
            </w:r>
            <w:r w:rsidR="001973A0">
              <w:rPr>
                <w:noProof/>
                <w:webHidden/>
              </w:rPr>
              <w:fldChar w:fldCharType="end"/>
            </w:r>
          </w:hyperlink>
        </w:p>
        <w:p w14:paraId="5C592694" w14:textId="3CF7386A" w:rsidR="009B0D3E" w:rsidRDefault="009B0D3E">
          <w:r>
            <w:rPr>
              <w:rFonts w:asciiTheme="majorHAnsi" w:hAnsiTheme="majorHAnsi"/>
              <w:color w:val="auto"/>
              <w:sz w:val="24"/>
            </w:rPr>
            <w:fldChar w:fldCharType="end"/>
          </w:r>
        </w:p>
      </w:sdtContent>
    </w:sdt>
    <w:p w14:paraId="23BB1852" w14:textId="77777777" w:rsidR="00843D1E" w:rsidRDefault="00843D1E">
      <w:pPr>
        <w:suppressAutoHyphens w:val="0"/>
        <w:spacing w:before="120" w:after="120" w:line="240" w:lineRule="auto"/>
        <w:rPr>
          <w:rFonts w:asciiTheme="majorHAnsi" w:eastAsiaTheme="majorEastAsia" w:hAnsiTheme="majorHAnsi" w:cstheme="majorBidi"/>
          <w:b/>
          <w:color w:val="612C69"/>
          <w:sz w:val="40"/>
          <w:szCs w:val="40"/>
        </w:rPr>
      </w:pPr>
      <w:r>
        <w:br w:type="page"/>
      </w:r>
    </w:p>
    <w:p w14:paraId="23CB831B" w14:textId="7C035653" w:rsidR="00C16C7F" w:rsidRPr="00C16C7F" w:rsidRDefault="003D2294" w:rsidP="00C16C7F">
      <w:pPr>
        <w:pStyle w:val="Heading1"/>
      </w:pPr>
      <w:bookmarkStart w:id="1" w:name="_Toc56005161"/>
      <w:r>
        <w:lastRenderedPageBreak/>
        <w:t>Overview</w:t>
      </w:r>
      <w:bookmarkEnd w:id="1"/>
      <w:r>
        <w:t xml:space="preserve"> </w:t>
      </w:r>
    </w:p>
    <w:p w14:paraId="3AA00B05" w14:textId="77777777" w:rsidR="007C4F13" w:rsidRPr="007C4F13" w:rsidRDefault="007C4F13" w:rsidP="00C93972">
      <w:pPr>
        <w:spacing w:before="120" w:after="120"/>
      </w:pPr>
      <w:r w:rsidRPr="007C4F13">
        <w:t>Providing NDIS participants with quality support and services in a safe environment with care and skill is an important obligation for all NDIS providers, and is fundamental to the rights of people with disability.</w:t>
      </w:r>
    </w:p>
    <w:p w14:paraId="28D399EE" w14:textId="3348C028" w:rsidR="007C4F13" w:rsidRPr="007C4F13" w:rsidRDefault="007C4F13" w:rsidP="00C93972">
      <w:pPr>
        <w:spacing w:before="120" w:after="120"/>
      </w:pPr>
      <w:r w:rsidRPr="007C4F13">
        <w:t>In this context, it is especially important that both the NDIS Quality and Safeguards Commission (NDIS Commission) in its regulatory role, and NDIS providers delivering supports and services, address the causes of, and contributors to</w:t>
      </w:r>
      <w:r>
        <w:t>,</w:t>
      </w:r>
      <w:r w:rsidRPr="007C4F13">
        <w:t xml:space="preserve"> </w:t>
      </w:r>
      <w:r>
        <w:t xml:space="preserve">harm and </w:t>
      </w:r>
      <w:r w:rsidRPr="007C4F13">
        <w:t xml:space="preserve">deaths of people with disability to prevent avoidable </w:t>
      </w:r>
      <w:r>
        <w:t xml:space="preserve">abuse, injuries, and </w:t>
      </w:r>
      <w:r w:rsidRPr="007C4F13">
        <w:t>deaths.</w:t>
      </w:r>
    </w:p>
    <w:p w14:paraId="4CA9ABA9" w14:textId="72D12950" w:rsidR="004E5C4B" w:rsidRDefault="004E5C4B" w:rsidP="00C93972">
      <w:pPr>
        <w:spacing w:before="120" w:after="120"/>
      </w:pPr>
      <w:r>
        <w:t>Registered NDIS providers also have an obligation to meet regulatory requirements in relation to incident management and reportable incidents.</w:t>
      </w:r>
      <w:r w:rsidR="009E4FBF">
        <w:t xml:space="preserve"> See information</w:t>
      </w:r>
      <w:r w:rsidR="002E41FA">
        <w:t xml:space="preserve"> at the end of this document</w:t>
      </w:r>
      <w:r w:rsidR="009E4FBF">
        <w:t xml:space="preserve"> about</w:t>
      </w:r>
      <w:r w:rsidR="00BD2ED3">
        <w:t xml:space="preserve"> </w:t>
      </w:r>
      <w:r w:rsidR="00D25D53">
        <w:t xml:space="preserve">related </w:t>
      </w:r>
      <w:r w:rsidR="00BD2ED3">
        <w:t xml:space="preserve">regulatory </w:t>
      </w:r>
      <w:r w:rsidR="002E41FA">
        <w:t>obligations</w:t>
      </w:r>
      <w:r w:rsidR="00BD2ED3">
        <w:t xml:space="preserve"> for registered NDIS </w:t>
      </w:r>
      <w:r w:rsidR="002E41FA">
        <w:t>p</w:t>
      </w:r>
      <w:r w:rsidR="00BD2ED3">
        <w:t>roviders.</w:t>
      </w:r>
    </w:p>
    <w:p w14:paraId="2CB4794C" w14:textId="60DF6F1D" w:rsidR="007C4F13" w:rsidRDefault="007C4F13" w:rsidP="00C93972">
      <w:pPr>
        <w:spacing w:before="120" w:after="120"/>
      </w:pPr>
      <w:r>
        <w:t>T</w:t>
      </w:r>
      <w:r w:rsidRPr="007C4F13">
        <w:t xml:space="preserve">he NDIS Commission </w:t>
      </w:r>
      <w:r>
        <w:t xml:space="preserve">has developed a range of resources </w:t>
      </w:r>
      <w:r w:rsidR="00E26F63">
        <w:t>to support incident management</w:t>
      </w:r>
      <w:r w:rsidRPr="007C4F13">
        <w:t>, and</w:t>
      </w:r>
      <w:r w:rsidR="00E26F63">
        <w:t xml:space="preserve"> is developing resources for</w:t>
      </w:r>
      <w:r w:rsidRPr="007C4F13">
        <w:t xml:space="preserve"> the safe support of people’s health conditions and other complexities, such as epilepsy, respiratory diseases, dysphagia and aspiration.</w:t>
      </w:r>
    </w:p>
    <w:p w14:paraId="58C51481" w14:textId="0B8E2662" w:rsidR="007C4F13" w:rsidRPr="007C4F13" w:rsidRDefault="007C4F13" w:rsidP="00292E23">
      <w:pPr>
        <w:spacing w:before="120" w:after="0"/>
        <w:contextualSpacing/>
      </w:pPr>
      <w:r w:rsidRPr="007C4F13">
        <w:t>Th</w:t>
      </w:r>
      <w:r>
        <w:t xml:space="preserve">is </w:t>
      </w:r>
      <w:r w:rsidR="004A717F" w:rsidRPr="004A717F">
        <w:rPr>
          <w:i/>
          <w:iCs/>
        </w:rPr>
        <w:t>Practice Review Framework</w:t>
      </w:r>
      <w:r w:rsidR="00E26F63">
        <w:rPr>
          <w:i/>
          <w:iCs/>
        </w:rPr>
        <w:t xml:space="preserve"> for NDIS Providers</w:t>
      </w:r>
      <w:r>
        <w:t xml:space="preserve"> complements those other resources, and is</w:t>
      </w:r>
      <w:r w:rsidRPr="007C4F13">
        <w:t xml:space="preserve"> intended to help NDIS providers conduct practice reviews so that they can:</w:t>
      </w:r>
    </w:p>
    <w:p w14:paraId="1BB078ED" w14:textId="77777777" w:rsidR="007C4F13" w:rsidRPr="004A717F" w:rsidRDefault="007C4F13" w:rsidP="00292E23">
      <w:pPr>
        <w:pStyle w:val="Bullet1"/>
        <w:spacing w:before="0" w:after="120"/>
        <w:ind w:left="568"/>
        <w:contextualSpacing/>
      </w:pPr>
      <w:r w:rsidRPr="007C4F13">
        <w:t xml:space="preserve">prevent further incidents </w:t>
      </w:r>
      <w:r w:rsidRPr="004A717F">
        <w:t>occurring;</w:t>
      </w:r>
    </w:p>
    <w:p w14:paraId="5C1BCA54" w14:textId="77777777" w:rsidR="007C4F13" w:rsidRPr="004A717F" w:rsidRDefault="007C4F13" w:rsidP="00C93972">
      <w:pPr>
        <w:pStyle w:val="Bullet1"/>
        <w:spacing w:before="120" w:after="120"/>
        <w:ind w:left="567"/>
        <w:contextualSpacing/>
      </w:pPr>
      <w:r w:rsidRPr="004A717F">
        <w:t>better equip workers to manage incidents when they do occur; and</w:t>
      </w:r>
    </w:p>
    <w:p w14:paraId="312DD521" w14:textId="13C22C23" w:rsidR="007C4F13" w:rsidRDefault="007C4F13" w:rsidP="00C93972">
      <w:pPr>
        <w:pStyle w:val="Bullet1"/>
        <w:spacing w:before="120" w:after="120"/>
        <w:ind w:left="567"/>
      </w:pPr>
      <w:r w:rsidRPr="004A717F">
        <w:t>influence improvements across</w:t>
      </w:r>
      <w:r w:rsidRPr="007C4F13">
        <w:t xml:space="preserve"> other service delivery functions.</w:t>
      </w:r>
    </w:p>
    <w:p w14:paraId="1B23F430" w14:textId="67632323" w:rsidR="006811A9" w:rsidRPr="007C4F13" w:rsidRDefault="006811A9" w:rsidP="00C93972">
      <w:pPr>
        <w:spacing w:before="120" w:after="120"/>
      </w:pPr>
      <w:r>
        <w:t>Th</w:t>
      </w:r>
      <w:r w:rsidR="004A717F">
        <w:t>e</w:t>
      </w:r>
      <w:r>
        <w:t xml:space="preserve"> </w:t>
      </w:r>
      <w:r w:rsidR="004A717F" w:rsidRPr="004A717F">
        <w:rPr>
          <w:i/>
          <w:iCs/>
        </w:rPr>
        <w:t>Practice Review Framework</w:t>
      </w:r>
      <w:r w:rsidR="00E26F63">
        <w:rPr>
          <w:i/>
          <w:iCs/>
        </w:rPr>
        <w:t xml:space="preserve"> for NDIS Providers</w:t>
      </w:r>
      <w:r>
        <w:t xml:space="preserve"> provides a holistic overview of the components of </w:t>
      </w:r>
      <w:r w:rsidR="00025663">
        <w:t xml:space="preserve">a </w:t>
      </w:r>
      <w:r>
        <w:t xml:space="preserve">practice review, and a roadmap for how to integrate these </w:t>
      </w:r>
      <w:r w:rsidR="0048305B">
        <w:t>with</w:t>
      </w:r>
      <w:r w:rsidR="00ED0410">
        <w:t xml:space="preserve"> existing quality management and </w:t>
      </w:r>
      <w:r>
        <w:t>continuous improvement activities.</w:t>
      </w:r>
      <w:r w:rsidRPr="00882E3C">
        <w:t xml:space="preserve"> </w:t>
      </w:r>
      <w:r w:rsidR="004A717F">
        <w:t>It</w:t>
      </w:r>
      <w:r w:rsidR="00ED0410">
        <w:t xml:space="preserve"> provides </w:t>
      </w:r>
      <w:r w:rsidRPr="00F007FA">
        <w:t>a suite of informed</w:t>
      </w:r>
      <w:r>
        <w:t xml:space="preserve"> and </w:t>
      </w:r>
      <w:r w:rsidRPr="00F007FA">
        <w:t xml:space="preserve">practical resources </w:t>
      </w:r>
      <w:r>
        <w:t xml:space="preserve">and tools </w:t>
      </w:r>
      <w:r w:rsidRPr="00F007FA">
        <w:t>t</w:t>
      </w:r>
      <w:r>
        <w:t xml:space="preserve">hat can be used </w:t>
      </w:r>
      <w:r w:rsidR="00E26F63">
        <w:t>by all NDIS providers</w:t>
      </w:r>
      <w:r>
        <w:t xml:space="preserve"> of varying size, purpose, and maturity.</w:t>
      </w:r>
    </w:p>
    <w:p w14:paraId="6FF5DD3B" w14:textId="7D674A96" w:rsidR="00C16C7F" w:rsidRDefault="00C16C7F" w:rsidP="00F81D0A">
      <w:pPr>
        <w:pStyle w:val="Heading1"/>
      </w:pPr>
      <w:bookmarkStart w:id="2" w:name="_Toc56005162"/>
      <w:r>
        <w:t>Context</w:t>
      </w:r>
      <w:bookmarkEnd w:id="2"/>
      <w:r>
        <w:t xml:space="preserve"> </w:t>
      </w:r>
    </w:p>
    <w:p w14:paraId="4E5BE2A1" w14:textId="6147F5FE" w:rsidR="007C4F13" w:rsidRDefault="007C4F13" w:rsidP="00C93972">
      <w:pPr>
        <w:spacing w:before="120" w:after="120"/>
      </w:pPr>
      <w:r>
        <w:t>Practice reviews are a common occurrence across a range of professional occupations, such as medical and allied health practitioners</w:t>
      </w:r>
      <w:r w:rsidR="00E26F63">
        <w:t>, and other human services providers</w:t>
      </w:r>
      <w:r>
        <w:t xml:space="preserve">. </w:t>
      </w:r>
      <w:r w:rsidR="00C50EA5">
        <w:t>In th</w:t>
      </w:r>
      <w:r w:rsidR="00E26F63">
        <w:t>ese</w:t>
      </w:r>
      <w:r w:rsidR="00C50EA5">
        <w:t xml:space="preserve"> </w:t>
      </w:r>
      <w:r w:rsidR="00E26F63">
        <w:t xml:space="preserve">specific professional </w:t>
      </w:r>
      <w:r w:rsidR="00C50EA5">
        <w:t>setting</w:t>
      </w:r>
      <w:r w:rsidR="00E26F63">
        <w:t>s</w:t>
      </w:r>
      <w:r w:rsidR="00C50EA5">
        <w:t>, t</w:t>
      </w:r>
      <w:r>
        <w:t>hey are primarily designed to review</w:t>
      </w:r>
      <w:r w:rsidRPr="007C4F13">
        <w:t> performance</w:t>
      </w:r>
      <w:r>
        <w:t xml:space="preserve">, </w:t>
      </w:r>
      <w:r w:rsidR="00C50EA5">
        <w:t xml:space="preserve">and </w:t>
      </w:r>
      <w:r w:rsidRPr="007C4F13">
        <w:t>to help maintain and improve standards of the profession</w:t>
      </w:r>
      <w:r>
        <w:t>.</w:t>
      </w:r>
    </w:p>
    <w:p w14:paraId="662EAE62" w14:textId="247FBEF2" w:rsidR="00BA7ECD" w:rsidRDefault="00BA7ECD" w:rsidP="00C93972">
      <w:pPr>
        <w:spacing w:before="120" w:after="120"/>
      </w:pPr>
      <w:r>
        <w:t xml:space="preserve">For the disability sector, practice reviews are a way to bring a professional lens to disability support work. </w:t>
      </w:r>
      <w:r w:rsidR="00A66590">
        <w:t>W</w:t>
      </w:r>
      <w:r>
        <w:t xml:space="preserve">ithin the context of the </w:t>
      </w:r>
      <w:r w:rsidR="00A66590" w:rsidRPr="00BA7ECD">
        <w:rPr>
          <w:i/>
          <w:iCs/>
        </w:rPr>
        <w:t>NDIS Quality and Safeguarding Framework</w:t>
      </w:r>
      <w:r w:rsidR="00A66590">
        <w:t xml:space="preserve">, and its developmental and preventative domains, practice reviews </w:t>
      </w:r>
      <w:r>
        <w:t>contribute to safeguarding, and improving the standard of support provided to, people with disability</w:t>
      </w:r>
      <w:r w:rsidR="00A66590">
        <w:t>.</w:t>
      </w:r>
      <w:r>
        <w:t xml:space="preserve"> </w:t>
      </w:r>
    </w:p>
    <w:p w14:paraId="27E4DE9D" w14:textId="1C19FF9A" w:rsidR="00BA7ECD" w:rsidRDefault="00BA7ECD" w:rsidP="00C523CB">
      <w:pPr>
        <w:pStyle w:val="Bullet1"/>
        <w:numPr>
          <w:ilvl w:val="0"/>
          <w:numId w:val="0"/>
        </w:numPr>
        <w:suppressAutoHyphens w:val="0"/>
        <w:spacing w:before="120" w:after="120" w:line="240" w:lineRule="auto"/>
        <w:ind w:left="284" w:hanging="284"/>
      </w:pPr>
    </w:p>
    <w:p w14:paraId="4FCD0205" w14:textId="77777777" w:rsidR="00C523CB" w:rsidRPr="00C523CB" w:rsidRDefault="00C523CB" w:rsidP="00C523CB">
      <w:pPr>
        <w:spacing w:before="0" w:after="120"/>
        <w:jc w:val="center"/>
        <w:rPr>
          <w:rStyle w:val="Emphasis"/>
        </w:rPr>
      </w:pPr>
      <w:r w:rsidRPr="00C523CB">
        <w:rPr>
          <w:rStyle w:val="Emphasis"/>
        </w:rPr>
        <w:t xml:space="preserve">‘Measures in the developmental domain are intended to </w:t>
      </w:r>
      <w:r w:rsidRPr="00C523CB">
        <w:rPr>
          <w:rStyle w:val="IntenseEmphasis"/>
        </w:rPr>
        <w:t>strengthen the capability of people with disability, the workforce and providers.</w:t>
      </w:r>
      <w:r w:rsidRPr="00C523CB">
        <w:rPr>
          <w:rStyle w:val="Emphasis"/>
        </w:rPr>
        <w:t xml:space="preserve"> While these are not regulatory functions, they are included in the Framework because they are fundamental to supporting quality and safeguarding.</w:t>
      </w:r>
    </w:p>
    <w:p w14:paraId="06D35B9A" w14:textId="77777777" w:rsidR="00C523CB" w:rsidRPr="00C523CB" w:rsidRDefault="00C523CB" w:rsidP="00C523CB">
      <w:pPr>
        <w:spacing w:before="0" w:after="120"/>
        <w:jc w:val="center"/>
        <w:rPr>
          <w:rStyle w:val="Emphasis"/>
        </w:rPr>
      </w:pPr>
      <w:r w:rsidRPr="00C523CB">
        <w:rPr>
          <w:rStyle w:val="Emphasis"/>
        </w:rPr>
        <w:t xml:space="preserve">Measures in the preventative domain are intended to </w:t>
      </w:r>
      <w:r w:rsidRPr="00C523CB">
        <w:rPr>
          <w:rStyle w:val="IntenseEmphasis"/>
        </w:rPr>
        <w:t>prevent harm and ensure quality services are delivered to people with disability.</w:t>
      </w:r>
      <w:r w:rsidRPr="00C523CB">
        <w:rPr>
          <w:rStyle w:val="Emphasis"/>
        </w:rPr>
        <w:t>’</w:t>
      </w:r>
    </w:p>
    <w:p w14:paraId="756DD7FE" w14:textId="77777777" w:rsidR="00C523CB" w:rsidRPr="00C523CB" w:rsidRDefault="00C523CB" w:rsidP="00C523CB">
      <w:pPr>
        <w:spacing w:before="0" w:after="0"/>
        <w:jc w:val="right"/>
        <w:rPr>
          <w:rStyle w:val="Emphasis"/>
        </w:rPr>
      </w:pPr>
      <w:r w:rsidRPr="00C523CB">
        <w:rPr>
          <w:rStyle w:val="Emphasis"/>
        </w:rPr>
        <w:t>NDIS Quality and Safeguarding Framework 2016, p14</w:t>
      </w:r>
    </w:p>
    <w:p w14:paraId="2C6F657A" w14:textId="77777777" w:rsidR="00C523CB" w:rsidRPr="00C523CB" w:rsidRDefault="00C523CB" w:rsidP="00C523CB">
      <w:pPr>
        <w:pStyle w:val="Bullet1"/>
        <w:numPr>
          <w:ilvl w:val="0"/>
          <w:numId w:val="0"/>
        </w:numPr>
        <w:suppressAutoHyphens w:val="0"/>
        <w:spacing w:before="120" w:after="120" w:line="240" w:lineRule="auto"/>
        <w:ind w:left="284" w:hanging="284"/>
        <w:rPr>
          <w:rStyle w:val="Emphasis"/>
        </w:rPr>
      </w:pPr>
    </w:p>
    <w:p w14:paraId="123CEDED" w14:textId="22C2147F" w:rsidR="00BA7ECD" w:rsidRPr="00C523CB" w:rsidRDefault="00BA7ECD" w:rsidP="00A66590">
      <w:pPr>
        <w:pStyle w:val="Bullet1"/>
        <w:numPr>
          <w:ilvl w:val="0"/>
          <w:numId w:val="0"/>
        </w:numPr>
        <w:suppressAutoHyphens w:val="0"/>
        <w:spacing w:before="120" w:after="120" w:line="240" w:lineRule="auto"/>
        <w:ind w:left="284" w:hanging="284"/>
        <w:rPr>
          <w:rStyle w:val="Emphasis"/>
        </w:rPr>
      </w:pPr>
    </w:p>
    <w:p w14:paraId="01C0C0B1" w14:textId="72606CF6" w:rsidR="00BA7ECD" w:rsidRDefault="00BA7ECD" w:rsidP="00292E23">
      <w:pPr>
        <w:suppressAutoHyphens w:val="0"/>
        <w:spacing w:before="120" w:after="120" w:line="240" w:lineRule="auto"/>
      </w:pPr>
      <w:r>
        <w:lastRenderedPageBreak/>
        <w:t xml:space="preserve">In developing the </w:t>
      </w:r>
      <w:r w:rsidRPr="004A717F">
        <w:rPr>
          <w:i/>
          <w:iCs/>
        </w:rPr>
        <w:t>Practice Review Framework</w:t>
      </w:r>
      <w:r w:rsidRPr="009B0D3E">
        <w:rPr>
          <w:i/>
          <w:iCs/>
        </w:rPr>
        <w:t xml:space="preserve"> for NDIS </w:t>
      </w:r>
      <w:r w:rsidR="00E26F63">
        <w:rPr>
          <w:i/>
          <w:iCs/>
        </w:rPr>
        <w:t>P</w:t>
      </w:r>
      <w:r w:rsidRPr="009B0D3E">
        <w:rPr>
          <w:i/>
          <w:iCs/>
        </w:rPr>
        <w:t>roviders</w:t>
      </w:r>
      <w:r>
        <w:t xml:space="preserve"> </w:t>
      </w:r>
      <w:r w:rsidR="00025663">
        <w:t>it was</w:t>
      </w:r>
      <w:r>
        <w:t xml:space="preserve"> found that here in Australia and internationally, while there is some evidence of practice reviews occurring, they are</w:t>
      </w:r>
      <w:r w:rsidRPr="00036DF5">
        <w:t xml:space="preserve"> not</w:t>
      </w:r>
      <w:r>
        <w:t xml:space="preserve"> routinely</w:t>
      </w:r>
      <w:r w:rsidRPr="00036DF5">
        <w:t xml:space="preserve"> </w:t>
      </w:r>
      <w:r>
        <w:t>carried out</w:t>
      </w:r>
      <w:r w:rsidRPr="00036DF5">
        <w:t xml:space="preserve"> </w:t>
      </w:r>
      <w:r>
        <w:t xml:space="preserve">in disability sectors. </w:t>
      </w:r>
    </w:p>
    <w:p w14:paraId="7335F7BB" w14:textId="7F838A4A" w:rsidR="003E3D66" w:rsidRDefault="00BA7ECD" w:rsidP="00C93972">
      <w:pPr>
        <w:spacing w:before="120" w:after="120"/>
      </w:pPr>
      <w:r>
        <w:t>There is</w:t>
      </w:r>
      <w:r w:rsidR="009F1968">
        <w:t>,</w:t>
      </w:r>
      <w:r>
        <w:t xml:space="preserve"> however</w:t>
      </w:r>
      <w:r w:rsidR="009F1968">
        <w:t>,</w:t>
      </w:r>
      <w:r>
        <w:t xml:space="preserve"> evidence of aspects </w:t>
      </w:r>
      <w:r w:rsidRPr="00036DF5">
        <w:t>of practice review</w:t>
      </w:r>
      <w:r>
        <w:t>s being included in continuous improvement activities of organisations of all sizes and scope. A variety of terms are used to describe these</w:t>
      </w:r>
      <w:r w:rsidR="00E26F63">
        <w:t xml:space="preserve"> activities</w:t>
      </w:r>
      <w:r>
        <w:t>, such as ‘service review’, ‘practice audit’, and ‘quality and safeguarding review’.</w:t>
      </w:r>
    </w:p>
    <w:p w14:paraId="293B8EFC" w14:textId="422B3E34" w:rsidR="00ED0410" w:rsidRDefault="00ED0410" w:rsidP="00C93972">
      <w:pPr>
        <w:spacing w:before="120" w:after="120"/>
      </w:pPr>
      <w:r>
        <w:t>Th</w:t>
      </w:r>
      <w:r w:rsidR="004A717F">
        <w:t xml:space="preserve">e </w:t>
      </w:r>
      <w:r w:rsidR="004A717F" w:rsidRPr="004A717F">
        <w:rPr>
          <w:i/>
          <w:iCs/>
        </w:rPr>
        <w:t>Practice Review Framework</w:t>
      </w:r>
      <w:r w:rsidR="00E26F63">
        <w:rPr>
          <w:i/>
          <w:iCs/>
        </w:rPr>
        <w:t xml:space="preserve"> for NDIS Providers</w:t>
      </w:r>
      <w:r w:rsidR="004A717F">
        <w:t xml:space="preserve"> </w:t>
      </w:r>
      <w:r>
        <w:t>provides a universal approach and language for practice reviews in the Australian disability sector.</w:t>
      </w:r>
    </w:p>
    <w:p w14:paraId="169219F1" w14:textId="4FCAD27D" w:rsidR="003E3D66" w:rsidRDefault="003E3D66" w:rsidP="00BD2ED3">
      <w:pPr>
        <w:pStyle w:val="Heading1"/>
        <w:spacing w:before="200"/>
      </w:pPr>
      <w:bookmarkStart w:id="3" w:name="_Toc56005163"/>
      <w:r>
        <w:t>Definition</w:t>
      </w:r>
      <w:bookmarkEnd w:id="3"/>
    </w:p>
    <w:p w14:paraId="168EBF5A" w14:textId="3AFE1595" w:rsidR="002D63B6" w:rsidRDefault="002D63B6" w:rsidP="00C93972">
      <w:pPr>
        <w:spacing w:before="120" w:after="120"/>
      </w:pPr>
      <w:bookmarkStart w:id="4" w:name="_Hlk50635043"/>
      <w:bookmarkStart w:id="5" w:name="_Hlk50634198"/>
      <w:r w:rsidRPr="002D63B6">
        <w:t xml:space="preserve">A </w:t>
      </w:r>
      <w:r>
        <w:t xml:space="preserve">practice review is a </w:t>
      </w:r>
      <w:bookmarkStart w:id="6" w:name="_Hlk50635990"/>
      <w:r w:rsidRPr="002D63B6">
        <w:t xml:space="preserve">reflective process that examines a provider’s engagement with a group of participants, and improvements that can be made to their experience of service, often with a focus on a particular practice area, a cluster of services, and/or a particular team of support workers. </w:t>
      </w:r>
      <w:bookmarkEnd w:id="4"/>
    </w:p>
    <w:p w14:paraId="6211F744" w14:textId="77777777" w:rsidR="002D63B6" w:rsidRDefault="002D63B6" w:rsidP="00C93972">
      <w:pPr>
        <w:spacing w:before="120" w:after="120"/>
      </w:pPr>
      <w:bookmarkStart w:id="7" w:name="_Hlk50636097"/>
      <w:bookmarkEnd w:id="6"/>
      <w:r>
        <w:t xml:space="preserve">A practice review is not </w:t>
      </w:r>
      <w:r w:rsidR="003E3D66">
        <w:t xml:space="preserve">an investigation. An investigation is a </w:t>
      </w:r>
      <w:r w:rsidR="003E3D66" w:rsidRPr="00E26F63">
        <w:t>fact finding process to determine the root cause of an event</w:t>
      </w:r>
      <w:r w:rsidR="003E3D66">
        <w:t xml:space="preserve">, </w:t>
      </w:r>
      <w:r w:rsidR="00EF4471">
        <w:t xml:space="preserve">primarily </w:t>
      </w:r>
      <w:r w:rsidR="003E3D66">
        <w:t>with a view to preventing it happening again</w:t>
      </w:r>
      <w:r w:rsidR="00EF4471">
        <w:t xml:space="preserve">. </w:t>
      </w:r>
    </w:p>
    <w:p w14:paraId="63FAF7C4" w14:textId="57A14CF3" w:rsidR="003E3D66" w:rsidRPr="00EF4471" w:rsidRDefault="00EF4471" w:rsidP="00C93972">
      <w:pPr>
        <w:spacing w:before="120" w:after="120"/>
      </w:pPr>
      <w:r>
        <w:t xml:space="preserve">A practice review is focused on </w:t>
      </w:r>
      <w:r w:rsidR="002D63B6">
        <w:t xml:space="preserve">understanding the </w:t>
      </w:r>
      <w:r w:rsidR="002D63B6" w:rsidRPr="00483751">
        <w:rPr>
          <w:szCs w:val="22"/>
        </w:rPr>
        <w:t>factors contributing to peoples</w:t>
      </w:r>
      <w:r w:rsidR="002D63B6">
        <w:rPr>
          <w:szCs w:val="22"/>
        </w:rPr>
        <w:t>’</w:t>
      </w:r>
      <w:r w:rsidR="002D63B6" w:rsidRPr="00483751">
        <w:rPr>
          <w:szCs w:val="22"/>
        </w:rPr>
        <w:t xml:space="preserve"> experience of a service, with a view to learning and improving practice.</w:t>
      </w:r>
    </w:p>
    <w:p w14:paraId="2F05439A" w14:textId="4BC3EBC1" w:rsidR="003D2294" w:rsidRPr="00D5223B" w:rsidRDefault="003D2294" w:rsidP="00D5223B">
      <w:pPr>
        <w:pStyle w:val="Heading1"/>
      </w:pPr>
      <w:bookmarkStart w:id="8" w:name="_Toc56005164"/>
      <w:bookmarkEnd w:id="5"/>
      <w:bookmarkEnd w:id="7"/>
      <w:r w:rsidRPr="00D5223B">
        <w:t>Objectives</w:t>
      </w:r>
      <w:bookmarkEnd w:id="8"/>
    </w:p>
    <w:p w14:paraId="3464127E" w14:textId="68009CCD" w:rsidR="00D5223B" w:rsidRDefault="00D5223B" w:rsidP="00292E23">
      <w:pPr>
        <w:spacing w:before="120" w:after="0"/>
        <w:contextualSpacing/>
      </w:pPr>
      <w:r>
        <w:t xml:space="preserve">The objectives of the </w:t>
      </w:r>
      <w:r w:rsidR="004A717F" w:rsidRPr="009B0D3E">
        <w:rPr>
          <w:i/>
          <w:iCs/>
        </w:rPr>
        <w:t>Practice Review Framework</w:t>
      </w:r>
      <w:r w:rsidR="005837D4" w:rsidRPr="009B0D3E">
        <w:rPr>
          <w:i/>
          <w:iCs/>
        </w:rPr>
        <w:t xml:space="preserve"> for NDIS Providers</w:t>
      </w:r>
      <w:r w:rsidR="004A717F">
        <w:t xml:space="preserve"> </w:t>
      </w:r>
      <w:r>
        <w:t xml:space="preserve">reflect those of the </w:t>
      </w:r>
      <w:r w:rsidRPr="009B0D3E">
        <w:rPr>
          <w:i/>
          <w:iCs/>
        </w:rPr>
        <w:t>NDIS Quality and Safeguarding Framework</w:t>
      </w:r>
      <w:r w:rsidR="00211453">
        <w:t>, in</w:t>
      </w:r>
      <w:r w:rsidR="00211453" w:rsidRPr="00211453">
        <w:t xml:space="preserve"> particular</w:t>
      </w:r>
      <w:r w:rsidR="00211453">
        <w:t>:</w:t>
      </w:r>
    </w:p>
    <w:p w14:paraId="47B68E55" w14:textId="6955D19A" w:rsidR="00211453" w:rsidRDefault="00211453" w:rsidP="00292E23">
      <w:pPr>
        <w:pStyle w:val="Bullet1"/>
        <w:spacing w:before="0" w:after="120"/>
        <w:ind w:left="568"/>
        <w:contextualSpacing/>
      </w:pPr>
      <w:r>
        <w:t>to u</w:t>
      </w:r>
      <w:r w:rsidR="00D5223B" w:rsidRPr="00D5223B">
        <w:t>phold the rights of people with disability, including their rights as consumers</w:t>
      </w:r>
    </w:p>
    <w:p w14:paraId="16EC3D1D" w14:textId="172D80E5" w:rsidR="00211453" w:rsidRPr="00D5223B" w:rsidRDefault="00211453" w:rsidP="00C93972">
      <w:pPr>
        <w:pStyle w:val="Bullet1"/>
        <w:spacing w:before="120" w:after="120"/>
        <w:ind w:left="567"/>
      </w:pPr>
      <w:r w:rsidRPr="00D5223B">
        <w:t>enable effective monitoring and responses to emerging issues</w:t>
      </w:r>
      <w:r>
        <w:t>.</w:t>
      </w:r>
    </w:p>
    <w:p w14:paraId="28A01C8E" w14:textId="6A9C20E6" w:rsidR="000B25A0" w:rsidRDefault="00211453" w:rsidP="00292E23">
      <w:pPr>
        <w:spacing w:before="120" w:after="0"/>
        <w:contextualSpacing/>
      </w:pPr>
      <w:r>
        <w:t xml:space="preserve">In addition, </w:t>
      </w:r>
      <w:r w:rsidR="00A66590">
        <w:t xml:space="preserve">the </w:t>
      </w:r>
      <w:r w:rsidR="00A66590" w:rsidRPr="004A717F">
        <w:rPr>
          <w:i/>
          <w:iCs/>
        </w:rPr>
        <w:t>Practice Review Framework</w:t>
      </w:r>
      <w:r w:rsidR="005837D4">
        <w:rPr>
          <w:i/>
          <w:iCs/>
        </w:rPr>
        <w:t xml:space="preserve"> for NDIS Providers</w:t>
      </w:r>
      <w:r w:rsidR="00A66590">
        <w:t xml:space="preserve"> </w:t>
      </w:r>
      <w:r>
        <w:t>seeks to</w:t>
      </w:r>
      <w:r w:rsidR="00292E23">
        <w:t xml:space="preserve"> promote</w:t>
      </w:r>
      <w:r>
        <w:t>:</w:t>
      </w:r>
    </w:p>
    <w:p w14:paraId="65234EE5" w14:textId="4BAF5BB5" w:rsidR="004A717F" w:rsidRDefault="004A717F" w:rsidP="00292E23">
      <w:pPr>
        <w:pStyle w:val="Bullet1"/>
        <w:spacing w:before="0" w:after="120"/>
        <w:ind w:left="568"/>
        <w:contextualSpacing/>
      </w:pPr>
      <w:r>
        <w:t>safe service delivery</w:t>
      </w:r>
    </w:p>
    <w:p w14:paraId="406B623B" w14:textId="215E0FCA" w:rsidR="00BA7ECD" w:rsidRDefault="004A717F" w:rsidP="00C93972">
      <w:pPr>
        <w:pStyle w:val="Bullet1"/>
        <w:spacing w:before="120" w:after="120"/>
        <w:ind w:left="567"/>
      </w:pPr>
      <w:r>
        <w:t xml:space="preserve">participation of </w:t>
      </w:r>
      <w:r w:rsidR="00D5223B" w:rsidRPr="00D5223B">
        <w:t>people with disability</w:t>
      </w:r>
      <w:r w:rsidRPr="004A717F">
        <w:t xml:space="preserve"> </w:t>
      </w:r>
      <w:r>
        <w:t>in the quality management of funded supports.</w:t>
      </w:r>
    </w:p>
    <w:p w14:paraId="67548622" w14:textId="0059893E" w:rsidR="00D5223B" w:rsidRPr="00D5223B" w:rsidRDefault="003D2294" w:rsidP="00D5223B">
      <w:pPr>
        <w:pStyle w:val="Heading1"/>
      </w:pPr>
      <w:bookmarkStart w:id="9" w:name="_Toc56005165"/>
      <w:r w:rsidRPr="00D5223B">
        <w:t>Principles</w:t>
      </w:r>
      <w:bookmarkEnd w:id="9"/>
    </w:p>
    <w:p w14:paraId="34BD8246" w14:textId="7DFE6CB9" w:rsidR="004A717F" w:rsidRDefault="004A717F" w:rsidP="00292E23">
      <w:pPr>
        <w:spacing w:before="120" w:after="0"/>
        <w:contextualSpacing/>
      </w:pPr>
      <w:r>
        <w:t xml:space="preserve">The principles that underpin the </w:t>
      </w:r>
      <w:r w:rsidRPr="004A717F">
        <w:rPr>
          <w:i/>
          <w:iCs/>
        </w:rPr>
        <w:t>Practice Review Framework</w:t>
      </w:r>
      <w:r w:rsidR="005837D4">
        <w:rPr>
          <w:i/>
          <w:iCs/>
        </w:rPr>
        <w:t xml:space="preserve"> for NDIS Providers</w:t>
      </w:r>
      <w:r>
        <w:t xml:space="preserve"> are:</w:t>
      </w:r>
    </w:p>
    <w:p w14:paraId="525F5F87" w14:textId="27CE55C8" w:rsidR="009764E0" w:rsidRDefault="009764E0" w:rsidP="00292E23">
      <w:pPr>
        <w:pStyle w:val="Bullet1"/>
        <w:spacing w:before="0" w:after="120"/>
        <w:contextualSpacing/>
      </w:pPr>
      <w:r>
        <w:t>People with disability have a right to safe, innovative, high-quality support.</w:t>
      </w:r>
    </w:p>
    <w:p w14:paraId="3B26AC84" w14:textId="6FCAFB45" w:rsidR="003D2294" w:rsidRDefault="009A4F26" w:rsidP="00C93972">
      <w:pPr>
        <w:pStyle w:val="Bullet1"/>
        <w:spacing w:before="120" w:after="120"/>
        <w:contextualSpacing/>
      </w:pPr>
      <w:r>
        <w:t>People with disability are</w:t>
      </w:r>
      <w:r w:rsidR="00211453">
        <w:t xml:space="preserve"> </w:t>
      </w:r>
      <w:r>
        <w:t xml:space="preserve">experts in </w:t>
      </w:r>
      <w:r w:rsidR="00211453">
        <w:t xml:space="preserve">their </w:t>
      </w:r>
      <w:r w:rsidR="00D5223B">
        <w:t>own lives</w:t>
      </w:r>
      <w:r w:rsidR="004A717F">
        <w:t>.</w:t>
      </w:r>
    </w:p>
    <w:p w14:paraId="59166BD1" w14:textId="7353CC8D" w:rsidR="009764E0" w:rsidRDefault="009764E0" w:rsidP="00C93972">
      <w:pPr>
        <w:pStyle w:val="Bullet1"/>
        <w:spacing w:before="120" w:after="120"/>
        <w:contextualSpacing/>
      </w:pPr>
      <w:r>
        <w:t>Continuous improvement is fundamental to high quality support.</w:t>
      </w:r>
    </w:p>
    <w:p w14:paraId="70DB41FE" w14:textId="3950923B" w:rsidR="00843D1E" w:rsidRDefault="00843D1E" w:rsidP="00C93972">
      <w:pPr>
        <w:pStyle w:val="Bullet1"/>
        <w:spacing w:before="120" w:after="120"/>
      </w:pPr>
      <w:r>
        <w:t xml:space="preserve">Best practice is the goal all providers strive </w:t>
      </w:r>
      <w:r w:rsidR="005837D4">
        <w:t>to achieve</w:t>
      </w:r>
      <w:r>
        <w:t>.</w:t>
      </w:r>
    </w:p>
    <w:p w14:paraId="458521E4" w14:textId="17F9BDDF" w:rsidR="003D2294" w:rsidRDefault="003D2294" w:rsidP="00D5223B">
      <w:pPr>
        <w:pStyle w:val="Heading1"/>
      </w:pPr>
      <w:bookmarkStart w:id="10" w:name="_Toc56005166"/>
      <w:r w:rsidRPr="00D5223B">
        <w:t>Components</w:t>
      </w:r>
      <w:bookmarkEnd w:id="10"/>
    </w:p>
    <w:p w14:paraId="39A69380" w14:textId="09B70D25" w:rsidR="00882E3C" w:rsidRDefault="00860F8C" w:rsidP="00C93972">
      <w:pPr>
        <w:spacing w:before="120" w:after="120"/>
      </w:pPr>
      <w:r>
        <w:t>Table</w:t>
      </w:r>
      <w:r w:rsidR="00843D1E">
        <w:t xml:space="preserve"> 1 outlines the components of a practice review</w:t>
      </w:r>
      <w:r w:rsidR="00E837A4">
        <w:t xml:space="preserve"> and where f</w:t>
      </w:r>
      <w:r w:rsidR="00A66590">
        <w:t xml:space="preserve">urther information and tools to assist in doing practice reviews </w:t>
      </w:r>
      <w:r w:rsidR="00E837A4">
        <w:t>can be found</w:t>
      </w:r>
      <w:r w:rsidR="00A66590">
        <w:t>.</w:t>
      </w:r>
    </w:p>
    <w:p w14:paraId="79ED1211" w14:textId="77777777" w:rsidR="00786F58" w:rsidRDefault="00786F58">
      <w:pPr>
        <w:suppressAutoHyphens w:val="0"/>
        <w:spacing w:before="120" w:after="120" w:line="240" w:lineRule="auto"/>
        <w:rPr>
          <w:b/>
          <w:bCs/>
          <w:sz w:val="20"/>
          <w:szCs w:val="18"/>
        </w:rPr>
      </w:pPr>
      <w:r>
        <w:rPr>
          <w:b/>
          <w:bCs/>
          <w:sz w:val="20"/>
          <w:szCs w:val="18"/>
        </w:rPr>
        <w:br w:type="page"/>
      </w:r>
    </w:p>
    <w:p w14:paraId="4316F978" w14:textId="5E80453D" w:rsidR="00E837A4" w:rsidRPr="00E837A4" w:rsidRDefault="00860F8C" w:rsidP="00C93972">
      <w:pPr>
        <w:keepNext/>
        <w:spacing w:before="120" w:after="120"/>
        <w:rPr>
          <w:b/>
          <w:bCs/>
          <w:sz w:val="20"/>
          <w:szCs w:val="18"/>
        </w:rPr>
      </w:pPr>
      <w:r>
        <w:rPr>
          <w:b/>
          <w:bCs/>
          <w:sz w:val="20"/>
          <w:szCs w:val="18"/>
        </w:rPr>
        <w:lastRenderedPageBreak/>
        <w:t>Table</w:t>
      </w:r>
      <w:r w:rsidR="00E837A4" w:rsidRPr="00E837A4">
        <w:rPr>
          <w:b/>
          <w:bCs/>
          <w:sz w:val="20"/>
          <w:szCs w:val="18"/>
        </w:rPr>
        <w:t xml:space="preserve"> 1: </w:t>
      </w:r>
      <w:r w:rsidR="00956697">
        <w:rPr>
          <w:b/>
          <w:bCs/>
          <w:sz w:val="20"/>
          <w:szCs w:val="18"/>
        </w:rPr>
        <w:t>P</w:t>
      </w:r>
      <w:r w:rsidR="00E837A4" w:rsidRPr="00E837A4">
        <w:rPr>
          <w:b/>
          <w:bCs/>
          <w:sz w:val="20"/>
          <w:szCs w:val="18"/>
        </w:rPr>
        <w:t>ractice review components</w:t>
      </w:r>
      <w:r w:rsidR="00956697">
        <w:rPr>
          <w:b/>
          <w:bCs/>
          <w:sz w:val="20"/>
          <w:szCs w:val="18"/>
        </w:rPr>
        <w:t>, and resources and tools</w:t>
      </w:r>
    </w:p>
    <w:tbl>
      <w:tblPr>
        <w:tblStyle w:val="ListTable3-Accent1"/>
        <w:tblW w:w="9072" w:type="dxa"/>
        <w:tblLook w:val="04A0" w:firstRow="1" w:lastRow="0" w:firstColumn="1" w:lastColumn="0" w:noHBand="0" w:noVBand="1"/>
        <w:tblCaption w:val="Practice review components and resources and tools"/>
        <w:tblDescription w:val="COMPONENTS RESOURCES AND TOOLS                           &#10;Defining practice reviews&#10;Practice Review Framework&#10;What is a practice review?&#10;What is a practice review? Easy English&#10;Information for family, carers, and participant supporters&#10;How practice reviews are different  The continuous improvement continuum &#10;When to do a practice review  Building a practice review culture&#10;Indicators and triggers for practice reviews&#10;Who to involve in a practice review Identifying people to participate in a practice review&#10;Who should lead a practice review  &#10;The steps involved in a practice review Consulting with people with disability during a practice review&#10;Engaging people in practice reviews&#10;How to do a practice review&#10;&#10;Questions and prompts to use in a practice review with people with disability &#10;What to do after a practice view Reflection exercise for decision makers&#10;Reflection exercise for practice review participants&#10;Reflection exercise for reviewers&#10;"/>
      </w:tblPr>
      <w:tblGrid>
        <w:gridCol w:w="3544"/>
        <w:gridCol w:w="5528"/>
      </w:tblGrid>
      <w:tr w:rsidR="00674531" w14:paraId="1E8F2F29" w14:textId="77777777" w:rsidTr="00033B3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544" w:type="dxa"/>
            <w:vAlign w:val="bottom"/>
          </w:tcPr>
          <w:p w14:paraId="521FD93D" w14:textId="1D43F24C" w:rsidR="00674531" w:rsidRDefault="0061432C" w:rsidP="00860F8C">
            <w:pPr>
              <w:spacing w:before="120" w:after="120"/>
            </w:pPr>
            <w:r>
              <w:t>COMPONENTS</w:t>
            </w:r>
          </w:p>
        </w:tc>
        <w:tc>
          <w:tcPr>
            <w:tcW w:w="5528" w:type="dxa"/>
          </w:tcPr>
          <w:p w14:paraId="2ADDEB0E" w14:textId="3768DCF3" w:rsidR="00674531" w:rsidRPr="00674531" w:rsidRDefault="00674531" w:rsidP="00786F58">
            <w:pPr>
              <w:suppressAutoHyphens w:val="0"/>
              <w:spacing w:before="120" w:after="120" w:line="240" w:lineRule="auto"/>
              <w:cnfStyle w:val="100000000000" w:firstRow="1" w:lastRow="0" w:firstColumn="0" w:lastColumn="0" w:oddVBand="0" w:evenVBand="0" w:oddHBand="0" w:evenHBand="0" w:firstRowFirstColumn="0" w:firstRowLastColumn="0" w:lastRowFirstColumn="0" w:lastRowLastColumn="0"/>
            </w:pPr>
            <w:r>
              <w:t>RESOURCES AND TOOLS</w:t>
            </w:r>
            <w:r w:rsidR="00B5528A">
              <w:t xml:space="preserve"> </w:t>
            </w:r>
          </w:p>
        </w:tc>
      </w:tr>
      <w:tr w:rsidR="00674531" w14:paraId="137C2750" w14:textId="77777777" w:rsidTr="00860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1100C3E" w14:textId="5A3710FD" w:rsidR="00674531" w:rsidRDefault="00A47E5F" w:rsidP="001D1D56">
            <w:pPr>
              <w:spacing w:before="120" w:after="120"/>
            </w:pPr>
            <w:r>
              <w:t>Defining practice reviews</w:t>
            </w:r>
          </w:p>
          <w:p w14:paraId="56B14A46" w14:textId="044DFC1D" w:rsidR="00674531" w:rsidRDefault="00674531" w:rsidP="001D1D56">
            <w:pPr>
              <w:suppressAutoHyphens w:val="0"/>
              <w:spacing w:before="120" w:after="120" w:line="240" w:lineRule="auto"/>
            </w:pPr>
          </w:p>
        </w:tc>
        <w:tc>
          <w:tcPr>
            <w:tcW w:w="5528" w:type="dxa"/>
          </w:tcPr>
          <w:p w14:paraId="2568B99D" w14:textId="1DD8C0D7" w:rsidR="00674531" w:rsidRPr="001D1D56" w:rsidRDefault="00674531" w:rsidP="001D1D56">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auto"/>
              </w:rPr>
            </w:pPr>
            <w:r w:rsidRPr="001D1D56">
              <w:rPr>
                <w:i/>
                <w:iCs/>
                <w:color w:val="auto"/>
              </w:rPr>
              <w:t>Practice Review Framework</w:t>
            </w:r>
          </w:p>
          <w:p w14:paraId="56D99AE1" w14:textId="1909BB72" w:rsidR="00674531" w:rsidRPr="001D1D56" w:rsidRDefault="00674531" w:rsidP="001D1D56">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auto"/>
              </w:rPr>
            </w:pPr>
            <w:r w:rsidRPr="001D1D56">
              <w:rPr>
                <w:i/>
                <w:iCs/>
                <w:color w:val="auto"/>
              </w:rPr>
              <w:t>What is a practice review?</w:t>
            </w:r>
          </w:p>
          <w:p w14:paraId="74FD3225" w14:textId="77777777" w:rsidR="00674531" w:rsidRPr="001D1D56" w:rsidRDefault="00674531" w:rsidP="001D1D56">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auto"/>
              </w:rPr>
            </w:pPr>
            <w:r w:rsidRPr="001D1D56">
              <w:rPr>
                <w:i/>
                <w:iCs/>
                <w:color w:val="auto"/>
              </w:rPr>
              <w:t>What is a practice review? Easy English</w:t>
            </w:r>
          </w:p>
          <w:p w14:paraId="6A7B33B9" w14:textId="7A8B885B" w:rsidR="00674531" w:rsidRPr="001D1D56" w:rsidRDefault="00674531" w:rsidP="001D1D56">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auto"/>
              </w:rPr>
            </w:pPr>
            <w:r w:rsidRPr="001D1D56">
              <w:rPr>
                <w:i/>
                <w:iCs/>
                <w:color w:val="auto"/>
              </w:rPr>
              <w:t xml:space="preserve">Information for </w:t>
            </w:r>
            <w:r w:rsidR="00BA797E">
              <w:rPr>
                <w:i/>
                <w:iCs/>
                <w:color w:val="auto"/>
              </w:rPr>
              <w:t>family</w:t>
            </w:r>
            <w:r w:rsidRPr="001D1D56">
              <w:rPr>
                <w:i/>
                <w:iCs/>
                <w:color w:val="auto"/>
              </w:rPr>
              <w:t>, carers, and participant s</w:t>
            </w:r>
            <w:r w:rsidR="00BA797E">
              <w:rPr>
                <w:i/>
                <w:iCs/>
                <w:color w:val="auto"/>
              </w:rPr>
              <w:t>upporters</w:t>
            </w:r>
          </w:p>
        </w:tc>
      </w:tr>
      <w:tr w:rsidR="00674531" w14:paraId="7B9A91B9" w14:textId="77777777" w:rsidTr="00860F8C">
        <w:trPr>
          <w:trHeight w:val="794"/>
        </w:trPr>
        <w:tc>
          <w:tcPr>
            <w:cnfStyle w:val="001000000000" w:firstRow="0" w:lastRow="0" w:firstColumn="1" w:lastColumn="0" w:oddVBand="0" w:evenVBand="0" w:oddHBand="0" w:evenHBand="0" w:firstRowFirstColumn="0" w:firstRowLastColumn="0" w:lastRowFirstColumn="0" w:lastRowLastColumn="0"/>
            <w:tcW w:w="3544" w:type="dxa"/>
          </w:tcPr>
          <w:p w14:paraId="1CFCD925" w14:textId="32FF0E3F" w:rsidR="00674531" w:rsidRDefault="00674531" w:rsidP="001D1D56">
            <w:pPr>
              <w:spacing w:before="120" w:after="120"/>
            </w:pPr>
            <w:r>
              <w:t xml:space="preserve">How practice reviews are different </w:t>
            </w:r>
          </w:p>
        </w:tc>
        <w:tc>
          <w:tcPr>
            <w:tcW w:w="5528" w:type="dxa"/>
          </w:tcPr>
          <w:p w14:paraId="2B2312F2" w14:textId="7FE306B7" w:rsidR="00674531" w:rsidRPr="001D1D56" w:rsidRDefault="00674531" w:rsidP="001D1D56">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i/>
                <w:iCs/>
                <w:color w:val="auto"/>
              </w:rPr>
            </w:pPr>
            <w:r w:rsidRPr="001D1D56">
              <w:rPr>
                <w:i/>
                <w:iCs/>
                <w:color w:val="auto"/>
              </w:rPr>
              <w:t xml:space="preserve">The continuous improvement continuum </w:t>
            </w:r>
          </w:p>
        </w:tc>
      </w:tr>
      <w:tr w:rsidR="00674531" w14:paraId="19B02ED5" w14:textId="77777777" w:rsidTr="00860F8C">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544" w:type="dxa"/>
          </w:tcPr>
          <w:p w14:paraId="73D54ECE" w14:textId="303549E3" w:rsidR="00674531" w:rsidRDefault="00674531" w:rsidP="001D1D56">
            <w:pPr>
              <w:spacing w:before="120" w:after="120"/>
            </w:pPr>
            <w:r w:rsidRPr="005C205F">
              <w:t xml:space="preserve">When </w:t>
            </w:r>
            <w:r>
              <w:t xml:space="preserve">to do a </w:t>
            </w:r>
            <w:r w:rsidRPr="005C205F">
              <w:t>practice review</w:t>
            </w:r>
            <w:r>
              <w:t xml:space="preserve"> </w:t>
            </w:r>
          </w:p>
        </w:tc>
        <w:tc>
          <w:tcPr>
            <w:tcW w:w="5528" w:type="dxa"/>
          </w:tcPr>
          <w:p w14:paraId="3571B149" w14:textId="65AB00BA" w:rsidR="00BA797E" w:rsidRDefault="00BA797E" w:rsidP="00BA797E">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auto"/>
              </w:rPr>
            </w:pPr>
            <w:r>
              <w:rPr>
                <w:i/>
                <w:iCs/>
                <w:color w:val="auto"/>
              </w:rPr>
              <w:t>Building a</w:t>
            </w:r>
            <w:r w:rsidRPr="001D1D56">
              <w:rPr>
                <w:i/>
                <w:iCs/>
                <w:color w:val="auto"/>
              </w:rPr>
              <w:t xml:space="preserve"> practice review</w:t>
            </w:r>
            <w:r>
              <w:rPr>
                <w:i/>
                <w:iCs/>
                <w:color w:val="auto"/>
              </w:rPr>
              <w:t xml:space="preserve"> culture</w:t>
            </w:r>
          </w:p>
          <w:p w14:paraId="593D248E" w14:textId="55FB172C" w:rsidR="00674531" w:rsidRPr="001D1D56" w:rsidRDefault="00BA797E" w:rsidP="001D1D56">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auto"/>
              </w:rPr>
            </w:pPr>
            <w:r>
              <w:rPr>
                <w:i/>
                <w:iCs/>
                <w:color w:val="auto"/>
              </w:rPr>
              <w:t>I</w:t>
            </w:r>
            <w:r w:rsidR="00674531" w:rsidRPr="001D1D56">
              <w:rPr>
                <w:i/>
                <w:iCs/>
                <w:color w:val="auto"/>
              </w:rPr>
              <w:t>ndicators and triggers</w:t>
            </w:r>
            <w:r>
              <w:rPr>
                <w:i/>
                <w:iCs/>
                <w:color w:val="auto"/>
              </w:rPr>
              <w:t xml:space="preserve"> for practice reviews</w:t>
            </w:r>
          </w:p>
        </w:tc>
      </w:tr>
      <w:tr w:rsidR="00674531" w14:paraId="02F6DCE4" w14:textId="77777777" w:rsidTr="00860F8C">
        <w:tc>
          <w:tcPr>
            <w:cnfStyle w:val="001000000000" w:firstRow="0" w:lastRow="0" w:firstColumn="1" w:lastColumn="0" w:oddVBand="0" w:evenVBand="0" w:oddHBand="0" w:evenHBand="0" w:firstRowFirstColumn="0" w:firstRowLastColumn="0" w:lastRowFirstColumn="0" w:lastRowLastColumn="0"/>
            <w:tcW w:w="3544" w:type="dxa"/>
          </w:tcPr>
          <w:p w14:paraId="170173A7" w14:textId="227C9CB4" w:rsidR="00674531" w:rsidRDefault="00674531" w:rsidP="001D1D56">
            <w:pPr>
              <w:spacing w:before="120" w:after="120"/>
            </w:pPr>
            <w:r>
              <w:t>Who to involve in a practice revie</w:t>
            </w:r>
            <w:r w:rsidR="001D1D56">
              <w:t>w</w:t>
            </w:r>
          </w:p>
        </w:tc>
        <w:tc>
          <w:tcPr>
            <w:tcW w:w="5528" w:type="dxa"/>
          </w:tcPr>
          <w:p w14:paraId="5E08B1EA" w14:textId="1CB4E69A" w:rsidR="00860F8C" w:rsidRDefault="00BA797E" w:rsidP="001D1D56">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i/>
                <w:iCs/>
                <w:color w:val="auto"/>
              </w:rPr>
            </w:pPr>
            <w:r>
              <w:rPr>
                <w:i/>
                <w:iCs/>
                <w:color w:val="auto"/>
              </w:rPr>
              <w:t>Identifying people to participate in a practice review</w:t>
            </w:r>
          </w:p>
          <w:p w14:paraId="2DBE9214" w14:textId="4AFC7029" w:rsidR="00674531" w:rsidRPr="001D1D56" w:rsidRDefault="00BA797E" w:rsidP="001D1D56">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i/>
                <w:iCs/>
                <w:color w:val="auto"/>
              </w:rPr>
            </w:pPr>
            <w:r>
              <w:rPr>
                <w:i/>
                <w:iCs/>
                <w:color w:val="auto"/>
              </w:rPr>
              <w:t>Who should lead a practice review</w:t>
            </w:r>
            <w:r w:rsidR="00530BA4">
              <w:rPr>
                <w:i/>
                <w:iCs/>
                <w:color w:val="auto"/>
              </w:rPr>
              <w:t xml:space="preserve"> </w:t>
            </w:r>
            <w:r w:rsidR="00674531" w:rsidRPr="001D1D56">
              <w:rPr>
                <w:i/>
                <w:iCs/>
                <w:color w:val="auto"/>
              </w:rPr>
              <w:t xml:space="preserve"> </w:t>
            </w:r>
          </w:p>
        </w:tc>
      </w:tr>
      <w:tr w:rsidR="00674531" w14:paraId="27EFD94D" w14:textId="77777777" w:rsidTr="00860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384BF37" w14:textId="4FBB8B5F" w:rsidR="00674531" w:rsidRDefault="00530BA4" w:rsidP="001D53EC">
            <w:pPr>
              <w:spacing w:before="120" w:after="120"/>
            </w:pPr>
            <w:r>
              <w:t>The steps involved in a practice review</w:t>
            </w:r>
          </w:p>
        </w:tc>
        <w:tc>
          <w:tcPr>
            <w:tcW w:w="5528" w:type="dxa"/>
          </w:tcPr>
          <w:p w14:paraId="7C84EE51" w14:textId="77777777" w:rsidR="00BA797E" w:rsidRDefault="00BA797E" w:rsidP="001D1D56">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auto"/>
              </w:rPr>
            </w:pPr>
            <w:r>
              <w:rPr>
                <w:i/>
                <w:iCs/>
                <w:color w:val="auto"/>
              </w:rPr>
              <w:t>Consulting with people with disability during a practice review</w:t>
            </w:r>
          </w:p>
          <w:p w14:paraId="66AE4200" w14:textId="77777777" w:rsidR="00BA797E" w:rsidRPr="001D1D56" w:rsidRDefault="00BA797E" w:rsidP="00BA797E">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auto"/>
              </w:rPr>
            </w:pPr>
            <w:r>
              <w:rPr>
                <w:i/>
                <w:iCs/>
                <w:color w:val="auto"/>
              </w:rPr>
              <w:t xml:space="preserve">Engaging </w:t>
            </w:r>
            <w:r w:rsidRPr="001D1D56">
              <w:rPr>
                <w:i/>
                <w:iCs/>
                <w:color w:val="auto"/>
              </w:rPr>
              <w:t xml:space="preserve">people </w:t>
            </w:r>
            <w:r>
              <w:rPr>
                <w:i/>
                <w:iCs/>
                <w:color w:val="auto"/>
              </w:rPr>
              <w:t>in practice reviews</w:t>
            </w:r>
          </w:p>
          <w:p w14:paraId="3B4AEEA9" w14:textId="6384E653" w:rsidR="00530BA4" w:rsidRDefault="00530BA4" w:rsidP="001D1D56">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auto"/>
              </w:rPr>
            </w:pPr>
            <w:r>
              <w:rPr>
                <w:i/>
                <w:iCs/>
                <w:color w:val="auto"/>
              </w:rPr>
              <w:t>How to do a practice review</w:t>
            </w:r>
          </w:p>
          <w:p w14:paraId="72D837A3" w14:textId="5167ADFC" w:rsidR="00674531" w:rsidRPr="001D1D56" w:rsidRDefault="00674531" w:rsidP="001D1D56">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auto"/>
              </w:rPr>
            </w:pPr>
          </w:p>
          <w:p w14:paraId="26A87727" w14:textId="02FF60E8" w:rsidR="00674531" w:rsidRPr="001D1D56" w:rsidRDefault="00674531" w:rsidP="001D1D56">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auto"/>
              </w:rPr>
            </w:pPr>
            <w:r w:rsidRPr="001D1D56">
              <w:rPr>
                <w:i/>
                <w:iCs/>
                <w:color w:val="auto"/>
              </w:rPr>
              <w:t xml:space="preserve">Questions and prompts </w:t>
            </w:r>
            <w:r w:rsidR="00BA797E">
              <w:rPr>
                <w:i/>
                <w:iCs/>
                <w:color w:val="auto"/>
              </w:rPr>
              <w:t>to use in a practice review with people with disability</w:t>
            </w:r>
            <w:r w:rsidRPr="001D1D56">
              <w:rPr>
                <w:i/>
                <w:iCs/>
                <w:color w:val="auto"/>
              </w:rPr>
              <w:t xml:space="preserve"> </w:t>
            </w:r>
          </w:p>
        </w:tc>
      </w:tr>
      <w:tr w:rsidR="00674531" w14:paraId="1C460750" w14:textId="77777777" w:rsidTr="00860F8C">
        <w:trPr>
          <w:trHeight w:val="794"/>
        </w:trPr>
        <w:tc>
          <w:tcPr>
            <w:cnfStyle w:val="001000000000" w:firstRow="0" w:lastRow="0" w:firstColumn="1" w:lastColumn="0" w:oddVBand="0" w:evenVBand="0" w:oddHBand="0" w:evenHBand="0" w:firstRowFirstColumn="0" w:firstRowLastColumn="0" w:lastRowFirstColumn="0" w:lastRowLastColumn="0"/>
            <w:tcW w:w="3544" w:type="dxa"/>
          </w:tcPr>
          <w:p w14:paraId="37703969" w14:textId="1ABCECDC" w:rsidR="00674531" w:rsidRDefault="00674531" w:rsidP="001D1D56">
            <w:pPr>
              <w:suppressAutoHyphens w:val="0"/>
              <w:spacing w:before="120" w:after="120" w:line="240" w:lineRule="auto"/>
            </w:pPr>
            <w:r>
              <w:t>What to do after a practice view</w:t>
            </w:r>
          </w:p>
        </w:tc>
        <w:tc>
          <w:tcPr>
            <w:tcW w:w="5528" w:type="dxa"/>
          </w:tcPr>
          <w:p w14:paraId="5A19CDF1" w14:textId="088640E9" w:rsidR="00BA797E" w:rsidRDefault="00BA797E" w:rsidP="001D1D56">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i/>
                <w:iCs/>
                <w:color w:val="auto"/>
              </w:rPr>
            </w:pPr>
            <w:r>
              <w:rPr>
                <w:i/>
                <w:iCs/>
                <w:color w:val="auto"/>
              </w:rPr>
              <w:t>R</w:t>
            </w:r>
            <w:r w:rsidR="00674531" w:rsidRPr="001D1D56">
              <w:rPr>
                <w:i/>
                <w:iCs/>
                <w:color w:val="auto"/>
              </w:rPr>
              <w:t>eflection</w:t>
            </w:r>
            <w:r>
              <w:rPr>
                <w:i/>
                <w:iCs/>
                <w:color w:val="auto"/>
              </w:rPr>
              <w:t xml:space="preserve"> exercise for decision makers</w:t>
            </w:r>
          </w:p>
          <w:p w14:paraId="49CE6A56" w14:textId="77777777" w:rsidR="00BA797E" w:rsidRDefault="00BA797E" w:rsidP="001D1D56">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i/>
                <w:iCs/>
                <w:color w:val="auto"/>
              </w:rPr>
            </w:pPr>
            <w:r>
              <w:rPr>
                <w:i/>
                <w:iCs/>
                <w:color w:val="auto"/>
              </w:rPr>
              <w:t>Reflection exercise for practice review participants</w:t>
            </w:r>
          </w:p>
          <w:p w14:paraId="67575433" w14:textId="1E509807" w:rsidR="00674531" w:rsidRPr="001D1D56" w:rsidRDefault="00BA797E" w:rsidP="001D1D56">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i/>
                <w:iCs/>
                <w:color w:val="auto"/>
              </w:rPr>
            </w:pPr>
            <w:r>
              <w:rPr>
                <w:i/>
                <w:iCs/>
                <w:color w:val="auto"/>
              </w:rPr>
              <w:t>Reflection exercise for reviewers</w:t>
            </w:r>
            <w:r w:rsidR="00674531" w:rsidRPr="001D1D56">
              <w:rPr>
                <w:i/>
                <w:iCs/>
                <w:color w:val="auto"/>
              </w:rPr>
              <w:t xml:space="preserve"> </w:t>
            </w:r>
          </w:p>
        </w:tc>
      </w:tr>
    </w:tbl>
    <w:p w14:paraId="667F809B" w14:textId="20F7698F" w:rsidR="00BD2ED3" w:rsidRDefault="00BD2ED3">
      <w:pPr>
        <w:suppressAutoHyphens w:val="0"/>
        <w:spacing w:before="120" w:after="120" w:line="240" w:lineRule="auto"/>
        <w:rPr>
          <w:rFonts w:ascii="Calibri" w:eastAsia="Arial Unicode MS" w:hAnsi="Calibri" w:cs="Arial Unicode MS"/>
          <w:b/>
          <w:bCs/>
          <w:color w:val="612C69"/>
          <w:sz w:val="10"/>
          <w:szCs w:val="10"/>
          <w:bdr w:val="nil"/>
          <w:lang w:val="en-US" w:eastAsia="en-AU"/>
          <w14:textOutline w14:w="0" w14:cap="flat" w14:cmpd="sng" w14:algn="ctr">
            <w14:noFill/>
            <w14:prstDash w14:val="solid"/>
            <w14:bevel/>
          </w14:textOutline>
        </w:rPr>
      </w:pPr>
    </w:p>
    <w:p w14:paraId="7FA38809" w14:textId="77777777" w:rsidR="001973A0" w:rsidRDefault="001973A0">
      <w:pPr>
        <w:suppressAutoHyphens w:val="0"/>
        <w:spacing w:before="120" w:after="120" w:line="240" w:lineRule="auto"/>
        <w:rPr>
          <w:rFonts w:asciiTheme="majorHAnsi" w:eastAsiaTheme="majorEastAsia" w:hAnsiTheme="majorHAnsi" w:cstheme="majorBidi"/>
          <w:b/>
          <w:color w:val="85367B"/>
          <w:sz w:val="34"/>
          <w:szCs w:val="34"/>
        </w:rPr>
      </w:pPr>
      <w:r>
        <w:br w:type="page"/>
      </w:r>
    </w:p>
    <w:p w14:paraId="148F10B1" w14:textId="29B6474D" w:rsidR="001973A0" w:rsidRDefault="001973A0" w:rsidP="001973A0">
      <w:pPr>
        <w:pStyle w:val="Heading1"/>
      </w:pPr>
      <w:bookmarkStart w:id="11" w:name="_Toc56005167"/>
      <w:r>
        <w:lastRenderedPageBreak/>
        <w:t>Regulatory obligations</w:t>
      </w:r>
      <w:bookmarkEnd w:id="11"/>
      <w:r>
        <w:t xml:space="preserve"> </w:t>
      </w:r>
    </w:p>
    <w:p w14:paraId="4F800A3A" w14:textId="4F0D4417" w:rsidR="001973A0" w:rsidRDefault="001973A0" w:rsidP="00292E23">
      <w:pPr>
        <w:spacing w:before="120" w:after="120" w:line="240" w:lineRule="auto"/>
      </w:pPr>
      <w:r>
        <w:t>It is important that registered NDIS providers understand that their obligations to meet regulatory requirements are separate and distinct from undertaking practice reviews.</w:t>
      </w:r>
    </w:p>
    <w:p w14:paraId="45B3A4D4" w14:textId="6E8ECD10" w:rsidR="00B474B4" w:rsidRDefault="00541775" w:rsidP="00292E23">
      <w:pPr>
        <w:spacing w:before="120" w:after="120" w:line="240" w:lineRule="auto"/>
      </w:pPr>
      <w:r>
        <w:t xml:space="preserve">Registered </w:t>
      </w:r>
      <w:r w:rsidR="00BE205B">
        <w:t>NDIS providers are required to implement and maintain</w:t>
      </w:r>
      <w:r w:rsidR="00E66A88">
        <w:t xml:space="preserve"> </w:t>
      </w:r>
      <w:r w:rsidR="00BE205B">
        <w:t xml:space="preserve">incident management </w:t>
      </w:r>
      <w:r w:rsidR="00E66A88">
        <w:t>systems</w:t>
      </w:r>
      <w:r w:rsidR="00BE205B">
        <w:t xml:space="preserve"> that enable the identification of systemic issues and drive improvements in the quality of the supports they deliver. </w:t>
      </w:r>
      <w:r w:rsidR="00B474B4">
        <w:t xml:space="preserve">Registered providers must also notify, investigate and respond to reportable incidents. </w:t>
      </w:r>
    </w:p>
    <w:p w14:paraId="41BBDF99" w14:textId="77777777" w:rsidR="00E66A88" w:rsidRDefault="00BE205B" w:rsidP="00292E23">
      <w:pPr>
        <w:spacing w:before="120" w:after="120" w:line="240" w:lineRule="auto"/>
        <w:rPr>
          <w:rFonts w:cstheme="minorHAnsi"/>
          <w:szCs w:val="22"/>
        </w:rPr>
      </w:pPr>
      <w:r>
        <w:t>The</w:t>
      </w:r>
      <w:r w:rsidR="001973A0">
        <w:t xml:space="preserve"> </w:t>
      </w:r>
      <w:r w:rsidR="001973A0" w:rsidRPr="00290074">
        <w:rPr>
          <w:i/>
          <w:iCs/>
        </w:rPr>
        <w:t>National Disability Insurance Scheme (Incident Management and Reportable Incidents) Rules 2018</w:t>
      </w:r>
      <w:r>
        <w:t xml:space="preserve"> </w:t>
      </w:r>
      <w:r w:rsidRPr="00B474B4">
        <w:rPr>
          <w:rFonts w:cstheme="minorHAnsi"/>
          <w:szCs w:val="22"/>
        </w:rPr>
        <w:t xml:space="preserve">sets out the </w:t>
      </w:r>
      <w:r w:rsidR="00B474B4" w:rsidRPr="00B474B4">
        <w:rPr>
          <w:rFonts w:cstheme="minorHAnsi"/>
          <w:szCs w:val="22"/>
        </w:rPr>
        <w:t xml:space="preserve">specific </w:t>
      </w:r>
      <w:r w:rsidRPr="00B474B4">
        <w:rPr>
          <w:rFonts w:cstheme="minorHAnsi"/>
          <w:szCs w:val="22"/>
        </w:rPr>
        <w:t>requirements of registered NDIS providers</w:t>
      </w:r>
      <w:r w:rsidR="00E66A88">
        <w:rPr>
          <w:rFonts w:cstheme="minorHAnsi"/>
          <w:szCs w:val="22"/>
        </w:rPr>
        <w:t xml:space="preserve"> i</w:t>
      </w:r>
      <w:r w:rsidR="00E66A88" w:rsidRPr="00E66A88">
        <w:rPr>
          <w:rFonts w:cstheme="minorHAnsi"/>
          <w:szCs w:val="22"/>
        </w:rPr>
        <w:t>n relation to i</w:t>
      </w:r>
      <w:r w:rsidR="002C0D69" w:rsidRPr="00E66A88">
        <w:rPr>
          <w:rFonts w:cstheme="minorHAnsi"/>
          <w:szCs w:val="22"/>
        </w:rPr>
        <w:t>ncident management system</w:t>
      </w:r>
      <w:r w:rsidR="00E66A88">
        <w:rPr>
          <w:rFonts w:cstheme="minorHAnsi"/>
          <w:szCs w:val="22"/>
        </w:rPr>
        <w:t>s. These</w:t>
      </w:r>
      <w:r w:rsidR="002C0D69" w:rsidRPr="00E66A88">
        <w:rPr>
          <w:rFonts w:cstheme="minorHAnsi"/>
          <w:szCs w:val="22"/>
        </w:rPr>
        <w:t xml:space="preserve"> </w:t>
      </w:r>
      <w:r w:rsidR="00E66A88" w:rsidRPr="00E66A88">
        <w:rPr>
          <w:rFonts w:cstheme="minorHAnsi"/>
          <w:szCs w:val="22"/>
        </w:rPr>
        <w:t>include, among other things, assessing all incidents that occur, considering the views of persons with disability affected by the incident</w:t>
      </w:r>
      <w:r w:rsidR="00E66A88">
        <w:rPr>
          <w:rFonts w:cstheme="minorHAnsi"/>
          <w:szCs w:val="22"/>
        </w:rPr>
        <w:t>, in relation to:</w:t>
      </w:r>
    </w:p>
    <w:p w14:paraId="64CE1350" w14:textId="77777777" w:rsidR="00E66A88" w:rsidRPr="00E66A88" w:rsidRDefault="00E66A88" w:rsidP="00292E23">
      <w:pPr>
        <w:pStyle w:val="ListParagraph"/>
        <w:numPr>
          <w:ilvl w:val="0"/>
          <w:numId w:val="49"/>
        </w:numPr>
        <w:spacing w:after="120"/>
        <w:ind w:left="771" w:hanging="357"/>
        <w:rPr>
          <w:rFonts w:cstheme="minorHAnsi"/>
          <w:sz w:val="22"/>
          <w:szCs w:val="22"/>
        </w:rPr>
      </w:pPr>
      <w:r w:rsidRPr="00E66A88">
        <w:rPr>
          <w:rFonts w:cstheme="minorHAnsi"/>
          <w:sz w:val="22"/>
          <w:szCs w:val="22"/>
        </w:rPr>
        <w:t xml:space="preserve">whether the incident could have been prevented, </w:t>
      </w:r>
    </w:p>
    <w:p w14:paraId="6DB7DF72" w14:textId="244B65A8" w:rsidR="00E66A88" w:rsidRPr="00E66A88" w:rsidRDefault="00E66A88" w:rsidP="00292E23">
      <w:pPr>
        <w:pStyle w:val="ListParagraph"/>
        <w:numPr>
          <w:ilvl w:val="0"/>
          <w:numId w:val="49"/>
        </w:numPr>
        <w:spacing w:before="120" w:after="120"/>
        <w:rPr>
          <w:rFonts w:cstheme="minorHAnsi"/>
          <w:sz w:val="22"/>
          <w:szCs w:val="22"/>
        </w:rPr>
      </w:pPr>
      <w:r w:rsidRPr="00E66A88">
        <w:rPr>
          <w:rFonts w:cstheme="minorHAnsi"/>
          <w:sz w:val="22"/>
          <w:szCs w:val="22"/>
        </w:rPr>
        <w:t xml:space="preserve">how well the incident was managed and resolved, </w:t>
      </w:r>
    </w:p>
    <w:p w14:paraId="427357F5" w14:textId="18FB69D7" w:rsidR="00E66A88" w:rsidRPr="00E66A88" w:rsidRDefault="00E66A88" w:rsidP="00292E23">
      <w:pPr>
        <w:pStyle w:val="ListParagraph"/>
        <w:numPr>
          <w:ilvl w:val="0"/>
          <w:numId w:val="49"/>
        </w:numPr>
        <w:spacing w:before="120" w:after="120"/>
        <w:rPr>
          <w:rFonts w:cstheme="minorHAnsi"/>
          <w:sz w:val="22"/>
          <w:szCs w:val="22"/>
        </w:rPr>
      </w:pPr>
      <w:r w:rsidRPr="00E66A88">
        <w:rPr>
          <w:rFonts w:cstheme="minorHAnsi"/>
          <w:sz w:val="22"/>
          <w:szCs w:val="22"/>
        </w:rPr>
        <w:t>any remedial action needed to prevent further similar incidents from occurring or to minimise their impact and</w:t>
      </w:r>
    </w:p>
    <w:p w14:paraId="27CE4B0B" w14:textId="412ADB1B" w:rsidR="00E66A88" w:rsidRPr="00E66A88" w:rsidRDefault="00E66A88" w:rsidP="00E66A88">
      <w:pPr>
        <w:pStyle w:val="ListParagraph"/>
        <w:numPr>
          <w:ilvl w:val="0"/>
          <w:numId w:val="49"/>
        </w:numPr>
        <w:rPr>
          <w:rFonts w:cstheme="minorHAnsi"/>
          <w:sz w:val="22"/>
          <w:szCs w:val="22"/>
        </w:rPr>
      </w:pPr>
      <w:r w:rsidRPr="00E66A88">
        <w:rPr>
          <w:rFonts w:cstheme="minorHAnsi"/>
          <w:sz w:val="22"/>
          <w:szCs w:val="22"/>
        </w:rPr>
        <w:t xml:space="preserve">whether other persons or bodies need to be notified of the incident.  </w:t>
      </w:r>
    </w:p>
    <w:p w14:paraId="7E15282F" w14:textId="2E58E268" w:rsidR="001973A0" w:rsidRDefault="00ED0990" w:rsidP="00C93972">
      <w:pPr>
        <w:spacing w:before="120" w:after="120" w:line="240" w:lineRule="auto"/>
        <w:rPr>
          <w:rFonts w:cstheme="minorHAnsi"/>
          <w:szCs w:val="22"/>
        </w:rPr>
      </w:pPr>
      <w:r>
        <w:rPr>
          <w:rFonts w:cstheme="minorHAnsi"/>
          <w:szCs w:val="22"/>
        </w:rPr>
        <w:t xml:space="preserve">Registered providers must also have </w:t>
      </w:r>
      <w:r w:rsidR="002C0D69">
        <w:rPr>
          <w:rFonts w:cstheme="minorHAnsi"/>
          <w:szCs w:val="22"/>
        </w:rPr>
        <w:t xml:space="preserve">procedures </w:t>
      </w:r>
      <w:r w:rsidR="00E66A88">
        <w:rPr>
          <w:rFonts w:cstheme="minorHAnsi"/>
          <w:szCs w:val="22"/>
        </w:rPr>
        <w:t xml:space="preserve">in place </w:t>
      </w:r>
      <w:r w:rsidR="002C0D69">
        <w:rPr>
          <w:rFonts w:cstheme="minorHAnsi"/>
          <w:szCs w:val="22"/>
        </w:rPr>
        <w:t>that specify when an i</w:t>
      </w:r>
      <w:r w:rsidR="002C0D69" w:rsidRPr="002C0D69">
        <w:rPr>
          <w:rFonts w:cstheme="minorHAnsi"/>
          <w:szCs w:val="22"/>
        </w:rPr>
        <w:t xml:space="preserve">nvestigation by the provider is </w:t>
      </w:r>
      <w:r w:rsidR="00B474B4" w:rsidRPr="002C0D69">
        <w:rPr>
          <w:rFonts w:cstheme="minorHAnsi"/>
          <w:szCs w:val="22"/>
        </w:rPr>
        <w:t>required</w:t>
      </w:r>
      <w:r w:rsidR="00E66A88">
        <w:rPr>
          <w:rFonts w:cstheme="minorHAnsi"/>
          <w:szCs w:val="22"/>
        </w:rPr>
        <w:t xml:space="preserve"> to establish the causes of a particular incident, its effect and any operational issues that may have contributed to the incident occurring</w:t>
      </w:r>
      <w:r w:rsidR="001973A0" w:rsidRPr="00B474B4">
        <w:rPr>
          <w:rFonts w:cstheme="minorHAnsi"/>
          <w:szCs w:val="22"/>
        </w:rPr>
        <w:t>.</w:t>
      </w:r>
    </w:p>
    <w:p w14:paraId="77F3473F" w14:textId="0B602BF5" w:rsidR="001973A0" w:rsidRDefault="00ED0990" w:rsidP="00C93972">
      <w:pPr>
        <w:spacing w:before="120" w:after="120" w:line="240" w:lineRule="auto"/>
        <w:rPr>
          <w:rFonts w:cstheme="minorHAnsi"/>
          <w:szCs w:val="22"/>
        </w:rPr>
      </w:pPr>
      <w:r>
        <w:rPr>
          <w:rFonts w:cstheme="minorHAnsi"/>
          <w:szCs w:val="22"/>
        </w:rPr>
        <w:t xml:space="preserve">In relation to reportable incidents, the NDIS Commission may, among other things, </w:t>
      </w:r>
      <w:r w:rsidR="001973A0" w:rsidRPr="00ED0990">
        <w:rPr>
          <w:rFonts w:cstheme="minorHAnsi"/>
          <w:szCs w:val="22"/>
        </w:rPr>
        <w:t>requir</w:t>
      </w:r>
      <w:r w:rsidRPr="00ED0990">
        <w:rPr>
          <w:rFonts w:cstheme="minorHAnsi"/>
          <w:szCs w:val="22"/>
        </w:rPr>
        <w:t>e</w:t>
      </w:r>
      <w:r w:rsidR="001973A0" w:rsidRPr="00ED0990">
        <w:rPr>
          <w:rFonts w:cstheme="minorHAnsi"/>
          <w:szCs w:val="22"/>
        </w:rPr>
        <w:t xml:space="preserve"> a provider to carry out an internal investigation in relation to an incident</w:t>
      </w:r>
      <w:r>
        <w:rPr>
          <w:rFonts w:cstheme="minorHAnsi"/>
          <w:szCs w:val="22"/>
        </w:rPr>
        <w:t xml:space="preserve"> or </w:t>
      </w:r>
      <w:r w:rsidR="001973A0" w:rsidRPr="00F81D0A">
        <w:rPr>
          <w:rFonts w:cstheme="minorHAnsi"/>
          <w:szCs w:val="22"/>
        </w:rPr>
        <w:t>requir</w:t>
      </w:r>
      <w:r>
        <w:rPr>
          <w:rFonts w:cstheme="minorHAnsi"/>
          <w:szCs w:val="22"/>
        </w:rPr>
        <w:t>e</w:t>
      </w:r>
      <w:r w:rsidR="001973A0" w:rsidRPr="00F81D0A">
        <w:rPr>
          <w:rFonts w:cstheme="minorHAnsi"/>
          <w:szCs w:val="22"/>
        </w:rPr>
        <w:t xml:space="preserve"> a provider to engage an appropriately qualified and independent expert to carry out an investiga</w:t>
      </w:r>
      <w:r>
        <w:rPr>
          <w:rFonts w:cstheme="minorHAnsi"/>
          <w:szCs w:val="22"/>
        </w:rPr>
        <w:t xml:space="preserve">tion in relation to an incident. </w:t>
      </w:r>
    </w:p>
    <w:p w14:paraId="3DD9E229" w14:textId="05A14901" w:rsidR="001973A0" w:rsidRPr="00F81D0A" w:rsidRDefault="00ED0990" w:rsidP="00C93972">
      <w:pPr>
        <w:spacing w:before="120" w:after="120" w:line="240" w:lineRule="auto"/>
        <w:rPr>
          <w:rFonts w:cstheme="minorHAnsi"/>
          <w:b/>
          <w:bCs/>
          <w:szCs w:val="22"/>
        </w:rPr>
      </w:pPr>
      <w:r>
        <w:rPr>
          <w:rFonts w:cstheme="minorHAnsi"/>
          <w:szCs w:val="22"/>
        </w:rPr>
        <w:t xml:space="preserve">Undertaking a practice review does not replace these regulatory obligations. However, practice reviews </w:t>
      </w:r>
      <w:r w:rsidR="009F1968">
        <w:rPr>
          <w:rFonts w:cstheme="minorHAnsi"/>
          <w:szCs w:val="22"/>
        </w:rPr>
        <w:t>are</w:t>
      </w:r>
      <w:r>
        <w:rPr>
          <w:rFonts w:cstheme="minorHAnsi"/>
          <w:szCs w:val="22"/>
        </w:rPr>
        <w:t xml:space="preserve"> </w:t>
      </w:r>
      <w:r w:rsidR="009F1968">
        <w:rPr>
          <w:rFonts w:cstheme="minorHAnsi"/>
          <w:szCs w:val="22"/>
        </w:rPr>
        <w:t xml:space="preserve">a valuable way to understand the experience of NDIS participants accessing the supports and services you deliver and to gain perspectives from a range of stakeholders to inform planning on strategies and practices that will enhance and improve the quality of supports and services you deliver. </w:t>
      </w:r>
    </w:p>
    <w:p w14:paraId="4E99454D" w14:textId="50DA1795" w:rsidR="001973A0" w:rsidRDefault="001973A0" w:rsidP="00C93972">
      <w:pPr>
        <w:suppressAutoHyphens w:val="0"/>
        <w:spacing w:before="120" w:after="120" w:line="240" w:lineRule="auto"/>
      </w:pPr>
      <w:r>
        <w:t xml:space="preserve">For more information relating to requirements for registered NDIS providers, please go to </w:t>
      </w:r>
      <w:hyperlink r:id="rId13" w:history="1">
        <w:r>
          <w:rPr>
            <w:rStyle w:val="Hyperlink"/>
          </w:rPr>
          <w:t>our website</w:t>
        </w:r>
      </w:hyperlink>
      <w:r>
        <w:t>.</w:t>
      </w:r>
    </w:p>
    <w:p w14:paraId="1D8290E5" w14:textId="366C3557" w:rsidR="00956697" w:rsidRDefault="00956697" w:rsidP="00BD2ED3">
      <w:pPr>
        <w:pStyle w:val="ContactUsheadingh4"/>
        <w:ind w:right="-35"/>
        <w:rPr>
          <w:rFonts w:eastAsia="Calibri" w:cs="Calibri"/>
        </w:rPr>
      </w:pPr>
      <w:r>
        <w:t xml:space="preserve">Contact Us </w:t>
      </w:r>
    </w:p>
    <w:p w14:paraId="34FD6647" w14:textId="77777777" w:rsidR="00956697" w:rsidRDefault="00956697" w:rsidP="00BD2ED3">
      <w:pPr>
        <w:pStyle w:val="Body"/>
      </w:pPr>
      <w:r w:rsidRPr="0037316A">
        <w:rPr>
          <w:b/>
          <w:bCs/>
          <w:color w:val="auto"/>
          <w:sz w:val="28"/>
          <w:szCs w:val="28"/>
        </w:rPr>
        <w:t xml:space="preserve">Call: 1800 035 544 </w:t>
      </w:r>
      <w:r>
        <w:t xml:space="preserve">(free call from landlines). </w:t>
      </w:r>
    </w:p>
    <w:p w14:paraId="78497766" w14:textId="3090747A" w:rsidR="00956697" w:rsidRDefault="00956697" w:rsidP="00BD2ED3">
      <w:pPr>
        <w:pStyle w:val="Body"/>
      </w:pPr>
      <w:r>
        <w:t xml:space="preserve">Our contact centre is open </w:t>
      </w:r>
      <w:r w:rsidR="00C93972">
        <w:t>9.00am to 5.00pm (</w:t>
      </w:r>
      <w:r>
        <w:t>9.00am to 4.30pm in the NT</w:t>
      </w:r>
      <w:r w:rsidR="00C93972">
        <w:t>)</w:t>
      </w:r>
      <w:r>
        <w:t xml:space="preserve">, Monday to Friday, excluding public holidays. </w:t>
      </w:r>
    </w:p>
    <w:p w14:paraId="35767A71" w14:textId="2174CFBC" w:rsidR="00956697" w:rsidRDefault="00956697" w:rsidP="00BD2ED3">
      <w:pPr>
        <w:pStyle w:val="Body"/>
      </w:pPr>
      <w:r w:rsidRPr="00427608">
        <w:rPr>
          <w:b/>
        </w:rPr>
        <w:t>Email</w:t>
      </w:r>
      <w:r>
        <w:t xml:space="preserve">: </w:t>
      </w:r>
      <w:r w:rsidR="005837D4" w:rsidRPr="005837D4">
        <w:rPr>
          <w:rFonts w:asciiTheme="minorHAnsi" w:eastAsiaTheme="minorHAnsi" w:hAnsiTheme="minorHAnsi" w:cstheme="minorBidi"/>
          <w:color w:val="000000" w:themeColor="text1"/>
          <w:sz w:val="22"/>
          <w:szCs w:val="20"/>
          <w:bdr w:val="none" w:sz="0" w:space="0" w:color="auto"/>
          <w:lang w:val="en-AU"/>
          <w14:textOutline w14:w="0" w14:cap="rnd" w14:cmpd="sng" w14:algn="ctr">
            <w14:noFill/>
            <w14:prstDash w14:val="solid"/>
            <w14:bevel/>
          </w14:textOutline>
        </w:rPr>
        <w:t xml:space="preserve"> </w:t>
      </w:r>
      <w:r w:rsidR="005837D4" w:rsidRPr="005837D4">
        <w:rPr>
          <w:color w:val="943C84"/>
          <w:u w:val="single"/>
          <w:lang w:val="en-AU"/>
        </w:rPr>
        <w:t>contactcentre@ndiscommission.gov.au</w:t>
      </w:r>
    </w:p>
    <w:p w14:paraId="1D441A98" w14:textId="77777777" w:rsidR="00956697" w:rsidRPr="008A58D0" w:rsidRDefault="00956697" w:rsidP="00BD2ED3">
      <w:pPr>
        <w:pStyle w:val="Body"/>
      </w:pPr>
      <w:r w:rsidRPr="00427608">
        <w:rPr>
          <w:b/>
        </w:rPr>
        <w:t>Website</w:t>
      </w:r>
      <w:r>
        <w:t xml:space="preserve">: </w:t>
      </w:r>
      <w:hyperlink r:id="rId14" w:history="1">
        <w:r>
          <w:rPr>
            <w:rStyle w:val="Hyperlink"/>
          </w:rPr>
          <w:t>www.ndiscommission.gov.au</w:t>
        </w:r>
      </w:hyperlink>
    </w:p>
    <w:sectPr w:rsidR="00956697" w:rsidRPr="008A58D0" w:rsidSect="00CE4DAF">
      <w:headerReference w:type="even" r:id="rId15"/>
      <w:headerReference w:type="default" r:id="rId16"/>
      <w:headerReference w:type="first" r:id="rId17"/>
      <w:footerReference w:type="first" r:id="rId18"/>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8FF8A" w14:textId="77777777" w:rsidR="00A3538F" w:rsidRDefault="00A3538F" w:rsidP="008E21DE">
      <w:pPr>
        <w:spacing w:before="0" w:after="0"/>
      </w:pPr>
      <w:r>
        <w:separator/>
      </w:r>
    </w:p>
  </w:endnote>
  <w:endnote w:type="continuationSeparator" w:id="0">
    <w:p w14:paraId="679BCDF5" w14:textId="77777777" w:rsidR="00A3538F" w:rsidRDefault="00A3538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Mangal">
    <w:altName w:val="Courier New"/>
    <w:panose1 w:val="00000400000000000000"/>
    <w:charset w:val="01"/>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raGR-Light ☞">
    <w:altName w:val="Calibri"/>
    <w:panose1 w:val="00000000000000000000"/>
    <w:charset w:val="00"/>
    <w:family w:val="auto"/>
    <w:notTrueType/>
    <w:pitch w:val="variable"/>
    <w:sig w:usb0="00000083" w:usb1="00000001"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22E02" w14:textId="77777777" w:rsidR="003824A4" w:rsidRDefault="00382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F879A" w14:textId="77777777" w:rsidR="00FC738B" w:rsidRDefault="00FC738B" w:rsidP="00362AB6">
    <w:pPr>
      <w:pStyle w:val="Footer"/>
    </w:pPr>
    <w:r>
      <w:rPr>
        <w:b/>
        <w:bCs/>
        <w:noProof/>
        <w:lang w:eastAsia="en-AU"/>
      </w:rPr>
      <mc:AlternateContent>
        <mc:Choice Requires="wps">
          <w:drawing>
            <wp:inline distT="0" distB="0" distL="0" distR="0" wp14:anchorId="20AE579C" wp14:editId="5B63BA50">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B6AD453"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14:paraId="2221EC0C" w14:textId="17B0B703" w:rsidR="00FC738B" w:rsidRPr="00080615" w:rsidRDefault="00FC738B"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2F080F">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A4512" w14:textId="77777777" w:rsidR="00FC738B" w:rsidRPr="00080615" w:rsidRDefault="00FC738B" w:rsidP="00080615">
    <w:pPr>
      <w:pStyle w:val="Footer"/>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51913" w14:textId="77777777" w:rsidR="00FC738B" w:rsidRDefault="00FC738B" w:rsidP="00080615">
    <w:pPr>
      <w:pStyle w:val="Footer"/>
      <w:rPr>
        <w:sz w:val="18"/>
        <w:szCs w:val="18"/>
      </w:rPr>
    </w:pPr>
    <w:r>
      <w:rPr>
        <w:b/>
        <w:bCs/>
        <w:noProof/>
        <w:lang w:eastAsia="en-AU"/>
      </w:rPr>
      <mc:AlternateContent>
        <mc:Choice Requires="wps">
          <w:drawing>
            <wp:inline distT="0" distB="0" distL="0" distR="0" wp14:anchorId="7549EB11" wp14:editId="2FCBD233">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62348CE"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2B1FC7E5" w14:textId="6520F369" w:rsidR="00FC738B" w:rsidRPr="00080615" w:rsidRDefault="00FC738B"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2F080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3B043" w14:textId="77777777" w:rsidR="00A3538F" w:rsidRDefault="00A3538F" w:rsidP="008E21DE">
      <w:pPr>
        <w:spacing w:before="0" w:after="0"/>
      </w:pPr>
      <w:r>
        <w:separator/>
      </w:r>
    </w:p>
  </w:footnote>
  <w:footnote w:type="continuationSeparator" w:id="0">
    <w:p w14:paraId="64DC9C61" w14:textId="77777777" w:rsidR="00A3538F" w:rsidRDefault="00A3538F"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C18A0" w14:textId="67646CCB" w:rsidR="003824A4" w:rsidRDefault="00382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52BEC" w14:textId="12AE943F" w:rsidR="00FC738B" w:rsidRDefault="00FC738B">
    <w:pPr>
      <w:pStyle w:val="Header"/>
    </w:pPr>
  </w:p>
  <w:p w14:paraId="4B22AFFC" w14:textId="77777777" w:rsidR="00FC738B" w:rsidRDefault="00FC738B">
    <w:pPr>
      <w:pStyle w:val="Header"/>
    </w:pPr>
    <w:r>
      <w:rPr>
        <w:b w:val="0"/>
        <w:bCs/>
        <w:noProof/>
        <w:lang w:eastAsia="en-AU"/>
      </w:rPr>
      <mc:AlternateContent>
        <mc:Choice Requires="wps">
          <w:drawing>
            <wp:inline distT="0" distB="0" distL="0" distR="0" wp14:anchorId="120B32CB" wp14:editId="52A8616C">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D66ABE1"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p w14:paraId="0761F648" w14:textId="1AC735B7" w:rsidR="00FC738B" w:rsidRDefault="00FC738B">
    <w:pPr>
      <w:pStyle w:val="Header"/>
    </w:pPr>
    <w:r>
      <w:rPr>
        <w:noProof/>
        <w:lang w:eastAsia="en-AU"/>
      </w:rPr>
      <mc:AlternateContent>
        <mc:Choice Requires="wps">
          <w:drawing>
            <wp:anchor distT="0" distB="0" distL="114300" distR="114300" simplePos="0" relativeHeight="251677696" behindDoc="1" locked="0" layoutInCell="1" allowOverlap="1" wp14:anchorId="1BEF6336" wp14:editId="49BDC16B">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78F3522" id="Rectangle 3" o:spid="_x0000_s1026" alt="Decorative background"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" fillcolor="#5f2e74 [3204]" stroked="f" strokeweight="1pt">
              <w10:wrap anchorx="margin"/>
            </v:rect>
          </w:pict>
        </mc:Fallback>
      </mc:AlternateContent>
    </w:r>
    <w:bookmarkEnd w:id="0"/>
    <w:r>
      <w:rPr>
        <w:noProof/>
        <w:lang w:eastAsia="en-AU"/>
      </w:rPr>
      <w:drawing>
        <wp:inline distT="0" distB="0" distL="0" distR="0" wp14:anchorId="0FB2058F" wp14:editId="3B8BF0B4">
          <wp:extent cx="3572510" cy="1109345"/>
          <wp:effectExtent l="0" t="0" r="0" b="0"/>
          <wp:docPr id="1" name="Picture 1"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C953" w14:textId="35EB086C" w:rsidR="003824A4" w:rsidRDefault="003824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1AE17" w14:textId="14AEF606" w:rsidR="003824A4" w:rsidRDefault="003824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D099E" w14:textId="4E79E8F6" w:rsidR="00FC738B" w:rsidRDefault="00FC738B">
    <w:pPr>
      <w:pStyle w:val="Header"/>
    </w:pPr>
    <w:r>
      <w:rPr>
        <w:noProof/>
        <w:lang w:eastAsia="en-AU"/>
      </w:rPr>
      <w:drawing>
        <wp:inline distT="0" distB="0" distL="0" distR="0" wp14:anchorId="029DF440" wp14:editId="00AFD9FA">
          <wp:extent cx="3497386" cy="1350335"/>
          <wp:effectExtent l="0" t="0" r="825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629"/>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576E9E"/>
    <w:multiLevelType w:val="multilevel"/>
    <w:tmpl w:val="A41689A2"/>
    <w:numStyleLink w:val="AppendixNumbers"/>
  </w:abstractNum>
  <w:abstractNum w:abstractNumId="2" w15:restartNumberingAfterBreak="0">
    <w:nsid w:val="04056844"/>
    <w:multiLevelType w:val="hybridMultilevel"/>
    <w:tmpl w:val="6F98859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F86D09"/>
    <w:multiLevelType w:val="hybridMultilevel"/>
    <w:tmpl w:val="8346A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057B84"/>
    <w:multiLevelType w:val="hybridMultilevel"/>
    <w:tmpl w:val="B9661D06"/>
    <w:lvl w:ilvl="0" w:tplc="689C83BA">
      <w:start w:val="1"/>
      <w:numFmt w:val="bullet"/>
      <w:lvlText w:val="►"/>
      <w:lvlJc w:val="left"/>
      <w:pPr>
        <w:ind w:left="72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D51D89"/>
    <w:multiLevelType w:val="hybridMultilevel"/>
    <w:tmpl w:val="17D496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E67DAE"/>
    <w:multiLevelType w:val="multilevel"/>
    <w:tmpl w:val="859C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89B3755"/>
    <w:multiLevelType w:val="hybridMultilevel"/>
    <w:tmpl w:val="00F06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587F78"/>
    <w:multiLevelType w:val="multilevel"/>
    <w:tmpl w:val="07629034"/>
    <w:numStyleLink w:val="KCBullets"/>
  </w:abstractNum>
  <w:abstractNum w:abstractNumId="20" w15:restartNumberingAfterBreak="0">
    <w:nsid w:val="4BBB104A"/>
    <w:multiLevelType w:val="hybridMultilevel"/>
    <w:tmpl w:val="29341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8D7C03"/>
    <w:multiLevelType w:val="hybridMultilevel"/>
    <w:tmpl w:val="C456A2F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2" w15:restartNumberingAfterBreak="0">
    <w:nsid w:val="50517343"/>
    <w:multiLevelType w:val="multilevel"/>
    <w:tmpl w:val="131EEC6C"/>
    <w:numStyleLink w:val="TableNumbers"/>
  </w:abstractNum>
  <w:abstractNum w:abstractNumId="23" w15:restartNumberingAfterBreak="0">
    <w:nsid w:val="50E12008"/>
    <w:multiLevelType w:val="multilevel"/>
    <w:tmpl w:val="07629034"/>
    <w:numStyleLink w:val="KCBullets"/>
  </w:abstractNum>
  <w:abstractNum w:abstractNumId="24" w15:restartNumberingAfterBreak="0">
    <w:nsid w:val="52EC7D6C"/>
    <w:multiLevelType w:val="hybridMultilevel"/>
    <w:tmpl w:val="C024A2B0"/>
    <w:lvl w:ilvl="0" w:tplc="689C83BA">
      <w:start w:val="1"/>
      <w:numFmt w:val="bullet"/>
      <w:lvlText w:val="►"/>
      <w:lvlJc w:val="left"/>
      <w:pPr>
        <w:ind w:left="72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63048B"/>
    <w:multiLevelType w:val="multilevel"/>
    <w:tmpl w:val="C284D0B0"/>
    <w:numStyleLink w:val="FigureNumbers"/>
  </w:abstractNum>
  <w:abstractNum w:abstractNumId="27" w15:restartNumberingAfterBreak="0">
    <w:nsid w:val="56857F34"/>
    <w:multiLevelType w:val="multilevel"/>
    <w:tmpl w:val="00000000"/>
    <w:lvl w:ilvl="0">
      <w:start w:val="1"/>
      <w:numFmt w:val="bullet"/>
      <w:pStyle w:val="ListParagrap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615703"/>
    <w:multiLevelType w:val="multilevel"/>
    <w:tmpl w:val="803CF862"/>
    <w:numStyleLink w:val="List1Numbered"/>
  </w:abstractNum>
  <w:abstractNum w:abstractNumId="30" w15:restartNumberingAfterBreak="0">
    <w:nsid w:val="5BF51665"/>
    <w:multiLevelType w:val="multilevel"/>
    <w:tmpl w:val="4E929216"/>
    <w:numStyleLink w:val="NumberedHeadings"/>
  </w:abstractNum>
  <w:abstractNum w:abstractNumId="31" w15:restartNumberingAfterBreak="0">
    <w:nsid w:val="62397869"/>
    <w:multiLevelType w:val="multilevel"/>
    <w:tmpl w:val="4E929216"/>
    <w:numStyleLink w:val="NumberedHeadings"/>
  </w:abstractNum>
  <w:abstractNum w:abstractNumId="32" w15:restartNumberingAfterBreak="0">
    <w:nsid w:val="6B600B8A"/>
    <w:multiLevelType w:val="hybridMultilevel"/>
    <w:tmpl w:val="ACCEE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4F423B"/>
    <w:multiLevelType w:val="multilevel"/>
    <w:tmpl w:val="4A7CCC2C"/>
    <w:numStyleLink w:val="DefaultBullets"/>
  </w:abstractNum>
  <w:abstractNum w:abstractNumId="3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90B67C4"/>
    <w:multiLevelType w:val="multilevel"/>
    <w:tmpl w:val="FE688822"/>
    <w:numStyleLink w:val="BoxedBullets"/>
  </w:abstractNum>
  <w:abstractNum w:abstractNumId="36" w15:restartNumberingAfterBreak="0">
    <w:nsid w:val="7EE44065"/>
    <w:multiLevelType w:val="multilevel"/>
    <w:tmpl w:val="A41689A2"/>
    <w:numStyleLink w:val="AppendixNumbers"/>
  </w:abstractNum>
  <w:num w:numId="1">
    <w:abstractNumId w:val="5"/>
  </w:num>
  <w:num w:numId="2">
    <w:abstractNumId w:val="36"/>
  </w:num>
  <w:num w:numId="3">
    <w:abstractNumId w:val="25"/>
  </w:num>
  <w:num w:numId="4">
    <w:abstractNumId w:val="35"/>
  </w:num>
  <w:num w:numId="5">
    <w:abstractNumId w:val="35"/>
  </w:num>
  <w:num w:numId="6">
    <w:abstractNumId w:val="17"/>
  </w:num>
  <w:num w:numId="7">
    <w:abstractNumId w:val="23"/>
  </w:num>
  <w:num w:numId="8">
    <w:abstractNumId w:val="23"/>
  </w:num>
  <w:num w:numId="9">
    <w:abstractNumId w:val="23"/>
  </w:num>
  <w:num w:numId="10">
    <w:abstractNumId w:val="7"/>
  </w:num>
  <w:num w:numId="11">
    <w:abstractNumId w:val="26"/>
  </w:num>
  <w:num w:numId="12">
    <w:abstractNumId w:val="30"/>
  </w:num>
  <w:num w:numId="13">
    <w:abstractNumId w:val="30"/>
  </w:num>
  <w:num w:numId="14">
    <w:abstractNumId w:val="30"/>
  </w:num>
  <w:num w:numId="15">
    <w:abstractNumId w:val="30"/>
  </w:num>
  <w:num w:numId="16">
    <w:abstractNumId w:val="30"/>
  </w:num>
  <w:num w:numId="17">
    <w:abstractNumId w:val="30"/>
  </w:num>
  <w:num w:numId="18">
    <w:abstractNumId w:val="30"/>
  </w:num>
  <w:num w:numId="19">
    <w:abstractNumId w:val="6"/>
  </w:num>
  <w:num w:numId="20">
    <w:abstractNumId w:val="29"/>
  </w:num>
  <w:num w:numId="21">
    <w:abstractNumId w:val="29"/>
  </w:num>
  <w:num w:numId="22">
    <w:abstractNumId w:val="29"/>
  </w:num>
  <w:num w:numId="23">
    <w:abstractNumId w:val="28"/>
  </w:num>
  <w:num w:numId="24">
    <w:abstractNumId w:val="12"/>
  </w:num>
  <w:num w:numId="25">
    <w:abstractNumId w:val="8"/>
  </w:num>
  <w:num w:numId="26">
    <w:abstractNumId w:val="22"/>
  </w:num>
  <w:num w:numId="27">
    <w:abstractNumId w:val="1"/>
  </w:num>
  <w:num w:numId="28">
    <w:abstractNumId w:val="34"/>
  </w:num>
  <w:num w:numId="29">
    <w:abstractNumId w:val="4"/>
  </w:num>
  <w:num w:numId="30">
    <w:abstractNumId w:val="3"/>
  </w:num>
  <w:num w:numId="31">
    <w:abstractNumId w:val="10"/>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9"/>
  </w:num>
  <w:num w:numId="37">
    <w:abstractNumId w:val="15"/>
  </w:num>
  <w:num w:numId="38">
    <w:abstractNumId w:val="27"/>
  </w:num>
  <w:num w:numId="39">
    <w:abstractNumId w:val="0"/>
  </w:num>
  <w:num w:numId="40">
    <w:abstractNumId w:val="32"/>
  </w:num>
  <w:num w:numId="41">
    <w:abstractNumId w:val="9"/>
  </w:num>
  <w:num w:numId="42">
    <w:abstractNumId w:val="24"/>
  </w:num>
  <w:num w:numId="43">
    <w:abstractNumId w:val="13"/>
  </w:num>
  <w:num w:numId="44">
    <w:abstractNumId w:val="16"/>
  </w:num>
  <w:num w:numId="45">
    <w:abstractNumId w:val="14"/>
  </w:num>
  <w:num w:numId="46">
    <w:abstractNumId w:val="20"/>
  </w:num>
  <w:num w:numId="47">
    <w:abstractNumId w:val="21"/>
  </w:num>
  <w:num w:numId="48">
    <w:abstractNumId w:val="18"/>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783"/>
    <w:rsid w:val="00005E4E"/>
    <w:rsid w:val="00025663"/>
    <w:rsid w:val="00033B36"/>
    <w:rsid w:val="00036DF5"/>
    <w:rsid w:val="00044501"/>
    <w:rsid w:val="00080615"/>
    <w:rsid w:val="0009422A"/>
    <w:rsid w:val="000B25A0"/>
    <w:rsid w:val="000C252F"/>
    <w:rsid w:val="000C6F38"/>
    <w:rsid w:val="000F3A54"/>
    <w:rsid w:val="000F48FC"/>
    <w:rsid w:val="000F7081"/>
    <w:rsid w:val="0012613A"/>
    <w:rsid w:val="00142A87"/>
    <w:rsid w:val="0017408C"/>
    <w:rsid w:val="001973A0"/>
    <w:rsid w:val="001D1D56"/>
    <w:rsid w:val="001D52DD"/>
    <w:rsid w:val="001D53EC"/>
    <w:rsid w:val="001E49A2"/>
    <w:rsid w:val="001F0BAB"/>
    <w:rsid w:val="00201052"/>
    <w:rsid w:val="00211453"/>
    <w:rsid w:val="00211DC4"/>
    <w:rsid w:val="00231AAC"/>
    <w:rsid w:val="002407D6"/>
    <w:rsid w:val="0025780C"/>
    <w:rsid w:val="00260CCC"/>
    <w:rsid w:val="002804D3"/>
    <w:rsid w:val="00290074"/>
    <w:rsid w:val="00292E23"/>
    <w:rsid w:val="002B73D8"/>
    <w:rsid w:val="002C0D69"/>
    <w:rsid w:val="002D63B6"/>
    <w:rsid w:val="002E230F"/>
    <w:rsid w:val="002E41FA"/>
    <w:rsid w:val="002F080F"/>
    <w:rsid w:val="00324CC3"/>
    <w:rsid w:val="003449A0"/>
    <w:rsid w:val="00351FDA"/>
    <w:rsid w:val="00362AB6"/>
    <w:rsid w:val="003824A4"/>
    <w:rsid w:val="003858A6"/>
    <w:rsid w:val="003942AD"/>
    <w:rsid w:val="003D2294"/>
    <w:rsid w:val="003E3D66"/>
    <w:rsid w:val="003F29B8"/>
    <w:rsid w:val="004154E2"/>
    <w:rsid w:val="00432589"/>
    <w:rsid w:val="004341E3"/>
    <w:rsid w:val="004348E9"/>
    <w:rsid w:val="004359DF"/>
    <w:rsid w:val="00455AAF"/>
    <w:rsid w:val="0048305B"/>
    <w:rsid w:val="004A717F"/>
    <w:rsid w:val="004D4273"/>
    <w:rsid w:val="004E5C4B"/>
    <w:rsid w:val="00530048"/>
    <w:rsid w:val="00530BA4"/>
    <w:rsid w:val="00534D53"/>
    <w:rsid w:val="0053742A"/>
    <w:rsid w:val="00541775"/>
    <w:rsid w:val="00544AF8"/>
    <w:rsid w:val="00553B25"/>
    <w:rsid w:val="00582A32"/>
    <w:rsid w:val="005837D4"/>
    <w:rsid w:val="005B6017"/>
    <w:rsid w:val="005C205F"/>
    <w:rsid w:val="005F4A79"/>
    <w:rsid w:val="0061432C"/>
    <w:rsid w:val="0063157F"/>
    <w:rsid w:val="00637454"/>
    <w:rsid w:val="00646885"/>
    <w:rsid w:val="00650E13"/>
    <w:rsid w:val="00662EB7"/>
    <w:rsid w:val="0067135E"/>
    <w:rsid w:val="006713A6"/>
    <w:rsid w:val="00674531"/>
    <w:rsid w:val="00680A20"/>
    <w:rsid w:val="00680F04"/>
    <w:rsid w:val="006811A9"/>
    <w:rsid w:val="006A5FB6"/>
    <w:rsid w:val="006F436E"/>
    <w:rsid w:val="00742459"/>
    <w:rsid w:val="0076178C"/>
    <w:rsid w:val="007703DE"/>
    <w:rsid w:val="00786F58"/>
    <w:rsid w:val="0079299E"/>
    <w:rsid w:val="007A24B7"/>
    <w:rsid w:val="007A5CDA"/>
    <w:rsid w:val="007B666F"/>
    <w:rsid w:val="007C4F13"/>
    <w:rsid w:val="007D0DF5"/>
    <w:rsid w:val="007D5955"/>
    <w:rsid w:val="007F38F1"/>
    <w:rsid w:val="007F6976"/>
    <w:rsid w:val="00843D1E"/>
    <w:rsid w:val="00850101"/>
    <w:rsid w:val="008577AF"/>
    <w:rsid w:val="00860F8C"/>
    <w:rsid w:val="00870DED"/>
    <w:rsid w:val="0087733E"/>
    <w:rsid w:val="00882E3C"/>
    <w:rsid w:val="008A649A"/>
    <w:rsid w:val="008E21DE"/>
    <w:rsid w:val="008E563D"/>
    <w:rsid w:val="008F06E4"/>
    <w:rsid w:val="0092679E"/>
    <w:rsid w:val="00947473"/>
    <w:rsid w:val="00956697"/>
    <w:rsid w:val="009764E0"/>
    <w:rsid w:val="00986569"/>
    <w:rsid w:val="009A4F26"/>
    <w:rsid w:val="009B0D3E"/>
    <w:rsid w:val="009C4CE2"/>
    <w:rsid w:val="009E4FBF"/>
    <w:rsid w:val="009E5AE0"/>
    <w:rsid w:val="009F1968"/>
    <w:rsid w:val="00A07E4A"/>
    <w:rsid w:val="00A3538F"/>
    <w:rsid w:val="00A47E5F"/>
    <w:rsid w:val="00A60009"/>
    <w:rsid w:val="00A66590"/>
    <w:rsid w:val="00A963A1"/>
    <w:rsid w:val="00AA094B"/>
    <w:rsid w:val="00AB12D5"/>
    <w:rsid w:val="00AD735D"/>
    <w:rsid w:val="00AE11D6"/>
    <w:rsid w:val="00AE53B7"/>
    <w:rsid w:val="00AE6F93"/>
    <w:rsid w:val="00AF0899"/>
    <w:rsid w:val="00B025D1"/>
    <w:rsid w:val="00B35BDF"/>
    <w:rsid w:val="00B474B4"/>
    <w:rsid w:val="00B5528A"/>
    <w:rsid w:val="00B603C0"/>
    <w:rsid w:val="00B70F5F"/>
    <w:rsid w:val="00B80518"/>
    <w:rsid w:val="00B83AB4"/>
    <w:rsid w:val="00BA1A94"/>
    <w:rsid w:val="00BA797E"/>
    <w:rsid w:val="00BA7ECD"/>
    <w:rsid w:val="00BD2ED3"/>
    <w:rsid w:val="00BE205B"/>
    <w:rsid w:val="00C0421C"/>
    <w:rsid w:val="00C10202"/>
    <w:rsid w:val="00C1193D"/>
    <w:rsid w:val="00C16C7F"/>
    <w:rsid w:val="00C21944"/>
    <w:rsid w:val="00C25E18"/>
    <w:rsid w:val="00C50EA5"/>
    <w:rsid w:val="00C523CB"/>
    <w:rsid w:val="00C52C59"/>
    <w:rsid w:val="00C6534A"/>
    <w:rsid w:val="00C71CC4"/>
    <w:rsid w:val="00C90DF2"/>
    <w:rsid w:val="00C92FAF"/>
    <w:rsid w:val="00C93972"/>
    <w:rsid w:val="00CA7783"/>
    <w:rsid w:val="00CE4DAF"/>
    <w:rsid w:val="00CE5637"/>
    <w:rsid w:val="00D25D53"/>
    <w:rsid w:val="00D319F4"/>
    <w:rsid w:val="00D359AC"/>
    <w:rsid w:val="00D5223B"/>
    <w:rsid w:val="00D644C5"/>
    <w:rsid w:val="00D83352"/>
    <w:rsid w:val="00DB5710"/>
    <w:rsid w:val="00DD0270"/>
    <w:rsid w:val="00DD193F"/>
    <w:rsid w:val="00DF74BA"/>
    <w:rsid w:val="00E260AC"/>
    <w:rsid w:val="00E26F63"/>
    <w:rsid w:val="00E30DA3"/>
    <w:rsid w:val="00E345D1"/>
    <w:rsid w:val="00E54308"/>
    <w:rsid w:val="00E66A88"/>
    <w:rsid w:val="00E837A4"/>
    <w:rsid w:val="00EC53E4"/>
    <w:rsid w:val="00EC6249"/>
    <w:rsid w:val="00ED0410"/>
    <w:rsid w:val="00ED0990"/>
    <w:rsid w:val="00ED7D77"/>
    <w:rsid w:val="00EE020B"/>
    <w:rsid w:val="00EE737C"/>
    <w:rsid w:val="00EF4471"/>
    <w:rsid w:val="00F007FA"/>
    <w:rsid w:val="00F10A81"/>
    <w:rsid w:val="00F2351D"/>
    <w:rsid w:val="00F704CE"/>
    <w:rsid w:val="00F7471C"/>
    <w:rsid w:val="00F75438"/>
    <w:rsid w:val="00F81D0A"/>
    <w:rsid w:val="00F9318C"/>
    <w:rsid w:val="00FB0AA0"/>
    <w:rsid w:val="00FC738B"/>
    <w:rsid w:val="00FD66D7"/>
    <w:rsid w:val="00FF339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E4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C93972"/>
    <w:pPr>
      <w:keepNext/>
      <w:keepLines/>
      <w:spacing w:before="240" w:after="12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C93972"/>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character" w:styleId="CommentReference">
    <w:name w:val="annotation reference"/>
    <w:basedOn w:val="DefaultParagraphFont"/>
    <w:uiPriority w:val="99"/>
    <w:semiHidden/>
    <w:unhideWhenUsed/>
    <w:rsid w:val="00036DF5"/>
    <w:rPr>
      <w:sz w:val="16"/>
      <w:szCs w:val="16"/>
    </w:rPr>
  </w:style>
  <w:style w:type="paragraph" w:styleId="CommentText">
    <w:name w:val="annotation text"/>
    <w:basedOn w:val="Normal"/>
    <w:link w:val="CommentTextChar"/>
    <w:uiPriority w:val="99"/>
    <w:semiHidden/>
    <w:unhideWhenUsed/>
    <w:rsid w:val="00036DF5"/>
    <w:pPr>
      <w:spacing w:line="240" w:lineRule="auto"/>
    </w:pPr>
    <w:rPr>
      <w:sz w:val="20"/>
    </w:rPr>
  </w:style>
  <w:style w:type="character" w:customStyle="1" w:styleId="CommentTextChar">
    <w:name w:val="Comment Text Char"/>
    <w:basedOn w:val="DefaultParagraphFont"/>
    <w:link w:val="CommentText"/>
    <w:uiPriority w:val="99"/>
    <w:semiHidden/>
    <w:rsid w:val="00036DF5"/>
  </w:style>
  <w:style w:type="paragraph" w:styleId="CommentSubject">
    <w:name w:val="annotation subject"/>
    <w:basedOn w:val="CommentText"/>
    <w:next w:val="CommentText"/>
    <w:link w:val="CommentSubjectChar"/>
    <w:uiPriority w:val="99"/>
    <w:semiHidden/>
    <w:unhideWhenUsed/>
    <w:rsid w:val="00036DF5"/>
    <w:rPr>
      <w:b/>
      <w:bCs/>
    </w:rPr>
  </w:style>
  <w:style w:type="character" w:customStyle="1" w:styleId="CommentSubjectChar">
    <w:name w:val="Comment Subject Char"/>
    <w:basedOn w:val="CommentTextChar"/>
    <w:link w:val="CommentSubject"/>
    <w:uiPriority w:val="99"/>
    <w:semiHidden/>
    <w:rsid w:val="00036DF5"/>
    <w:rPr>
      <w:b/>
      <w:bCs/>
    </w:rPr>
  </w:style>
  <w:style w:type="paragraph" w:styleId="ListParagraph">
    <w:name w:val="List Paragraph"/>
    <w:basedOn w:val="Normal"/>
    <w:uiPriority w:val="34"/>
    <w:qFormat/>
    <w:rsid w:val="00FF3390"/>
    <w:pPr>
      <w:numPr>
        <w:numId w:val="38"/>
      </w:numPr>
      <w:suppressAutoHyphens w:val="0"/>
      <w:spacing w:before="0" w:after="0" w:line="240" w:lineRule="auto"/>
      <w:contextualSpacing/>
    </w:pPr>
    <w:rPr>
      <w:rFonts w:ascii="CeraGR-Light ☞" w:eastAsia="Arial" w:hAnsi="CeraGR-Light ☞" w:cs="Arial"/>
      <w:color w:val="auto"/>
      <w:sz w:val="18"/>
      <w:szCs w:val="18"/>
      <w:lang w:eastAsia="en-AU"/>
    </w:rPr>
  </w:style>
  <w:style w:type="table" w:styleId="ListTable2-Accent1">
    <w:name w:val="List Table 2 Accent 1"/>
    <w:basedOn w:val="TableNormal"/>
    <w:uiPriority w:val="47"/>
    <w:rsid w:val="00E837A4"/>
    <w:pPr>
      <w:spacing w:after="0"/>
    </w:pPr>
    <w:tblPr>
      <w:tblStyleRowBandSize w:val="1"/>
      <w:tblStyleColBandSize w:val="1"/>
      <w:tblBorders>
        <w:top w:val="single" w:sz="4" w:space="0" w:color="A869C3" w:themeColor="accent1" w:themeTint="99"/>
        <w:bottom w:val="single" w:sz="4" w:space="0" w:color="A869C3" w:themeColor="accent1" w:themeTint="99"/>
        <w:insideH w:val="single" w:sz="4" w:space="0" w:color="A86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table" w:styleId="GridTable4-Accent6">
    <w:name w:val="Grid Table 4 Accent 6"/>
    <w:basedOn w:val="TableNormal"/>
    <w:uiPriority w:val="49"/>
    <w:rsid w:val="00E837A4"/>
    <w:pPr>
      <w:spacing w:after="0"/>
    </w:pPr>
    <w:tblPr>
      <w:tblStyleRowBandSize w:val="1"/>
      <w:tblStyleColBandSize w:val="1"/>
      <w:tblBorders>
        <w:top w:val="single" w:sz="4" w:space="0" w:color="C4DB94" w:themeColor="accent6" w:themeTint="99"/>
        <w:left w:val="single" w:sz="4" w:space="0" w:color="C4DB94" w:themeColor="accent6" w:themeTint="99"/>
        <w:bottom w:val="single" w:sz="4" w:space="0" w:color="C4DB94" w:themeColor="accent6" w:themeTint="99"/>
        <w:right w:val="single" w:sz="4" w:space="0" w:color="C4DB94" w:themeColor="accent6" w:themeTint="99"/>
        <w:insideH w:val="single" w:sz="4" w:space="0" w:color="C4DB94" w:themeColor="accent6" w:themeTint="99"/>
        <w:insideV w:val="single" w:sz="4" w:space="0" w:color="C4DB94" w:themeColor="accent6" w:themeTint="99"/>
      </w:tblBorders>
    </w:tblPr>
    <w:tblStylePr w:type="firstRow">
      <w:rPr>
        <w:b/>
        <w:bCs/>
        <w:color w:val="FFFFFF" w:themeColor="background1"/>
      </w:rPr>
      <w:tblPr/>
      <w:tcPr>
        <w:tcBorders>
          <w:top w:val="single" w:sz="4" w:space="0" w:color="9DC44D" w:themeColor="accent6"/>
          <w:left w:val="single" w:sz="4" w:space="0" w:color="9DC44D" w:themeColor="accent6"/>
          <w:bottom w:val="single" w:sz="4" w:space="0" w:color="9DC44D" w:themeColor="accent6"/>
          <w:right w:val="single" w:sz="4" w:space="0" w:color="9DC44D" w:themeColor="accent6"/>
          <w:insideH w:val="nil"/>
          <w:insideV w:val="nil"/>
        </w:tcBorders>
        <w:shd w:val="clear" w:color="auto" w:fill="9DC44D" w:themeFill="accent6"/>
      </w:tcPr>
    </w:tblStylePr>
    <w:tblStylePr w:type="lastRow">
      <w:rPr>
        <w:b/>
        <w:bCs/>
      </w:rPr>
      <w:tblPr/>
      <w:tcPr>
        <w:tcBorders>
          <w:top w:val="double" w:sz="4" w:space="0" w:color="9DC44D" w:themeColor="accent6"/>
        </w:tcBorders>
      </w:tcPr>
    </w:tblStylePr>
    <w:tblStylePr w:type="firstCol">
      <w:rPr>
        <w:b/>
        <w:bCs/>
      </w:rPr>
    </w:tblStylePr>
    <w:tblStylePr w:type="lastCol">
      <w:rPr>
        <w:b/>
        <w:bCs/>
      </w:rPr>
    </w:tblStylePr>
    <w:tblStylePr w:type="band1Vert">
      <w:tblPr/>
      <w:tcPr>
        <w:shd w:val="clear" w:color="auto" w:fill="EBF3DB" w:themeFill="accent6" w:themeFillTint="33"/>
      </w:tcPr>
    </w:tblStylePr>
    <w:tblStylePr w:type="band1Horz">
      <w:tblPr/>
      <w:tcPr>
        <w:shd w:val="clear" w:color="auto" w:fill="EBF3DB" w:themeFill="accent6" w:themeFillTint="33"/>
      </w:tcPr>
    </w:tblStylePr>
  </w:style>
  <w:style w:type="table" w:styleId="ListTable6Colorful-Accent1">
    <w:name w:val="List Table 6 Colorful Accent 1"/>
    <w:basedOn w:val="TableNormal"/>
    <w:uiPriority w:val="51"/>
    <w:rsid w:val="00E837A4"/>
    <w:pPr>
      <w:spacing w:after="0"/>
    </w:pPr>
    <w:rPr>
      <w:color w:val="472256" w:themeColor="accent1" w:themeShade="BF"/>
    </w:rPr>
    <w:tblPr>
      <w:tblStyleRowBandSize w:val="1"/>
      <w:tblStyleColBandSize w:val="1"/>
      <w:tblBorders>
        <w:top w:val="single" w:sz="4" w:space="0" w:color="5F2E74" w:themeColor="accent1"/>
        <w:bottom w:val="single" w:sz="4" w:space="0" w:color="5F2E74" w:themeColor="accent1"/>
      </w:tblBorders>
    </w:tblPr>
    <w:tblStylePr w:type="firstRow">
      <w:rPr>
        <w:b/>
        <w:bCs/>
      </w:rPr>
      <w:tblPr/>
      <w:tcPr>
        <w:tcBorders>
          <w:bottom w:val="single" w:sz="4" w:space="0" w:color="5F2E74" w:themeColor="accent1"/>
        </w:tcBorders>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table" w:styleId="GridTable7Colorful-Accent1">
    <w:name w:val="Grid Table 7 Colorful Accent 1"/>
    <w:basedOn w:val="TableNormal"/>
    <w:uiPriority w:val="52"/>
    <w:rsid w:val="00674531"/>
    <w:pPr>
      <w:spacing w:after="0"/>
    </w:pPr>
    <w:rPr>
      <w:color w:val="472256" w:themeColor="accent1" w:themeShade="BF"/>
    </w:r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CDEB" w:themeFill="accent1" w:themeFillTint="33"/>
      </w:tcPr>
    </w:tblStylePr>
    <w:tblStylePr w:type="band1Horz">
      <w:tblPr/>
      <w:tcPr>
        <w:shd w:val="clear" w:color="auto" w:fill="E2CDEB" w:themeFill="accent1" w:themeFillTint="33"/>
      </w:tcPr>
    </w:tblStylePr>
    <w:tblStylePr w:type="neCell">
      <w:tblPr/>
      <w:tcPr>
        <w:tcBorders>
          <w:bottom w:val="single" w:sz="4" w:space="0" w:color="A869C3" w:themeColor="accent1" w:themeTint="99"/>
        </w:tcBorders>
      </w:tcPr>
    </w:tblStylePr>
    <w:tblStylePr w:type="nwCell">
      <w:tblPr/>
      <w:tcPr>
        <w:tcBorders>
          <w:bottom w:val="single" w:sz="4" w:space="0" w:color="A869C3" w:themeColor="accent1" w:themeTint="99"/>
        </w:tcBorders>
      </w:tcPr>
    </w:tblStylePr>
    <w:tblStylePr w:type="seCell">
      <w:tblPr/>
      <w:tcPr>
        <w:tcBorders>
          <w:top w:val="single" w:sz="4" w:space="0" w:color="A869C3" w:themeColor="accent1" w:themeTint="99"/>
        </w:tcBorders>
      </w:tcPr>
    </w:tblStylePr>
    <w:tblStylePr w:type="swCell">
      <w:tblPr/>
      <w:tcPr>
        <w:tcBorders>
          <w:top w:val="single" w:sz="4" w:space="0" w:color="A869C3" w:themeColor="accent1" w:themeTint="99"/>
        </w:tcBorders>
      </w:tcPr>
    </w:tblStylePr>
  </w:style>
  <w:style w:type="table" w:styleId="ListTable3-Accent6">
    <w:name w:val="List Table 3 Accent 6"/>
    <w:basedOn w:val="TableNormal"/>
    <w:uiPriority w:val="48"/>
    <w:rsid w:val="001D1D56"/>
    <w:pPr>
      <w:spacing w:after="0"/>
    </w:pPr>
    <w:tblPr>
      <w:tblStyleRowBandSize w:val="1"/>
      <w:tblStyleColBandSize w:val="1"/>
      <w:tblBorders>
        <w:top w:val="single" w:sz="4" w:space="0" w:color="9DC44D" w:themeColor="accent6"/>
        <w:left w:val="single" w:sz="4" w:space="0" w:color="9DC44D" w:themeColor="accent6"/>
        <w:bottom w:val="single" w:sz="4" w:space="0" w:color="9DC44D" w:themeColor="accent6"/>
        <w:right w:val="single" w:sz="4" w:space="0" w:color="9DC44D" w:themeColor="accent6"/>
      </w:tblBorders>
    </w:tblPr>
    <w:tblStylePr w:type="firstRow">
      <w:rPr>
        <w:b/>
        <w:bCs/>
        <w:color w:val="FFFFFF" w:themeColor="background1"/>
      </w:rPr>
      <w:tblPr/>
      <w:tcPr>
        <w:shd w:val="clear" w:color="auto" w:fill="9DC44D" w:themeFill="accent6"/>
      </w:tcPr>
    </w:tblStylePr>
    <w:tblStylePr w:type="lastRow">
      <w:rPr>
        <w:b/>
        <w:bCs/>
      </w:rPr>
      <w:tblPr/>
      <w:tcPr>
        <w:tcBorders>
          <w:top w:val="double" w:sz="4" w:space="0" w:color="9DC4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44D" w:themeColor="accent6"/>
          <w:right w:val="single" w:sz="4" w:space="0" w:color="9DC44D" w:themeColor="accent6"/>
        </w:tcBorders>
      </w:tcPr>
    </w:tblStylePr>
    <w:tblStylePr w:type="band1Horz">
      <w:tblPr/>
      <w:tcPr>
        <w:tcBorders>
          <w:top w:val="single" w:sz="4" w:space="0" w:color="9DC44D" w:themeColor="accent6"/>
          <w:bottom w:val="single" w:sz="4" w:space="0" w:color="9DC4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44D" w:themeColor="accent6"/>
          <w:left w:val="nil"/>
        </w:tcBorders>
      </w:tcPr>
    </w:tblStylePr>
    <w:tblStylePr w:type="swCell">
      <w:tblPr/>
      <w:tcPr>
        <w:tcBorders>
          <w:top w:val="double" w:sz="4" w:space="0" w:color="9DC44D" w:themeColor="accent6"/>
          <w:right w:val="nil"/>
        </w:tcBorders>
      </w:tcPr>
    </w:tblStylePr>
  </w:style>
  <w:style w:type="table" w:styleId="GridTable4">
    <w:name w:val="Grid Table 4"/>
    <w:basedOn w:val="TableNormal"/>
    <w:uiPriority w:val="49"/>
    <w:rsid w:val="001D1D5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1D56"/>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paragraph" w:customStyle="1" w:styleId="Body">
    <w:name w:val="Body"/>
    <w:basedOn w:val="Normal"/>
    <w:next w:val="Normal"/>
    <w:qFormat/>
    <w:rsid w:val="00956697"/>
    <w:pPr>
      <w:pBdr>
        <w:top w:val="nil"/>
        <w:left w:val="nil"/>
        <w:bottom w:val="nil"/>
        <w:right w:val="nil"/>
        <w:between w:val="nil"/>
        <w:bar w:val="nil"/>
      </w:pBdr>
      <w:suppressAutoHyphens w:val="0"/>
      <w:spacing w:before="120" w:after="240" w:line="240" w:lineRule="auto"/>
      <w:ind w:right="-35"/>
    </w:pPr>
    <w:rPr>
      <w:rFonts w:ascii="Calibri" w:eastAsia="Arial Unicode MS" w:hAnsi="Calibri"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956697"/>
    <w:pPr>
      <w:keepNext/>
      <w:pBdr>
        <w:top w:val="single" w:sz="48" w:space="6" w:color="5F2E74" w:themeColor="text2"/>
      </w:pBdr>
      <w:suppressAutoHyphens w:val="0"/>
      <w:spacing w:before="360" w:line="240" w:lineRule="auto"/>
      <w:outlineLvl w:val="1"/>
    </w:pPr>
    <w:rPr>
      <w:rFonts w:ascii="Calibri" w:eastAsia="Arial Unicode MS" w:hAnsi="Calibri" w:cs="Arial Unicode MS"/>
      <w:b/>
      <w:bCs/>
      <w:color w:val="612C69"/>
      <w:sz w:val="40"/>
      <w:szCs w:val="40"/>
      <w:bdr w:val="nil"/>
      <w:lang w:val="en-US" w:eastAsia="en-AU"/>
      <w14:textOutline w14:w="0" w14:cap="flat" w14:cmpd="sng" w14:algn="ctr">
        <w14:noFill/>
        <w14:prstDash w14:val="solid"/>
        <w14:bevel/>
      </w14:textOutline>
    </w:rPr>
  </w:style>
  <w:style w:type="table" w:styleId="ListTable3-Accent1">
    <w:name w:val="List Table 3 Accent 1"/>
    <w:basedOn w:val="TableNormal"/>
    <w:uiPriority w:val="48"/>
    <w:rsid w:val="00860F8C"/>
    <w:pPr>
      <w:spacing w:after="0"/>
    </w:pPr>
    <w:tblPr>
      <w:tblStyleRowBandSize w:val="1"/>
      <w:tblStyleColBandSize w:val="1"/>
      <w:tblBorders>
        <w:top w:val="single" w:sz="4" w:space="0" w:color="5F2E74" w:themeColor="accent1"/>
        <w:left w:val="single" w:sz="4" w:space="0" w:color="5F2E74" w:themeColor="accent1"/>
        <w:bottom w:val="single" w:sz="4" w:space="0" w:color="5F2E74" w:themeColor="accent1"/>
        <w:right w:val="single" w:sz="4" w:space="0" w:color="5F2E74" w:themeColor="accent1"/>
      </w:tblBorders>
    </w:tblPr>
    <w:tblStylePr w:type="firstRow">
      <w:rPr>
        <w:b/>
        <w:bCs/>
        <w:color w:val="FFFFFF" w:themeColor="background1"/>
      </w:rPr>
      <w:tblPr/>
      <w:tcPr>
        <w:shd w:val="clear" w:color="auto" w:fill="5F2E74" w:themeFill="accent1"/>
      </w:tcPr>
    </w:tblStylePr>
    <w:tblStylePr w:type="lastRow">
      <w:rPr>
        <w:b/>
        <w:bCs/>
      </w:rPr>
      <w:tblPr/>
      <w:tcPr>
        <w:tcBorders>
          <w:top w:val="double" w:sz="4" w:space="0" w:color="5F2E7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2E74" w:themeColor="accent1"/>
          <w:right w:val="single" w:sz="4" w:space="0" w:color="5F2E74" w:themeColor="accent1"/>
        </w:tcBorders>
      </w:tcPr>
    </w:tblStylePr>
    <w:tblStylePr w:type="band1Horz">
      <w:tblPr/>
      <w:tcPr>
        <w:tcBorders>
          <w:top w:val="single" w:sz="4" w:space="0" w:color="5F2E74" w:themeColor="accent1"/>
          <w:bottom w:val="single" w:sz="4" w:space="0" w:color="5F2E7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2E74" w:themeColor="accent1"/>
          <w:left w:val="nil"/>
        </w:tcBorders>
      </w:tcPr>
    </w:tblStylePr>
    <w:tblStylePr w:type="swCell">
      <w:tblPr/>
      <w:tcPr>
        <w:tcBorders>
          <w:top w:val="double" w:sz="4" w:space="0" w:color="5F2E74" w:themeColor="accent1"/>
          <w:right w:val="nil"/>
        </w:tcBorders>
      </w:tcPr>
    </w:tblStylePr>
  </w:style>
  <w:style w:type="character" w:customStyle="1" w:styleId="UnresolvedMention">
    <w:name w:val="Unresolved Mention"/>
    <w:basedOn w:val="DefaultParagraphFont"/>
    <w:uiPriority w:val="99"/>
    <w:semiHidden/>
    <w:unhideWhenUsed/>
    <w:rsid w:val="009E4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736966">
      <w:bodyDiv w:val="1"/>
      <w:marLeft w:val="0"/>
      <w:marRight w:val="0"/>
      <w:marTop w:val="0"/>
      <w:marBottom w:val="0"/>
      <w:divBdr>
        <w:top w:val="none" w:sz="0" w:space="0" w:color="auto"/>
        <w:left w:val="none" w:sz="0" w:space="0" w:color="auto"/>
        <w:bottom w:val="none" w:sz="0" w:space="0" w:color="auto"/>
        <w:right w:val="none" w:sz="0" w:space="0" w:color="auto"/>
      </w:divBdr>
    </w:div>
    <w:div w:id="1151869936">
      <w:bodyDiv w:val="1"/>
      <w:marLeft w:val="0"/>
      <w:marRight w:val="0"/>
      <w:marTop w:val="0"/>
      <w:marBottom w:val="0"/>
      <w:divBdr>
        <w:top w:val="none" w:sz="0" w:space="0" w:color="auto"/>
        <w:left w:val="none" w:sz="0" w:space="0" w:color="auto"/>
        <w:bottom w:val="none" w:sz="0" w:space="0" w:color="auto"/>
        <w:right w:val="none" w:sz="0" w:space="0" w:color="auto"/>
      </w:divBdr>
    </w:div>
    <w:div w:id="1297369392">
      <w:bodyDiv w:val="1"/>
      <w:marLeft w:val="0"/>
      <w:marRight w:val="0"/>
      <w:marTop w:val="0"/>
      <w:marBottom w:val="0"/>
      <w:divBdr>
        <w:top w:val="none" w:sz="0" w:space="0" w:color="auto"/>
        <w:left w:val="none" w:sz="0" w:space="0" w:color="auto"/>
        <w:bottom w:val="none" w:sz="0" w:space="0" w:color="auto"/>
        <w:right w:val="none" w:sz="0" w:space="0" w:color="auto"/>
      </w:divBdr>
    </w:div>
    <w:div w:id="1546521264">
      <w:bodyDiv w:val="1"/>
      <w:marLeft w:val="0"/>
      <w:marRight w:val="0"/>
      <w:marTop w:val="0"/>
      <w:marBottom w:val="0"/>
      <w:divBdr>
        <w:top w:val="none" w:sz="0" w:space="0" w:color="auto"/>
        <w:left w:val="none" w:sz="0" w:space="0" w:color="auto"/>
        <w:bottom w:val="none" w:sz="0" w:space="0" w:color="auto"/>
        <w:right w:val="none" w:sz="0" w:space="0" w:color="auto"/>
      </w:divBdr>
    </w:div>
    <w:div w:id="20084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ndiscommission.gov.au/providers/registered-provider-requirements"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discommiss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1417</Words>
  <Characters>8081</Characters>
  <Application>Microsoft Office Word</Application>
  <DocSecurity>0</DocSecurity>
  <Lines>67</Lines>
  <Paragraphs>18</Paragraphs>
  <ScaleCrop>false</ScaleCrop>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2021-06-28T05:14:00Z</dcterms:created>
  <dcterms:modified xsi:type="dcterms:W3CDTF">2021-06-28T05:14:00Z</dcterms:modified>
</cp:coreProperties>
</file>