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F" w:rsidRPr="00B70797" w:rsidRDefault="00C9407D" w:rsidP="00BE0D7F">
      <w:pPr>
        <w:rPr>
          <w:lang w:val="en-AU"/>
        </w:rPr>
      </w:pPr>
      <w:bookmarkStart w:id="0" w:name="_GoBack"/>
      <w:r w:rsidRPr="00B70797">
        <w:rPr>
          <w:rFonts w:ascii="Calibri" w:hAnsi="Calibri" w:cs="Calibri"/>
          <w:noProof/>
          <w:sz w:val="26"/>
          <w:szCs w:val="26"/>
          <w:lang w:val="en-AU" w:eastAsia="zh-CN" w:bidi="hi-IN"/>
        </w:rPr>
        <w:drawing>
          <wp:inline distT="0" distB="0" distL="0" distR="0" wp14:anchorId="4632A549" wp14:editId="659563F6">
            <wp:extent cx="2122262" cy="691286"/>
            <wp:effectExtent l="0" t="0" r="0" b="0"/>
            <wp:docPr id="8" name="Picture 8" descr="The Australian Government logo alongside the NDIS Quality and Safeguards Commission logo " title="NDIS Quality and Safeguards Commis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Australian Government logo alongside the NDIS Quality and Safeguards Commission logo 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8" t="-6265" r="1"/>
                    <a:stretch/>
                  </pic:blipFill>
                  <pic:spPr bwMode="auto">
                    <a:xfrm>
                      <a:off x="0" y="0"/>
                      <a:ext cx="2141599" cy="6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D7F" w:rsidRPr="00B70797" w:rsidRDefault="00394434" w:rsidP="00563A92">
      <w:pPr>
        <w:pStyle w:val="Title"/>
        <w:rPr>
          <w:lang w:val="en-AU"/>
        </w:rPr>
      </w:pPr>
      <w:r w:rsidRPr="00B70797">
        <w:rPr>
          <w:lang w:val="en-AU"/>
        </w:rPr>
        <w:t>The NDIS Quality and Safeguards Commission</w:t>
      </w:r>
    </w:p>
    <w:p w:rsidR="00BE0D7F" w:rsidRPr="00B70797" w:rsidRDefault="00BE0D7F" w:rsidP="00C9407D">
      <w:pPr>
        <w:pStyle w:val="Heading2"/>
        <w:rPr>
          <w:lang w:val="en-AU"/>
        </w:rPr>
        <w:sectPr w:rsidR="00BE0D7F" w:rsidRPr="00B70797" w:rsidSect="00A66EA6">
          <w:pgSz w:w="11900" w:h="16840"/>
          <w:pgMar w:top="851" w:right="1080" w:bottom="851" w:left="1080" w:header="708" w:footer="708" w:gutter="0"/>
          <w:cols w:space="708"/>
          <w:docGrid w:linePitch="360"/>
        </w:sectPr>
      </w:pPr>
    </w:p>
    <w:p w:rsidR="005720B0" w:rsidRPr="00B70797" w:rsidRDefault="00394434" w:rsidP="00C9407D">
      <w:pPr>
        <w:pStyle w:val="Heading2"/>
        <w:rPr>
          <w:lang w:val="en-AU"/>
        </w:rPr>
      </w:pPr>
      <w:r w:rsidRPr="00B70797">
        <w:rPr>
          <w:lang w:val="en-AU"/>
        </w:rPr>
        <w:t>A new system of quality and safeguards in the NDIS</w:t>
      </w:r>
    </w:p>
    <w:p w:rsidR="005720B0" w:rsidRPr="00B70797" w:rsidRDefault="00394434" w:rsidP="0080160B">
      <w:pPr>
        <w:rPr>
          <w:lang w:val="en-AU"/>
        </w:rPr>
      </w:pPr>
      <w:r w:rsidRPr="00B70797">
        <w:rPr>
          <w:lang w:val="en-AU"/>
        </w:rPr>
        <w:t>The NDIS Quality and Safeguards Commission (NDIS Commission) is a government body that works to improve the quality and safety of NDIS services and supports, investigates and resolves problems, and strengthens the skills and knowledge of providers and participants.</w:t>
      </w:r>
    </w:p>
    <w:p w:rsidR="005720B0" w:rsidRPr="00B70797" w:rsidRDefault="00394434" w:rsidP="0080160B">
      <w:pPr>
        <w:pStyle w:val="Heading3"/>
        <w:rPr>
          <w:lang w:val="en-AU"/>
        </w:rPr>
      </w:pPr>
      <w:r w:rsidRPr="00B70797">
        <w:rPr>
          <w:lang w:val="en-AU"/>
        </w:rPr>
        <w:t xml:space="preserve">The NDIS Commission </w:t>
      </w:r>
      <w:r w:rsidR="00166178" w:rsidRPr="00B70797">
        <w:rPr>
          <w:lang w:val="en-AU"/>
        </w:rPr>
        <w:t>will commence in</w:t>
      </w:r>
      <w:r w:rsidR="004C53D1" w:rsidRPr="00B70797">
        <w:rPr>
          <w:lang w:val="en-AU"/>
        </w:rPr>
        <w:t xml:space="preserve"> Western Australia</w:t>
      </w:r>
      <w:r w:rsidR="00166178" w:rsidRPr="00B70797">
        <w:rPr>
          <w:lang w:val="en-AU"/>
        </w:rPr>
        <w:t xml:space="preserve"> </w:t>
      </w:r>
      <w:r w:rsidR="00EF29C0" w:rsidRPr="00B70797">
        <w:rPr>
          <w:lang w:val="en-AU"/>
        </w:rPr>
        <w:t>on 1 </w:t>
      </w:r>
      <w:r w:rsidR="00533518" w:rsidRPr="00B70797">
        <w:rPr>
          <w:lang w:val="en-AU"/>
        </w:rPr>
        <w:t>December </w:t>
      </w:r>
      <w:r w:rsidR="004C53D1" w:rsidRPr="00B70797">
        <w:rPr>
          <w:lang w:val="en-AU"/>
        </w:rPr>
        <w:t>2020</w:t>
      </w:r>
      <w:r w:rsidRPr="00B70797">
        <w:rPr>
          <w:lang w:val="en-AU"/>
        </w:rPr>
        <w:t>.</w:t>
      </w:r>
    </w:p>
    <w:p w:rsidR="00367173" w:rsidRPr="00B70797" w:rsidRDefault="00CA358F" w:rsidP="004A6EE2">
      <w:pPr>
        <w:rPr>
          <w:lang w:val="en-AU"/>
        </w:rPr>
      </w:pPr>
      <w:r w:rsidRPr="00B70797">
        <w:rPr>
          <w:noProof/>
          <w:lang w:val="en-AU" w:eastAsia="zh-CN" w:bidi="hi-IN"/>
        </w:rPr>
        <w:drawing>
          <wp:inline distT="0" distB="0" distL="0" distR="0" wp14:anchorId="3D5A7C2B" wp14:editId="535A4FE4">
            <wp:extent cx="2867660" cy="943409"/>
            <wp:effectExtent l="0" t="0" r="0" b="9525"/>
            <wp:docPr id="2" name="Picture 5" descr="Map of Australia showing the commencement dates of the NDIS Commission in each state and territory:&#10;- 1 July 2018 in NSW and SA&#10;- 1 July 2019 in ACT, NT, QLD, TAS and VIC&#10;- 1 December 2020 in WA" title="Map of Austral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 of Australia showing the commencement dates of the NDIS Commission in each state and territory:&#10;- 1 July 2018 in NSW and SA&#10;- 1 July 2019 in ACT, NT, QLD, TAS and VIC&#10;- 1 December 2020 in WA" title="Map of Austral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9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0B" w:rsidRPr="00B70797" w:rsidRDefault="00394434" w:rsidP="0080160B">
      <w:pPr>
        <w:rPr>
          <w:lang w:val="en-AU"/>
        </w:rPr>
      </w:pPr>
      <w:r w:rsidRPr="00B70797">
        <w:rPr>
          <w:lang w:val="en-AU"/>
        </w:rPr>
        <w:t xml:space="preserve">When operational in all states and territories, the NDIS Commission will provide a single, national registration and regulatory system for </w:t>
      </w:r>
      <w:r w:rsidR="00832C2A" w:rsidRPr="00B70797">
        <w:rPr>
          <w:lang w:val="en-AU"/>
        </w:rPr>
        <w:t xml:space="preserve">NDIS </w:t>
      </w:r>
      <w:r w:rsidRPr="00B70797">
        <w:rPr>
          <w:lang w:val="en-AU"/>
        </w:rPr>
        <w:t>providers that will set a consistent approach to quality and safety across Australia.</w:t>
      </w:r>
    </w:p>
    <w:p w:rsidR="004E2A1D" w:rsidRPr="00B70797" w:rsidRDefault="004E2A1D" w:rsidP="0080160B">
      <w:pPr>
        <w:rPr>
          <w:lang w:val="en-AU"/>
        </w:rPr>
      </w:pPr>
    </w:p>
    <w:p w:rsidR="008D6FB8" w:rsidRPr="00B70797" w:rsidRDefault="00FA407B" w:rsidP="005720B0">
      <w:pPr>
        <w:rPr>
          <w:rFonts w:cs="FS Me"/>
          <w:color w:val="211D1E"/>
          <w:szCs w:val="18"/>
          <w:lang w:val="en-AU"/>
        </w:rPr>
      </w:pPr>
      <w:r w:rsidRPr="00B70797">
        <w:rPr>
          <w:rFonts w:cs="FS Me"/>
          <w:noProof/>
          <w:color w:val="211D1E"/>
          <w:szCs w:val="18"/>
          <w:lang w:val="en-AU" w:eastAsia="zh-CN" w:bidi="hi-IN"/>
        </w:rPr>
        <w:drawing>
          <wp:inline distT="0" distB="0" distL="0" distR="0" wp14:anchorId="67B82892" wp14:editId="71ABF28C">
            <wp:extent cx="2867660" cy="1911350"/>
            <wp:effectExtent l="0" t="0" r="8890" b="0"/>
            <wp:docPr id="1" name="Picture 1" descr="Man in wheelchair being assisted by support worker to enter a van on a raised platform." title="Man in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108_NDIS_COMMISSION_DAY3_James_3.1.3_0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B8" w:rsidRPr="00B70797" w:rsidRDefault="008D6FB8" w:rsidP="005720B0">
      <w:pPr>
        <w:pBdr>
          <w:bottom w:val="single" w:sz="6" w:space="1" w:color="auto"/>
        </w:pBdr>
        <w:rPr>
          <w:rFonts w:cs="FS Me"/>
          <w:color w:val="211D1E"/>
          <w:szCs w:val="18"/>
          <w:lang w:val="en-AU"/>
        </w:rPr>
        <w:sectPr w:rsidR="008D6FB8" w:rsidRPr="00B70797" w:rsidSect="00D81E78">
          <w:type w:val="continuous"/>
          <w:pgSz w:w="11900" w:h="16840"/>
          <w:pgMar w:top="1105" w:right="1080" w:bottom="1440" w:left="1080" w:header="708" w:footer="708" w:gutter="0"/>
          <w:cols w:num="2" w:space="708"/>
          <w:docGrid w:linePitch="360"/>
        </w:sectPr>
      </w:pPr>
    </w:p>
    <w:p w:rsidR="008D6FB8" w:rsidRPr="00B70797" w:rsidRDefault="008D6FB8" w:rsidP="00563A92">
      <w:pPr>
        <w:pBdr>
          <w:bottom w:val="single" w:sz="6" w:space="1" w:color="71266D"/>
        </w:pBdr>
        <w:spacing w:before="480" w:after="480"/>
        <w:rPr>
          <w:rFonts w:cs="FS Me"/>
          <w:color w:val="6AB233"/>
          <w:szCs w:val="18"/>
          <w:lang w:val="en-AU"/>
        </w:rPr>
      </w:pPr>
    </w:p>
    <w:p w:rsidR="008D6FB8" w:rsidRPr="00B70797" w:rsidRDefault="008D6FB8" w:rsidP="00563A92">
      <w:pPr>
        <w:spacing w:before="480" w:after="480"/>
        <w:rPr>
          <w:color w:val="6AB233"/>
          <w:lang w:val="en-AU"/>
        </w:rPr>
        <w:sectPr w:rsidR="008D6FB8" w:rsidRPr="00B70797" w:rsidSect="00D81E78">
          <w:type w:val="continuous"/>
          <w:pgSz w:w="11900" w:h="16840"/>
          <w:pgMar w:top="1105" w:right="1080" w:bottom="1440" w:left="1080" w:header="708" w:footer="708" w:gutter="0"/>
          <w:cols w:space="708"/>
          <w:docGrid w:linePitch="360"/>
        </w:sectPr>
      </w:pPr>
    </w:p>
    <w:p w:rsidR="005720B0" w:rsidRPr="00B70797" w:rsidRDefault="00FA407B" w:rsidP="00C9407D">
      <w:pPr>
        <w:pStyle w:val="Heading2"/>
        <w:rPr>
          <w:lang w:val="en-AU"/>
        </w:rPr>
      </w:pPr>
      <w:r w:rsidRPr="00B70797">
        <w:rPr>
          <w:noProof/>
          <w:lang w:val="en-AU" w:eastAsia="zh-CN" w:bidi="hi-IN"/>
        </w:rPr>
        <w:drawing>
          <wp:inline distT="0" distB="0" distL="0" distR="0" wp14:anchorId="284CC8DE" wp14:editId="72CCB0EB">
            <wp:extent cx="2982268" cy="3552825"/>
            <wp:effectExtent l="0" t="0" r="8890" b="0"/>
            <wp:docPr id="3" name="Picture 3" descr="Image of woman with prosthetic leg discussing a prototype foot with her provider " title="Image of particpant with prosthetic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1107_NDIS_COMMISSION_DAY2_Joany_2.3.3_07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034" cy="35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5C31" w:rsidRPr="00B70797">
        <w:rPr>
          <w:lang w:val="en-AU"/>
        </w:rPr>
        <w:br w:type="column"/>
      </w:r>
      <w:r w:rsidR="0080160B" w:rsidRPr="00B70797">
        <w:rPr>
          <w:lang w:val="en-AU"/>
        </w:rPr>
        <w:t xml:space="preserve">What has changed for providers </w:t>
      </w:r>
      <w:r w:rsidR="00166178" w:rsidRPr="00B70797">
        <w:rPr>
          <w:lang w:val="en-AU"/>
        </w:rPr>
        <w:t>in</w:t>
      </w:r>
      <w:r w:rsidR="004C53D1" w:rsidRPr="00B70797">
        <w:rPr>
          <w:lang w:val="en-AU"/>
        </w:rPr>
        <w:t xml:space="preserve"> Western Australia</w:t>
      </w:r>
      <w:r w:rsidR="00166178" w:rsidRPr="00B70797">
        <w:rPr>
          <w:lang w:val="en-AU"/>
        </w:rPr>
        <w:t>?</w:t>
      </w:r>
    </w:p>
    <w:p w:rsidR="0080160B" w:rsidRPr="00B70797" w:rsidRDefault="00394434" w:rsidP="0080160B">
      <w:pPr>
        <w:rPr>
          <w:lang w:val="en-AU"/>
        </w:rPr>
      </w:pPr>
      <w:r w:rsidRPr="00B70797">
        <w:rPr>
          <w:lang w:val="en-AU"/>
        </w:rPr>
        <w:t xml:space="preserve">The NDIS Commission introduced several changes </w:t>
      </w:r>
      <w:r w:rsidR="00166178" w:rsidRPr="00B70797">
        <w:rPr>
          <w:lang w:val="en-AU"/>
        </w:rPr>
        <w:t xml:space="preserve">for </w:t>
      </w:r>
      <w:r w:rsidR="004C53D1" w:rsidRPr="00B70797">
        <w:rPr>
          <w:lang w:val="en-AU"/>
        </w:rPr>
        <w:t xml:space="preserve">Western Australian </w:t>
      </w:r>
      <w:r w:rsidR="009D4A6A" w:rsidRPr="00B70797">
        <w:rPr>
          <w:lang w:val="en-AU"/>
        </w:rPr>
        <w:t xml:space="preserve">NDIS </w:t>
      </w:r>
      <w:r w:rsidRPr="00B70797">
        <w:rPr>
          <w:lang w:val="en-AU"/>
        </w:rPr>
        <w:t xml:space="preserve">providers. </w:t>
      </w:r>
    </w:p>
    <w:p w:rsidR="00F26A11" w:rsidRPr="00B70797" w:rsidRDefault="00451D94" w:rsidP="0080160B">
      <w:pPr>
        <w:rPr>
          <w:lang w:val="en-AU"/>
        </w:rPr>
      </w:pPr>
      <w:r w:rsidRPr="00B70797">
        <w:rPr>
          <w:lang w:val="en-AU"/>
        </w:rPr>
        <w:t>The</w:t>
      </w:r>
      <w:r w:rsidR="00F26A11" w:rsidRPr="00B70797">
        <w:rPr>
          <w:lang w:val="en-AU"/>
        </w:rPr>
        <w:t xml:space="preserve"> </w:t>
      </w:r>
      <w:r w:rsidR="00394434" w:rsidRPr="00B70797">
        <w:rPr>
          <w:lang w:val="en-AU"/>
        </w:rPr>
        <w:t xml:space="preserve">NDIS Code of Conduct </w:t>
      </w:r>
      <w:r w:rsidRPr="00B70797">
        <w:rPr>
          <w:lang w:val="en-AU"/>
        </w:rPr>
        <w:t>will apply</w:t>
      </w:r>
      <w:r w:rsidR="00F26A11" w:rsidRPr="00B70797">
        <w:rPr>
          <w:lang w:val="en-AU"/>
        </w:rPr>
        <w:t xml:space="preserve"> to all NDIS providers, even those that are unregistered. The NDIS Commission </w:t>
      </w:r>
      <w:r w:rsidRPr="00B70797">
        <w:rPr>
          <w:lang w:val="en-AU"/>
        </w:rPr>
        <w:t>will</w:t>
      </w:r>
      <w:r w:rsidR="00F26A11" w:rsidRPr="00B70797">
        <w:rPr>
          <w:lang w:val="en-AU"/>
        </w:rPr>
        <w:t xml:space="preserve"> also receive and handle complaints made with respect to all NDIS providers.</w:t>
      </w:r>
    </w:p>
    <w:p w:rsidR="0080160B" w:rsidRPr="00B70797" w:rsidRDefault="00F26A11" w:rsidP="0080160B">
      <w:pPr>
        <w:rPr>
          <w:lang w:val="en-AU"/>
        </w:rPr>
      </w:pPr>
      <w:r w:rsidRPr="00B70797">
        <w:rPr>
          <w:lang w:val="en-AU"/>
        </w:rPr>
        <w:t xml:space="preserve">Specific to registered NDIS providers are the </w:t>
      </w:r>
      <w:r w:rsidR="00394434" w:rsidRPr="00B70797">
        <w:rPr>
          <w:lang w:val="en-AU"/>
        </w:rPr>
        <w:t xml:space="preserve">NDIS Practice Standards, which set out expectations for the quality and safety of the services and supports </w:t>
      </w:r>
      <w:r w:rsidRPr="00B70797">
        <w:rPr>
          <w:lang w:val="en-AU"/>
        </w:rPr>
        <w:t xml:space="preserve">these </w:t>
      </w:r>
      <w:r w:rsidR="00394434" w:rsidRPr="00B70797">
        <w:rPr>
          <w:lang w:val="en-AU"/>
        </w:rPr>
        <w:t>providers deliver. There </w:t>
      </w:r>
      <w:r w:rsidRPr="00B70797">
        <w:rPr>
          <w:lang w:val="en-AU"/>
        </w:rPr>
        <w:t>will also be changes</w:t>
      </w:r>
      <w:r w:rsidR="00394434" w:rsidRPr="00B70797">
        <w:rPr>
          <w:lang w:val="en-AU"/>
        </w:rPr>
        <w:t xml:space="preserve"> to provider registration </w:t>
      </w:r>
      <w:r w:rsidRPr="00B70797">
        <w:rPr>
          <w:lang w:val="en-AU"/>
        </w:rPr>
        <w:t xml:space="preserve">processes, </w:t>
      </w:r>
      <w:r w:rsidR="00394434" w:rsidRPr="00B70797">
        <w:rPr>
          <w:lang w:val="en-AU"/>
        </w:rPr>
        <w:t xml:space="preserve">the way complaints </w:t>
      </w:r>
      <w:proofErr w:type="gramStart"/>
      <w:r w:rsidR="00394434" w:rsidRPr="00B70797">
        <w:rPr>
          <w:lang w:val="en-AU"/>
        </w:rPr>
        <w:t>are </w:t>
      </w:r>
      <w:r w:rsidRPr="00B70797">
        <w:rPr>
          <w:lang w:val="en-AU"/>
        </w:rPr>
        <w:t>managed</w:t>
      </w:r>
      <w:proofErr w:type="gramEnd"/>
      <w:r w:rsidR="00394434" w:rsidRPr="00B70797">
        <w:rPr>
          <w:lang w:val="en-AU"/>
        </w:rPr>
        <w:t xml:space="preserve">, incidents are reported, behaviour support plans are developed and checked, and worker screening is undertaken. </w:t>
      </w:r>
    </w:p>
    <w:p w:rsidR="00263F43" w:rsidRPr="00B70797" w:rsidRDefault="00FA407B" w:rsidP="0080160B">
      <w:pPr>
        <w:rPr>
          <w:rFonts w:ascii="Calibri" w:hAnsi="Calibri"/>
          <w:b/>
          <w:lang w:val="en-AU"/>
        </w:rPr>
      </w:pPr>
      <w:r w:rsidRPr="00B70797">
        <w:rPr>
          <w:noProof/>
          <w:lang w:val="en-AU" w:eastAsia="zh-CN" w:bidi="hi-IN"/>
        </w:rPr>
        <w:drawing>
          <wp:inline distT="0" distB="0" distL="0" distR="0" wp14:anchorId="77429D00" wp14:editId="518E11E5">
            <wp:extent cx="381000" cy="432435"/>
            <wp:effectExtent l="0" t="0" r="0" b="5715"/>
            <wp:docPr id="4" name="Picture 4" descr="Icon depicting the concept of guidance, wiht arrows pointing in various directions." title="Icon 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434" w:rsidRPr="00B70797">
        <w:rPr>
          <w:rFonts w:ascii="Calibri" w:hAnsi="Calibri"/>
          <w:b/>
          <w:lang w:val="en-AU"/>
        </w:rPr>
        <w:t>The NDIS Commission provides information and guidance to support providers to understand and meet their quality and safeguards requirements.</w:t>
      </w:r>
      <w:r w:rsidR="00394434" w:rsidRPr="00B70797">
        <w:rPr>
          <w:rFonts w:ascii="Calibri" w:hAnsi="Calibri"/>
          <w:b/>
          <w:lang w:val="en-AU"/>
        </w:rPr>
        <w:br w:type="page"/>
      </w:r>
    </w:p>
    <w:p w:rsidR="00263F43" w:rsidRPr="00B70797" w:rsidRDefault="00263F43" w:rsidP="00263F43">
      <w:pPr>
        <w:rPr>
          <w:color w:val="5E1E63"/>
          <w:sz w:val="36"/>
          <w:szCs w:val="36"/>
          <w:lang w:val="en-AU"/>
        </w:rPr>
        <w:sectPr w:rsidR="00263F43" w:rsidRPr="00B70797" w:rsidSect="00D81E78">
          <w:type w:val="continuous"/>
          <w:pgSz w:w="11900" w:h="16840"/>
          <w:pgMar w:top="1105" w:right="1080" w:bottom="1440" w:left="1080" w:header="708" w:footer="708" w:gutter="0"/>
          <w:cols w:num="2" w:space="708"/>
          <w:docGrid w:linePitch="360"/>
        </w:sectPr>
      </w:pPr>
    </w:p>
    <w:p w:rsidR="00612D89" w:rsidRPr="00B70797" w:rsidRDefault="00394434" w:rsidP="00C9407D">
      <w:pPr>
        <w:pStyle w:val="Heading2"/>
        <w:rPr>
          <w:lang w:val="en-AU"/>
        </w:rPr>
      </w:pPr>
      <w:r w:rsidRPr="00B70797">
        <w:rPr>
          <w:lang w:val="en-AU"/>
        </w:rPr>
        <w:lastRenderedPageBreak/>
        <w:t>Then and now in quality and safeguards</w:t>
      </w:r>
    </w:p>
    <w:tbl>
      <w:tblPr>
        <w:tblStyle w:val="MediumShading1-Accent4"/>
        <w:tblW w:w="10207" w:type="dxa"/>
        <w:tblInd w:w="-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  <w:tblCaption w:val="Table outlining how various functions worked in WA before the NDIS Commission (before 1 July 2020), and how they will operate after 1 July 2020 under the NDIS Commission."/>
        <w:tblDescription w:val="Table outlining how various functions worked in WA before the NDIS Commission (before 1 July 2020), and how they will operate after 1 July 2020 under the NDIS Commission."/>
      </w:tblPr>
      <w:tblGrid>
        <w:gridCol w:w="1458"/>
        <w:gridCol w:w="3787"/>
        <w:gridCol w:w="4962"/>
      </w:tblGrid>
      <w:tr w:rsidR="0084245E" w:rsidRPr="00B70797" w:rsidTr="00C94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263F43" w:rsidRPr="00B70797" w:rsidRDefault="00394434" w:rsidP="00C9407D">
            <w:pPr>
              <w:pStyle w:val="Pa1"/>
              <w:spacing w:line="240" w:lineRule="auto"/>
              <w:rPr>
                <w:rFonts w:asciiTheme="majorHAnsi" w:hAnsiTheme="majorHAnsi" w:cs="FS Me"/>
                <w:color w:val="FFFFFF"/>
                <w:sz w:val="18"/>
                <w:szCs w:val="18"/>
                <w:lang w:val="en-AU"/>
              </w:rPr>
            </w:pPr>
            <w:r w:rsidRPr="00B70797">
              <w:rPr>
                <w:rFonts w:asciiTheme="majorHAnsi" w:hAnsiTheme="majorHAnsi" w:cs="FS Me"/>
                <w:b w:val="0"/>
                <w:bCs w:val="0"/>
                <w:color w:val="FFFFFF"/>
                <w:sz w:val="18"/>
                <w:szCs w:val="18"/>
                <w:lang w:val="en-AU"/>
              </w:rPr>
              <w:t>Function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263F43" w:rsidRPr="00B70797" w:rsidRDefault="00394434" w:rsidP="00C9407D">
            <w:pPr>
              <w:pStyle w:val="Pa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S Me"/>
                <w:color w:val="FFFFFF"/>
                <w:sz w:val="18"/>
                <w:szCs w:val="18"/>
                <w:lang w:val="en-AU"/>
              </w:rPr>
            </w:pPr>
            <w:r w:rsidRPr="00B70797">
              <w:rPr>
                <w:rFonts w:asciiTheme="majorHAnsi" w:hAnsiTheme="majorHAnsi" w:cs="FS Me"/>
                <w:b w:val="0"/>
                <w:bCs w:val="0"/>
                <w:color w:val="FFFFFF"/>
                <w:sz w:val="18"/>
                <w:szCs w:val="18"/>
                <w:lang w:val="en-AU"/>
              </w:rPr>
              <w:t>Prior to the NDIS Commission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263F43" w:rsidRPr="00B70797" w:rsidRDefault="00394434" w:rsidP="00C9407D">
            <w:pPr>
              <w:pStyle w:val="Pa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S Me"/>
                <w:color w:val="FFFFFF"/>
                <w:sz w:val="18"/>
                <w:szCs w:val="18"/>
                <w:lang w:val="en-AU"/>
              </w:rPr>
            </w:pPr>
            <w:r w:rsidRPr="00B70797">
              <w:rPr>
                <w:rFonts w:asciiTheme="majorHAnsi" w:hAnsiTheme="majorHAnsi" w:cs="FS Me"/>
                <w:b w:val="0"/>
                <w:bCs w:val="0"/>
                <w:color w:val="FFFFFF"/>
                <w:sz w:val="18"/>
                <w:szCs w:val="18"/>
                <w:lang w:val="en-AU"/>
              </w:rPr>
              <w:t>Under the NDIS Commission</w:t>
            </w:r>
          </w:p>
        </w:tc>
      </w:tr>
      <w:tr w:rsidR="004B1292" w:rsidRPr="00B70797" w:rsidTr="00C9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Provider registration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>Registration as a provider of disability supports and services in WA require</w:t>
            </w:r>
            <w:r w:rsidR="00767F9D" w:rsidRPr="00B70797">
              <w:t>d</w:t>
            </w:r>
            <w:r w:rsidRPr="00B70797">
              <w:t xml:space="preserve"> potential providers to meet: </w:t>
            </w:r>
          </w:p>
          <w:p w:rsidR="00FB350F" w:rsidRPr="00B70797" w:rsidRDefault="00394434" w:rsidP="00C9407D">
            <w:pPr>
              <w:pStyle w:val="Table"/>
              <w:numPr>
                <w:ilvl w:val="0"/>
                <w:numId w:val="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the NDIA Terms of Business terms and conditions; and </w:t>
            </w:r>
          </w:p>
          <w:p w:rsidR="00FB350F" w:rsidRPr="00B70797" w:rsidRDefault="00394434" w:rsidP="00C9407D">
            <w:pPr>
              <w:pStyle w:val="Table"/>
              <w:numPr>
                <w:ilvl w:val="0"/>
                <w:numId w:val="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70797">
              <w:t>requirements</w:t>
            </w:r>
            <w:proofErr w:type="gramEnd"/>
            <w:r w:rsidRPr="00B70797">
              <w:t xml:space="preserve"> of the Disability Services Provider Panel (DSPP) process which include</w:t>
            </w:r>
            <w:r w:rsidR="00EF351C" w:rsidRPr="00B70797">
              <w:t>d</w:t>
            </w:r>
            <w:r w:rsidRPr="00B70797">
              <w:t xml:space="preserve"> the WA Quality System Framework.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>The NDIS Commission</w:t>
            </w:r>
            <w:r w:rsidR="009D4A6A" w:rsidRPr="00B70797">
              <w:t>er</w:t>
            </w:r>
            <w:r w:rsidRPr="00B70797">
              <w:t xml:space="preserve"> registers providers. Registered </w:t>
            </w:r>
            <w:r w:rsidR="009D4A6A" w:rsidRPr="00B70797">
              <w:t xml:space="preserve">NDIS </w:t>
            </w:r>
            <w:r w:rsidRPr="00B70797">
              <w:t>providers are required to comply with the NDIS Practice Standards, the NDIS Code of Conduct and requirements for incident management, complaints management, worker screening and behaviour support (where applicable).</w:t>
            </w:r>
          </w:p>
        </w:tc>
      </w:tr>
      <w:tr w:rsidR="004B1292" w:rsidRPr="00B70797" w:rsidTr="00C94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Standards of quality and safety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 xml:space="preserve">Registered WA service providers </w:t>
            </w:r>
            <w:r w:rsidR="00767F9D" w:rsidRPr="00B70797">
              <w:t>were</w:t>
            </w:r>
            <w:r w:rsidRPr="00B70797">
              <w:t xml:space="preserve"> required to meet the National Standards for Disability Services</w:t>
            </w:r>
            <w:r w:rsidR="00F5047F" w:rsidRPr="00B70797">
              <w:t xml:space="preserve"> and </w:t>
            </w:r>
            <w:proofErr w:type="gramStart"/>
            <w:r w:rsidR="00767F9D" w:rsidRPr="00B70797">
              <w:t>were</w:t>
            </w:r>
            <w:r w:rsidR="00F5047F" w:rsidRPr="00B70797">
              <w:t xml:space="preserve"> evaluated</w:t>
            </w:r>
            <w:proofErr w:type="gramEnd"/>
            <w:r w:rsidR="00F5047F" w:rsidRPr="00B70797">
              <w:t xml:space="preserve"> </w:t>
            </w:r>
            <w:r w:rsidRPr="00B70797">
              <w:t xml:space="preserve">against the Indicators of Practice for these Standards. 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 xml:space="preserve">Registered </w:t>
            </w:r>
            <w:r w:rsidR="009D4A6A" w:rsidRPr="00B70797">
              <w:t xml:space="preserve">NDIS </w:t>
            </w:r>
            <w:r w:rsidRPr="00B70797">
              <w:t xml:space="preserve">providers must meet and </w:t>
            </w:r>
            <w:proofErr w:type="gramStart"/>
            <w:r w:rsidRPr="00B70797">
              <w:t>be audited</w:t>
            </w:r>
            <w:proofErr w:type="gramEnd"/>
            <w:r w:rsidRPr="00B70797">
              <w:t xml:space="preserve"> against the relevant NDIS Practice Standards.</w:t>
            </w:r>
            <w:r w:rsidR="00A97551" w:rsidRPr="00B70797">
              <w:t xml:space="preserve"> Transitional arrangements apply in relation to the NDIS Practice Standards to providers who transition to become registered NDIS providers on 1 </w:t>
            </w:r>
            <w:r w:rsidR="00253036" w:rsidRPr="00B70797">
              <w:t>December</w:t>
            </w:r>
            <w:r w:rsidR="00A97551" w:rsidRPr="00B70797">
              <w:t xml:space="preserve"> 2020.</w:t>
            </w:r>
          </w:p>
        </w:tc>
      </w:tr>
      <w:tr w:rsidR="004B1292" w:rsidRPr="00B70797" w:rsidTr="00C9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Code of Conduct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Registered WA service providers </w:t>
            </w:r>
            <w:r w:rsidR="00767F9D" w:rsidRPr="00B70797">
              <w:t>were</w:t>
            </w:r>
            <w:r w:rsidRPr="00B70797">
              <w:t xml:space="preserve"> required to have their own Code of Conduct that align</w:t>
            </w:r>
            <w:r w:rsidR="00767F9D" w:rsidRPr="00B70797">
              <w:t>ed</w:t>
            </w:r>
            <w:r w:rsidRPr="00B70797">
              <w:t xml:space="preserve"> with the National Standards for Disability Services.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All </w:t>
            </w:r>
            <w:r w:rsidR="00A97551" w:rsidRPr="00B70797">
              <w:t xml:space="preserve">NDIS </w:t>
            </w:r>
            <w:r w:rsidRPr="00B70797">
              <w:t xml:space="preserve">providers and workers in the NDIS must </w:t>
            </w:r>
            <w:r w:rsidR="00A97551" w:rsidRPr="00B70797">
              <w:t xml:space="preserve">comply with </w:t>
            </w:r>
            <w:r w:rsidRPr="00B70797">
              <w:t xml:space="preserve">the </w:t>
            </w:r>
            <w:r w:rsidR="00A97551" w:rsidRPr="00B70797">
              <w:t xml:space="preserve">requirements of the </w:t>
            </w:r>
            <w:r w:rsidRPr="00B70797">
              <w:t>NDIS Code of Conduct.</w:t>
            </w:r>
          </w:p>
        </w:tc>
      </w:tr>
      <w:tr w:rsidR="004B1292" w:rsidRPr="00B70797" w:rsidTr="00C94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Worker screening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>Registered WA service providers ensure</w:t>
            </w:r>
            <w:r w:rsidR="00767F9D" w:rsidRPr="00B70797">
              <w:t>d</w:t>
            </w:r>
            <w:r w:rsidRPr="00B70797">
              <w:t xml:space="preserve"> all staff, volunteers, management and Board members ha</w:t>
            </w:r>
            <w:r w:rsidR="00767F9D" w:rsidRPr="00B70797">
              <w:t>d</w:t>
            </w:r>
            <w:r w:rsidRPr="00B70797">
              <w:t xml:space="preserve"> a current Police Clearance</w:t>
            </w:r>
            <w:r w:rsidR="00B3153C" w:rsidRPr="00B70797">
              <w:t xml:space="preserve"> and those </w:t>
            </w:r>
            <w:r w:rsidRPr="00B70797">
              <w:t>who engage</w:t>
            </w:r>
            <w:r w:rsidR="00767F9D" w:rsidRPr="00B70797">
              <w:t>d</w:t>
            </w:r>
            <w:r w:rsidRPr="00B70797">
              <w:t xml:space="preserve"> in child-related work </w:t>
            </w:r>
            <w:r w:rsidR="00767F9D" w:rsidRPr="00B70797">
              <w:t>had</w:t>
            </w:r>
            <w:r w:rsidRPr="00B70797">
              <w:t xml:space="preserve"> a Working With Children Check.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 xml:space="preserve">All states and territories </w:t>
            </w:r>
            <w:r w:rsidR="00EE6777" w:rsidRPr="00B70797">
              <w:t xml:space="preserve">will progressively </w:t>
            </w:r>
            <w:r w:rsidRPr="00B70797">
              <w:t xml:space="preserve">transition to a nationally consistent Worker Screening Check for </w:t>
            </w:r>
            <w:r w:rsidR="00B6215E" w:rsidRPr="00B70797">
              <w:t xml:space="preserve">workers or other personnel </w:t>
            </w:r>
            <w:r w:rsidRPr="00B70797">
              <w:t xml:space="preserve">of registered </w:t>
            </w:r>
            <w:r w:rsidR="00B6215E" w:rsidRPr="00B70797">
              <w:t xml:space="preserve">NDIS </w:t>
            </w:r>
            <w:r w:rsidRPr="00B70797">
              <w:t xml:space="preserve">providers who </w:t>
            </w:r>
            <w:r w:rsidR="00F0564B" w:rsidRPr="00B70797">
              <w:t xml:space="preserve">are in </w:t>
            </w:r>
            <w:r w:rsidR="007C2CA3" w:rsidRPr="00B70797">
              <w:t xml:space="preserve">what the NDIS rules define as </w:t>
            </w:r>
            <w:r w:rsidR="00F0564B" w:rsidRPr="00B70797">
              <w:t>a risk assessed role</w:t>
            </w:r>
            <w:r w:rsidR="004960BA" w:rsidRPr="00B70797">
              <w:t xml:space="preserve">, </w:t>
            </w:r>
            <w:r w:rsidR="00451D94" w:rsidRPr="00B70797">
              <w:t>which includes those</w:t>
            </w:r>
            <w:r w:rsidR="004960BA" w:rsidRPr="00B70797">
              <w:t xml:space="preserve"> supports or services specified by the Commissioner, </w:t>
            </w:r>
            <w:r w:rsidR="00F0564B" w:rsidRPr="00B70797">
              <w:t xml:space="preserve"> </w:t>
            </w:r>
            <w:r w:rsidR="004960BA" w:rsidRPr="00B70797">
              <w:t>and those persons</w:t>
            </w:r>
            <w:r w:rsidR="00F0564B" w:rsidRPr="00B70797">
              <w:t xml:space="preserve"> that </w:t>
            </w:r>
            <w:r w:rsidR="00EE6777" w:rsidRPr="00B70797">
              <w:t>have more than incidental contact with people with disability</w:t>
            </w:r>
            <w:r w:rsidRPr="00B70797">
              <w:t>.</w:t>
            </w:r>
          </w:p>
        </w:tc>
      </w:tr>
      <w:tr w:rsidR="004B1292" w:rsidRPr="00B70797" w:rsidTr="00C9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Complaints management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9F097A">
            <w:pPr>
              <w:pStyle w:val="Tab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Registered WA service providers </w:t>
            </w:r>
            <w:r w:rsidR="00767F9D" w:rsidRPr="00B70797">
              <w:t>were</w:t>
            </w:r>
            <w:r w:rsidRPr="00B70797">
              <w:t xml:space="preserve"> required to have a robust and transparent feedback and complaints management system for individuals (including NDIS participants) receiving disability supports and services.</w:t>
            </w:r>
          </w:p>
          <w:p w:rsidR="007A0037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Matters not resolved with registered service providers </w:t>
            </w:r>
            <w:proofErr w:type="gramStart"/>
            <w:r w:rsidR="00767F9D" w:rsidRPr="00B70797">
              <w:t>were able to</w:t>
            </w:r>
            <w:proofErr w:type="gramEnd"/>
            <w:r w:rsidR="00767F9D" w:rsidRPr="00B70797">
              <w:t xml:space="preserve"> be</w:t>
            </w:r>
            <w:r w:rsidRPr="00B70797">
              <w:t xml:space="preserve"> referred by individuals to the Health and Disability Services Complaints Office</w:t>
            </w:r>
            <w:r w:rsidR="00C9407D" w:rsidRPr="00B70797">
              <w:t xml:space="preserve"> (</w:t>
            </w:r>
            <w:proofErr w:type="spellStart"/>
            <w:r w:rsidR="00C9407D" w:rsidRPr="00B70797">
              <w:t>HaDSCO</w:t>
            </w:r>
            <w:proofErr w:type="spellEnd"/>
            <w:r w:rsidR="00C9407D" w:rsidRPr="00B70797">
              <w:t>)</w:t>
            </w:r>
            <w:r w:rsidRPr="00B70797">
              <w:t xml:space="preserve">. </w:t>
            </w:r>
          </w:p>
          <w:p w:rsidR="00FB350F" w:rsidRPr="00B70797" w:rsidRDefault="007A0037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The WA Ombudsman jurisdiction extends to the oversight of the Department of Communities and </w:t>
            </w:r>
            <w:proofErr w:type="spellStart"/>
            <w:proofErr w:type="gramStart"/>
            <w:r w:rsidRPr="00B70797">
              <w:t>HaDSCO’s</w:t>
            </w:r>
            <w:proofErr w:type="spellEnd"/>
            <w:proofErr w:type="gramEnd"/>
            <w:r w:rsidRPr="00B70797">
              <w:t xml:space="preserve"> handling of a complaint</w:t>
            </w:r>
            <w:r w:rsidR="004960BA" w:rsidRPr="00B70797">
              <w:t>.</w:t>
            </w:r>
            <w:r w:rsidRPr="00B70797">
              <w:t xml:space="preserve"> 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7338A5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Complaints about the quality or safety of NDIS supports and services </w:t>
            </w:r>
            <w:proofErr w:type="gramStart"/>
            <w:r w:rsidRPr="00B70797">
              <w:t>can be made</w:t>
            </w:r>
            <w:proofErr w:type="gramEnd"/>
            <w:r w:rsidRPr="00B70797">
              <w:t xml:space="preserve"> to the NDIS Commission. </w:t>
            </w:r>
          </w:p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Registered </w:t>
            </w:r>
            <w:r w:rsidR="00B6215E" w:rsidRPr="00B70797">
              <w:t xml:space="preserve">NDIS </w:t>
            </w:r>
            <w:r w:rsidRPr="00B70797">
              <w:t xml:space="preserve">providers are required to have effective and proportionate internal complaint management and resolution arrangements in place. Registered </w:t>
            </w:r>
            <w:r w:rsidR="00B6215E" w:rsidRPr="00B70797">
              <w:t xml:space="preserve">NDIS </w:t>
            </w:r>
            <w:r w:rsidRPr="00B70797">
              <w:t>providers must afford procedural fairness to people when managing complaints.</w:t>
            </w:r>
          </w:p>
          <w:p w:rsidR="003E2054" w:rsidRPr="00B70797" w:rsidRDefault="003E2054" w:rsidP="009F097A">
            <w:pPr>
              <w:pStyle w:val="Tab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>Post transition, the Health and Disability Services Complaints Office will still be able to receive complaints about incidents that occurred up to two years prior</w:t>
            </w:r>
            <w:r w:rsidR="004960BA" w:rsidRPr="00B70797">
              <w:t xml:space="preserve"> (i.e. </w:t>
            </w:r>
            <w:r w:rsidR="003B4F50" w:rsidRPr="00B70797">
              <w:t>incidents</w:t>
            </w:r>
            <w:r w:rsidR="004960BA" w:rsidRPr="00B70797">
              <w:t xml:space="preserve"> between 1 December 2018 to 30 November 2020)</w:t>
            </w:r>
            <w:r w:rsidRPr="00B70797">
              <w:t>.</w:t>
            </w:r>
          </w:p>
          <w:p w:rsidR="00B6215E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Complaints about the NDIA or participant plans continue to </w:t>
            </w:r>
            <w:proofErr w:type="gramStart"/>
            <w:r w:rsidRPr="00B70797">
              <w:t>be made</w:t>
            </w:r>
            <w:proofErr w:type="gramEnd"/>
            <w:r w:rsidRPr="00B70797">
              <w:t xml:space="preserve"> to the NDIA or to the Commonwealth Ombudsman. </w:t>
            </w:r>
          </w:p>
          <w:p w:rsidR="00F22DCC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Complaints about the NDIS Commission </w:t>
            </w:r>
            <w:proofErr w:type="gramStart"/>
            <w:r w:rsidRPr="00B70797">
              <w:t>can be made</w:t>
            </w:r>
            <w:proofErr w:type="gramEnd"/>
            <w:r w:rsidRPr="00B70797">
              <w:t xml:space="preserve"> directly to the NDIS Commission or to the Commonwealth Ombudsman.</w:t>
            </w:r>
          </w:p>
        </w:tc>
      </w:tr>
      <w:tr w:rsidR="004B1292" w:rsidRPr="00B70797" w:rsidTr="00C94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Calibri" w:hAnsi="Calibri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Behaviour support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9F097A">
            <w:pPr>
              <w:pStyle w:val="Table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>Guidance on the use of Restrictive Practice</w:t>
            </w:r>
            <w:r w:rsidR="009E1CCB" w:rsidRPr="00B70797">
              <w:t>s</w:t>
            </w:r>
            <w:r w:rsidRPr="00B70797">
              <w:t xml:space="preserve"> by registered providers </w:t>
            </w:r>
            <w:proofErr w:type="gramStart"/>
            <w:r w:rsidRPr="00B70797">
              <w:t>is detailed</w:t>
            </w:r>
            <w:proofErr w:type="gramEnd"/>
            <w:r w:rsidRPr="00B70797">
              <w:t xml:space="preserve"> in the </w:t>
            </w:r>
            <w:r w:rsidRPr="00B70797">
              <w:rPr>
                <w:rStyle w:val="Bold"/>
                <w:rFonts w:ascii="Calibri Light" w:hAnsi="Calibri Light" w:cstheme="minorBidi"/>
                <w:b w:val="0"/>
                <w:bCs w:val="0"/>
              </w:rPr>
              <w:t>Code of Practice: A Guide for the Elimination of Restrictive Practices</w:t>
            </w:r>
            <w:r w:rsidRPr="00B70797">
              <w:t>.</w:t>
            </w:r>
          </w:p>
          <w:p w:rsidR="00F5047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rPr>
                <w:rFonts w:eastAsiaTheme="minorHAnsi"/>
              </w:rPr>
              <w:t xml:space="preserve">The application of behaviour support plans in the use of Restrictive Practices </w:t>
            </w:r>
            <w:proofErr w:type="gramStart"/>
            <w:r w:rsidRPr="00B70797">
              <w:rPr>
                <w:rFonts w:eastAsiaTheme="minorHAnsi"/>
              </w:rPr>
              <w:t xml:space="preserve">is </w:t>
            </w:r>
            <w:r w:rsidRPr="00B70797">
              <w:t>informed</w:t>
            </w:r>
            <w:proofErr w:type="gramEnd"/>
            <w:r w:rsidRPr="00B70797">
              <w:t xml:space="preserve"> by the Code. </w:t>
            </w:r>
          </w:p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70797">
              <w:rPr>
                <w:iCs/>
              </w:rPr>
              <w:t xml:space="preserve">The </w:t>
            </w:r>
            <w:r w:rsidRPr="00B70797">
              <w:rPr>
                <w:i/>
                <w:iCs/>
              </w:rPr>
              <w:t xml:space="preserve">WA Disability Services Act 1993 </w:t>
            </w:r>
            <w:r w:rsidRPr="00B70797">
              <w:t>does not regulate restrictive practices</w:t>
            </w:r>
            <w:r w:rsidRPr="00B70797">
              <w:rPr>
                <w:i/>
                <w:iCs/>
              </w:rPr>
              <w:t>.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9F097A">
            <w:pPr>
              <w:pStyle w:val="Table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>NDIS providers who use or are likely to use restrictive practices, or who develop behaviour support plans</w:t>
            </w:r>
            <w:r w:rsidR="009E1CCB" w:rsidRPr="00B70797">
              <w:t>,</w:t>
            </w:r>
            <w:r w:rsidRPr="00B70797">
              <w:t xml:space="preserve"> </w:t>
            </w:r>
            <w:proofErr w:type="gramStart"/>
            <w:r w:rsidRPr="00B70797">
              <w:t>must be registered</w:t>
            </w:r>
            <w:proofErr w:type="gramEnd"/>
            <w:r w:rsidRPr="00B70797">
              <w:t xml:space="preserve"> with the NDIS Commission and meet </w:t>
            </w:r>
            <w:r w:rsidR="000B6A16" w:rsidRPr="00B70797">
              <w:t xml:space="preserve">additional </w:t>
            </w:r>
            <w:r w:rsidRPr="00B70797">
              <w:t xml:space="preserve">requirements of the NDIS Practice Standards. </w:t>
            </w:r>
          </w:p>
          <w:p w:rsidR="00FB350F" w:rsidRPr="00B70797" w:rsidRDefault="00394434" w:rsidP="00C9407D">
            <w:pPr>
              <w:pStyle w:val="Table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797">
              <w:t>The NDIS Commission</w:t>
            </w:r>
            <w:r w:rsidR="000B6A16" w:rsidRPr="00B70797">
              <w:t>er</w:t>
            </w:r>
            <w:r w:rsidRPr="00B70797">
              <w:t xml:space="preserve"> approves behaviour support practitioners using </w:t>
            </w:r>
            <w:r w:rsidR="00767F9D" w:rsidRPr="00B70797">
              <w:t xml:space="preserve">the Positive Behaviour Support Capability </w:t>
            </w:r>
            <w:r w:rsidR="009E1CCB" w:rsidRPr="00B70797">
              <w:t>F</w:t>
            </w:r>
            <w:r w:rsidRPr="00B70797">
              <w:t xml:space="preserve">ramework. </w:t>
            </w:r>
            <w:r w:rsidR="00B6215E" w:rsidRPr="00B70797">
              <w:t>Registered NDIS p</w:t>
            </w:r>
            <w:r w:rsidRPr="00B70797">
              <w:t xml:space="preserve">roviders must lodge behaviour support plans with the NDIS Commission and notify it of the use of restrictive practices. There will be a new </w:t>
            </w:r>
            <w:r w:rsidR="00767F9D" w:rsidRPr="00B70797">
              <w:t xml:space="preserve">WA </w:t>
            </w:r>
            <w:r w:rsidR="000471C6" w:rsidRPr="00B70797">
              <w:t>interim</w:t>
            </w:r>
            <w:r w:rsidR="00767F9D" w:rsidRPr="00B70797">
              <w:t xml:space="preserve"> </w:t>
            </w:r>
            <w:r w:rsidR="009E1CCB" w:rsidRPr="00B70797">
              <w:t>p</w:t>
            </w:r>
            <w:r w:rsidRPr="00B70797">
              <w:t xml:space="preserve">olicy including a </w:t>
            </w:r>
            <w:r w:rsidR="009E1CCB" w:rsidRPr="00B70797">
              <w:t>r</w:t>
            </w:r>
            <w:r w:rsidRPr="00B70797">
              <w:t xml:space="preserve">estrictive </w:t>
            </w:r>
            <w:r w:rsidR="009E1CCB" w:rsidRPr="00B70797">
              <w:t>p</w:t>
            </w:r>
            <w:r w:rsidRPr="00B70797">
              <w:t xml:space="preserve">ractices </w:t>
            </w:r>
            <w:r w:rsidR="009E1CCB" w:rsidRPr="00B70797">
              <w:t>a</w:t>
            </w:r>
            <w:r w:rsidRPr="00B70797">
              <w:t xml:space="preserve">uthorisation </w:t>
            </w:r>
            <w:r w:rsidR="00A66EA6" w:rsidRPr="00B70797">
              <w:t xml:space="preserve">mechanism, </w:t>
            </w:r>
            <w:r w:rsidR="000B6A16" w:rsidRPr="00B70797">
              <w:t xml:space="preserve">with </w:t>
            </w:r>
            <w:r w:rsidR="00A66EA6" w:rsidRPr="00B70797">
              <w:t>which</w:t>
            </w:r>
            <w:r w:rsidRPr="00B70797">
              <w:t xml:space="preserve"> providers will need to comply.</w:t>
            </w:r>
          </w:p>
        </w:tc>
      </w:tr>
      <w:tr w:rsidR="004B1292" w:rsidRPr="00B70797" w:rsidTr="00C9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71266D"/>
            </w:tcBorders>
          </w:tcPr>
          <w:p w:rsidR="00FB350F" w:rsidRPr="00B70797" w:rsidRDefault="00394434" w:rsidP="00C9407D">
            <w:pPr>
              <w:spacing w:after="0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B70797">
              <w:rPr>
                <w:rFonts w:ascii="Calibri" w:hAnsi="Calibri"/>
                <w:lang w:val="en-AU"/>
              </w:rPr>
              <w:t>Incident management</w:t>
            </w:r>
          </w:p>
        </w:tc>
        <w:tc>
          <w:tcPr>
            <w:tcW w:w="3787" w:type="dxa"/>
            <w:tcBorders>
              <w:left w:val="single" w:sz="4" w:space="0" w:color="71266D"/>
              <w:righ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>Registered WA service providers report</w:t>
            </w:r>
            <w:r w:rsidR="00EF351C" w:rsidRPr="00B70797">
              <w:t>ed</w:t>
            </w:r>
            <w:r w:rsidRPr="00B70797">
              <w:t xml:space="preserve"> serious and notifiable incidents to the </w:t>
            </w:r>
            <w:r w:rsidR="00A66EA6" w:rsidRPr="00B70797">
              <w:t>D</w:t>
            </w:r>
            <w:r w:rsidR="00EF351C" w:rsidRPr="00B70797">
              <w:t xml:space="preserve">epartment </w:t>
            </w:r>
            <w:r w:rsidR="00A66EA6" w:rsidRPr="00B70797">
              <w:t>o</w:t>
            </w:r>
            <w:r w:rsidR="00EF351C" w:rsidRPr="00B70797">
              <w:t xml:space="preserve">f </w:t>
            </w:r>
            <w:r w:rsidR="00A66EA6" w:rsidRPr="00B70797">
              <w:t>C</w:t>
            </w:r>
            <w:r w:rsidR="00EF351C" w:rsidRPr="00B70797">
              <w:t>ommunities</w:t>
            </w:r>
            <w:r w:rsidRPr="00B70797">
              <w:t xml:space="preserve"> </w:t>
            </w:r>
            <w:r w:rsidR="008E3CB8" w:rsidRPr="00B70797">
              <w:t>with s</w:t>
            </w:r>
            <w:r w:rsidRPr="00B70797">
              <w:t xml:space="preserve">erious incidents submitted using </w:t>
            </w:r>
            <w:r w:rsidR="008E3CB8" w:rsidRPr="00B70797">
              <w:t xml:space="preserve">the </w:t>
            </w:r>
            <w:r w:rsidRPr="00B70797">
              <w:t>online Serious Incident reporting system.</w:t>
            </w:r>
          </w:p>
        </w:tc>
        <w:tc>
          <w:tcPr>
            <w:tcW w:w="4962" w:type="dxa"/>
            <w:tcBorders>
              <w:left w:val="single" w:sz="4" w:space="0" w:color="71266D"/>
            </w:tcBorders>
          </w:tcPr>
          <w:p w:rsidR="00FB350F" w:rsidRPr="00B70797" w:rsidRDefault="00394434" w:rsidP="00C9407D">
            <w:pPr>
              <w:pStyle w:val="Tab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797">
              <w:t xml:space="preserve">Registered </w:t>
            </w:r>
            <w:r w:rsidR="00B6215E" w:rsidRPr="00B70797">
              <w:t xml:space="preserve">NDIS </w:t>
            </w:r>
            <w:r w:rsidRPr="00B70797">
              <w:t xml:space="preserve">providers must have effective incident management systems in place. Registered </w:t>
            </w:r>
            <w:r w:rsidR="00B6215E" w:rsidRPr="00B70797">
              <w:t xml:space="preserve">NDIS </w:t>
            </w:r>
            <w:r w:rsidRPr="00B70797">
              <w:t>providers must notify the NDIS Commission about reportable incidents. These include the death or serious injury of a person with disability, allegations of abuse and neglect of a person with disability, unlawful sexual or physical contact with a person with disability, sexual misconduct committed against a person with disability and unauthorise</w:t>
            </w:r>
            <w:r w:rsidR="00536863" w:rsidRPr="00B70797">
              <w:t>d use of restrictive practice.</w:t>
            </w:r>
          </w:p>
        </w:tc>
      </w:tr>
    </w:tbl>
    <w:p w:rsidR="00263F43" w:rsidRPr="00B70797" w:rsidRDefault="00394434" w:rsidP="00664174">
      <w:pPr>
        <w:tabs>
          <w:tab w:val="left" w:pos="3974"/>
          <w:tab w:val="center" w:pos="4988"/>
          <w:tab w:val="left" w:pos="6371"/>
        </w:tabs>
        <w:spacing w:after="20"/>
        <w:rPr>
          <w:b/>
          <w:bCs/>
          <w:lang w:val="en-AU"/>
        </w:rPr>
        <w:sectPr w:rsidR="00263F43" w:rsidRPr="00B70797" w:rsidSect="00AB3673">
          <w:type w:val="continuous"/>
          <w:pgSz w:w="11900" w:h="16840"/>
          <w:pgMar w:top="737" w:right="845" w:bottom="851" w:left="1077" w:header="709" w:footer="709" w:gutter="0"/>
          <w:cols w:space="708"/>
          <w:docGrid w:linePitch="360"/>
        </w:sectPr>
      </w:pPr>
      <w:r w:rsidRPr="00B70797">
        <w:rPr>
          <w:lang w:val="en-AU"/>
        </w:rPr>
        <w:tab/>
      </w:r>
      <w:r w:rsidR="00664174" w:rsidRPr="00B70797">
        <w:rPr>
          <w:lang w:val="en-AU"/>
        </w:rPr>
        <w:tab/>
      </w:r>
      <w:r w:rsidR="00664174" w:rsidRPr="00B70797">
        <w:rPr>
          <w:lang w:val="en-AU"/>
        </w:rPr>
        <w:tab/>
      </w:r>
    </w:p>
    <w:p w:rsidR="004131FA" w:rsidRPr="00B70797" w:rsidRDefault="00394434" w:rsidP="00AB3673">
      <w:pPr>
        <w:spacing w:after="0"/>
        <w:rPr>
          <w:i/>
          <w:lang w:val="en-AU"/>
        </w:rPr>
      </w:pPr>
      <w:r w:rsidRPr="00B70797">
        <w:rPr>
          <w:i/>
          <w:lang w:val="en-AU"/>
        </w:rPr>
        <w:t>Where transition arra</w:t>
      </w:r>
      <w:r w:rsidR="00EF29C0" w:rsidRPr="00B70797">
        <w:rPr>
          <w:i/>
          <w:lang w:val="en-AU"/>
        </w:rPr>
        <w:t xml:space="preserve">ngements apply after 1 </w:t>
      </w:r>
      <w:r w:rsidR="00D50A43" w:rsidRPr="00B70797">
        <w:rPr>
          <w:i/>
          <w:lang w:val="en-AU"/>
        </w:rPr>
        <w:t>December</w:t>
      </w:r>
      <w:r w:rsidR="00EF29C0" w:rsidRPr="00B70797">
        <w:rPr>
          <w:i/>
          <w:lang w:val="en-AU"/>
        </w:rPr>
        <w:t xml:space="preserve"> </w:t>
      </w:r>
      <w:r w:rsidR="004C53D1" w:rsidRPr="00B70797">
        <w:rPr>
          <w:i/>
          <w:lang w:val="en-AU"/>
        </w:rPr>
        <w:t>2020</w:t>
      </w:r>
      <w:r w:rsidRPr="00B70797">
        <w:rPr>
          <w:i/>
          <w:lang w:val="en-AU"/>
        </w:rPr>
        <w:t>, the NDIS Commission will work with existing state based agencies and regulatory bodies to handle complaints and manage reportable incidents, in line with the appropriate jurisdiction.</w:t>
      </w:r>
    </w:p>
    <w:p w:rsidR="00216F38" w:rsidRPr="00B70797" w:rsidRDefault="00394434" w:rsidP="00C9407D">
      <w:pPr>
        <w:pStyle w:val="Heading2"/>
        <w:rPr>
          <w:lang w:val="en-AU"/>
        </w:rPr>
      </w:pPr>
      <w:r w:rsidRPr="00B70797">
        <w:rPr>
          <w:lang w:val="en-AU"/>
        </w:rPr>
        <w:t>Find out more</w:t>
      </w:r>
    </w:p>
    <w:p w:rsidR="00792DAF" w:rsidRPr="00B70797" w:rsidRDefault="00394434" w:rsidP="00F6683B">
      <w:pPr>
        <w:rPr>
          <w:lang w:val="en-AU"/>
        </w:rPr>
      </w:pPr>
      <w:r w:rsidRPr="00B70797">
        <w:rPr>
          <w:sz w:val="16"/>
          <w:szCs w:val="16"/>
          <w:lang w:val="en-AU"/>
        </w:rPr>
        <w:t xml:space="preserve">You can find more information and resources, including the NDIS Practice Standards and NDIS Code of Conduct, on the NDIS Commission website at </w:t>
      </w:r>
      <w:hyperlink r:id="rId13" w:history="1">
        <w:r w:rsidRPr="00B70797">
          <w:rPr>
            <w:rStyle w:val="Hyperlink"/>
            <w:sz w:val="16"/>
            <w:szCs w:val="16"/>
            <w:lang w:val="en-AU"/>
          </w:rPr>
          <w:t>www.ndiscommission.gov.au</w:t>
        </w:r>
      </w:hyperlink>
      <w:r w:rsidRPr="00B70797">
        <w:rPr>
          <w:sz w:val="16"/>
          <w:szCs w:val="16"/>
          <w:lang w:val="en-AU"/>
        </w:rPr>
        <w:t xml:space="preserve">. You can contact the NDIS Commission at </w:t>
      </w:r>
      <w:hyperlink r:id="rId14" w:history="1">
        <w:r w:rsidR="004C53D1" w:rsidRPr="00B70797">
          <w:rPr>
            <w:rStyle w:val="Hyperlink"/>
            <w:sz w:val="16"/>
            <w:szCs w:val="16"/>
            <w:lang w:val="en-AU"/>
          </w:rPr>
          <w:t>contactcentre@ndiscommission.gov.au</w:t>
        </w:r>
      </w:hyperlink>
      <w:r w:rsidR="004C53D1" w:rsidRPr="00B70797">
        <w:rPr>
          <w:sz w:val="16"/>
          <w:szCs w:val="16"/>
          <w:lang w:val="en-AU"/>
        </w:rPr>
        <w:t xml:space="preserve"> </w:t>
      </w:r>
      <w:r w:rsidRPr="00B70797">
        <w:rPr>
          <w:sz w:val="16"/>
          <w:szCs w:val="16"/>
          <w:lang w:val="en-AU"/>
        </w:rPr>
        <w:t xml:space="preserve">or on </w:t>
      </w:r>
      <w:r w:rsidRPr="00B70797">
        <w:rPr>
          <w:b/>
          <w:sz w:val="16"/>
          <w:szCs w:val="16"/>
          <w:lang w:val="en-AU"/>
        </w:rPr>
        <w:t>1800 035 544</w:t>
      </w:r>
      <w:r w:rsidRPr="00B70797">
        <w:rPr>
          <w:sz w:val="16"/>
          <w:szCs w:val="16"/>
          <w:lang w:val="en-AU"/>
        </w:rPr>
        <w:t>.</w:t>
      </w:r>
      <w:bookmarkEnd w:id="0"/>
    </w:p>
    <w:sectPr w:rsidR="00792DAF" w:rsidRPr="00B70797" w:rsidSect="00AB3673">
      <w:type w:val="continuous"/>
      <w:pgSz w:w="11900" w:h="16840"/>
      <w:pgMar w:top="110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S 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608"/>
    <w:multiLevelType w:val="hybridMultilevel"/>
    <w:tmpl w:val="A570413E"/>
    <w:lvl w:ilvl="0" w:tplc="673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6D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88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C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E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E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CB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26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E9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B5D"/>
    <w:multiLevelType w:val="hybridMultilevel"/>
    <w:tmpl w:val="E6FAC210"/>
    <w:lvl w:ilvl="0" w:tplc="AD6A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4276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5EB7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3002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023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1C81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4B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925A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285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0"/>
    <w:rsid w:val="000260C6"/>
    <w:rsid w:val="00043919"/>
    <w:rsid w:val="000471C6"/>
    <w:rsid w:val="000656CF"/>
    <w:rsid w:val="0008136B"/>
    <w:rsid w:val="000B6A16"/>
    <w:rsid w:val="000D341A"/>
    <w:rsid w:val="000D6A93"/>
    <w:rsid w:val="0013389C"/>
    <w:rsid w:val="00155B10"/>
    <w:rsid w:val="00166178"/>
    <w:rsid w:val="00192797"/>
    <w:rsid w:val="001F0151"/>
    <w:rsid w:val="0020559C"/>
    <w:rsid w:val="00214B5E"/>
    <w:rsid w:val="00216F38"/>
    <w:rsid w:val="00253036"/>
    <w:rsid w:val="00263F43"/>
    <w:rsid w:val="00286FA0"/>
    <w:rsid w:val="002A6079"/>
    <w:rsid w:val="002E5F33"/>
    <w:rsid w:val="00351BD7"/>
    <w:rsid w:val="00367173"/>
    <w:rsid w:val="00381014"/>
    <w:rsid w:val="00394434"/>
    <w:rsid w:val="00396671"/>
    <w:rsid w:val="003A461C"/>
    <w:rsid w:val="003A7C0F"/>
    <w:rsid w:val="003B4F50"/>
    <w:rsid w:val="003C3FCB"/>
    <w:rsid w:val="003E2054"/>
    <w:rsid w:val="00407DA6"/>
    <w:rsid w:val="004131FA"/>
    <w:rsid w:val="0041331C"/>
    <w:rsid w:val="00451D94"/>
    <w:rsid w:val="00453D59"/>
    <w:rsid w:val="00454C17"/>
    <w:rsid w:val="00460377"/>
    <w:rsid w:val="00487EC2"/>
    <w:rsid w:val="004960BA"/>
    <w:rsid w:val="004A6EE2"/>
    <w:rsid w:val="004B1292"/>
    <w:rsid w:val="004C53D1"/>
    <w:rsid w:val="004E2A1D"/>
    <w:rsid w:val="00511DCC"/>
    <w:rsid w:val="00515C31"/>
    <w:rsid w:val="00533518"/>
    <w:rsid w:val="00536863"/>
    <w:rsid w:val="0054278F"/>
    <w:rsid w:val="00563A92"/>
    <w:rsid w:val="005720B0"/>
    <w:rsid w:val="00583538"/>
    <w:rsid w:val="005A1C20"/>
    <w:rsid w:val="005F0FA9"/>
    <w:rsid w:val="005F3B10"/>
    <w:rsid w:val="00612D89"/>
    <w:rsid w:val="00614812"/>
    <w:rsid w:val="00655616"/>
    <w:rsid w:val="00664174"/>
    <w:rsid w:val="00665D04"/>
    <w:rsid w:val="00692B00"/>
    <w:rsid w:val="006A5452"/>
    <w:rsid w:val="006C2C82"/>
    <w:rsid w:val="006F5143"/>
    <w:rsid w:val="00704890"/>
    <w:rsid w:val="00704DBA"/>
    <w:rsid w:val="007104AB"/>
    <w:rsid w:val="007338A5"/>
    <w:rsid w:val="00767F9D"/>
    <w:rsid w:val="00792DAF"/>
    <w:rsid w:val="007A0037"/>
    <w:rsid w:val="007C0083"/>
    <w:rsid w:val="007C2CA3"/>
    <w:rsid w:val="007C5F7B"/>
    <w:rsid w:val="007D17BB"/>
    <w:rsid w:val="0080160B"/>
    <w:rsid w:val="00832C2A"/>
    <w:rsid w:val="0084245E"/>
    <w:rsid w:val="008831E9"/>
    <w:rsid w:val="00890A40"/>
    <w:rsid w:val="00890B64"/>
    <w:rsid w:val="008974B6"/>
    <w:rsid w:val="008D5503"/>
    <w:rsid w:val="008D6FB8"/>
    <w:rsid w:val="008E3CB8"/>
    <w:rsid w:val="0091432B"/>
    <w:rsid w:val="0096655E"/>
    <w:rsid w:val="00981D84"/>
    <w:rsid w:val="00985B6E"/>
    <w:rsid w:val="009D4A6A"/>
    <w:rsid w:val="009E1CCB"/>
    <w:rsid w:val="009F097A"/>
    <w:rsid w:val="00A66EA6"/>
    <w:rsid w:val="00A73DE1"/>
    <w:rsid w:val="00A97551"/>
    <w:rsid w:val="00AB3673"/>
    <w:rsid w:val="00AB495C"/>
    <w:rsid w:val="00AB5EDB"/>
    <w:rsid w:val="00B06259"/>
    <w:rsid w:val="00B3153C"/>
    <w:rsid w:val="00B44561"/>
    <w:rsid w:val="00B61050"/>
    <w:rsid w:val="00B6215E"/>
    <w:rsid w:val="00B70797"/>
    <w:rsid w:val="00BC0098"/>
    <w:rsid w:val="00BD5877"/>
    <w:rsid w:val="00BE0D7F"/>
    <w:rsid w:val="00BE2652"/>
    <w:rsid w:val="00C009D2"/>
    <w:rsid w:val="00C11320"/>
    <w:rsid w:val="00C16EBF"/>
    <w:rsid w:val="00C5045D"/>
    <w:rsid w:val="00C746CD"/>
    <w:rsid w:val="00C82D77"/>
    <w:rsid w:val="00C9407D"/>
    <w:rsid w:val="00CA358F"/>
    <w:rsid w:val="00CD3CE1"/>
    <w:rsid w:val="00D1175E"/>
    <w:rsid w:val="00D122F6"/>
    <w:rsid w:val="00D43093"/>
    <w:rsid w:val="00D50A43"/>
    <w:rsid w:val="00D81E78"/>
    <w:rsid w:val="00DE3533"/>
    <w:rsid w:val="00E1174E"/>
    <w:rsid w:val="00E33B9D"/>
    <w:rsid w:val="00E56E9B"/>
    <w:rsid w:val="00E606B5"/>
    <w:rsid w:val="00E84039"/>
    <w:rsid w:val="00E925B7"/>
    <w:rsid w:val="00EA604E"/>
    <w:rsid w:val="00EB249F"/>
    <w:rsid w:val="00ED71BB"/>
    <w:rsid w:val="00EE6777"/>
    <w:rsid w:val="00EF29C0"/>
    <w:rsid w:val="00EF351C"/>
    <w:rsid w:val="00F0564B"/>
    <w:rsid w:val="00F22DCC"/>
    <w:rsid w:val="00F26A11"/>
    <w:rsid w:val="00F3636A"/>
    <w:rsid w:val="00F5047F"/>
    <w:rsid w:val="00F6683B"/>
    <w:rsid w:val="00F8106E"/>
    <w:rsid w:val="00FA1100"/>
    <w:rsid w:val="00FA407B"/>
    <w:rsid w:val="00FA51A6"/>
    <w:rsid w:val="00FB350F"/>
    <w:rsid w:val="00FB520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523EA6-9D63-4399-B833-B9D210C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38"/>
    <w:pPr>
      <w:spacing w:after="120"/>
    </w:pPr>
    <w:rPr>
      <w:rFonts w:ascii="Calibri Light" w:hAnsi="Calibri Light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20B0"/>
    <w:pPr>
      <w:keepNext/>
      <w:keepLines/>
      <w:spacing w:after="240"/>
      <w:outlineLvl w:val="0"/>
    </w:pPr>
    <w:rPr>
      <w:rFonts w:eastAsiaTheme="majorEastAsia" w:cstheme="majorBidi"/>
      <w:bCs/>
      <w:color w:val="71266D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07D"/>
    <w:pPr>
      <w:keepNext/>
      <w:keepLines/>
      <w:spacing w:before="240"/>
      <w:outlineLvl w:val="1"/>
    </w:pPr>
    <w:rPr>
      <w:rFonts w:eastAsiaTheme="majorEastAsia" w:cstheme="majorBidi"/>
      <w:bCs/>
      <w:color w:val="71266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F38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2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92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92D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92D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2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2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0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59C"/>
  </w:style>
  <w:style w:type="paragraph" w:styleId="Footer">
    <w:name w:val="footer"/>
    <w:basedOn w:val="Heading5"/>
    <w:link w:val="FooterChar"/>
    <w:uiPriority w:val="99"/>
    <w:unhideWhenUsed/>
    <w:qFormat/>
    <w:rsid w:val="00612D89"/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612D89"/>
    <w:rPr>
      <w:rFonts w:ascii="Calibri Light" w:eastAsiaTheme="majorEastAsia" w:hAnsi="Calibri Light" w:cstheme="majorBid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9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59C"/>
    <w:pPr>
      <w:widowControl w:val="0"/>
      <w:autoSpaceDE w:val="0"/>
      <w:autoSpaceDN w:val="0"/>
      <w:adjustRightInd w:val="0"/>
    </w:pPr>
    <w:rPr>
      <w:rFonts w:ascii="FS Me" w:hAnsi="FS Me" w:cs="FS Me"/>
      <w:color w:val="000000"/>
    </w:rPr>
  </w:style>
  <w:style w:type="paragraph" w:customStyle="1" w:styleId="Pa0">
    <w:name w:val="Pa0"/>
    <w:basedOn w:val="Default"/>
    <w:next w:val="Default"/>
    <w:uiPriority w:val="99"/>
    <w:rsid w:val="0020559C"/>
    <w:pPr>
      <w:spacing w:line="3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0559C"/>
    <w:pPr>
      <w:spacing w:line="18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3A92"/>
    <w:pPr>
      <w:pBdr>
        <w:bottom w:val="single" w:sz="24" w:space="4" w:color="6AB233"/>
      </w:pBdr>
      <w:spacing w:before="480" w:after="600"/>
      <w:contextualSpacing/>
    </w:pPr>
    <w:rPr>
      <w:rFonts w:asciiTheme="majorHAnsi" w:eastAsiaTheme="majorEastAsia" w:hAnsiTheme="majorHAnsi" w:cstheme="majorBidi"/>
      <w:b/>
      <w:color w:val="660066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A92"/>
    <w:rPr>
      <w:rFonts w:asciiTheme="majorHAnsi" w:eastAsiaTheme="majorEastAsia" w:hAnsiTheme="majorHAnsi" w:cstheme="majorBidi"/>
      <w:b/>
      <w:color w:val="660066"/>
      <w:spacing w:val="5"/>
      <w:kern w:val="28"/>
      <w:sz w:val="5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20B0"/>
    <w:rPr>
      <w:rFonts w:ascii="Calibri Light" w:eastAsiaTheme="majorEastAsia" w:hAnsi="Calibri Light" w:cstheme="majorBidi"/>
      <w:bCs/>
      <w:color w:val="71266D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07D"/>
    <w:rPr>
      <w:rFonts w:ascii="Calibri Light" w:eastAsiaTheme="majorEastAsia" w:hAnsi="Calibri Light" w:cstheme="majorBidi"/>
      <w:bCs/>
      <w:color w:val="71266D"/>
      <w:sz w:val="36"/>
      <w:szCs w:val="26"/>
    </w:rPr>
  </w:style>
  <w:style w:type="paragraph" w:styleId="NoSpacing">
    <w:name w:val="No Spacing"/>
    <w:uiPriority w:val="1"/>
    <w:qFormat/>
    <w:rsid w:val="004A6EE2"/>
    <w:rPr>
      <w:rFonts w:ascii="Calibri Light" w:hAnsi="Calibri Light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6F38"/>
    <w:rPr>
      <w:rFonts w:ascii="Calibri" w:eastAsiaTheme="majorEastAsia" w:hAnsi="Calibri" w:cstheme="majorBidi"/>
      <w:b/>
      <w:bCs/>
      <w:sz w:val="20"/>
    </w:rPr>
  </w:style>
  <w:style w:type="table" w:styleId="MediumShading1-Accent4">
    <w:name w:val="Medium Shading 1 Accent 4"/>
    <w:basedOn w:val="TableNormal"/>
    <w:uiPriority w:val="63"/>
    <w:rsid w:val="00B06259"/>
    <w:tblPr>
      <w:tblStyleRowBandSize w:val="1"/>
      <w:tblStyleColBandSize w:val="1"/>
      <w:tblCellMar>
        <w:top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126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single" w:sz="8" w:space="0" w:color="71266D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71266D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92D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92DAF"/>
    <w:rPr>
      <w:rFonts w:asciiTheme="majorHAnsi" w:eastAsiaTheme="majorEastAsia" w:hAnsiTheme="majorHAnsi" w:cstheme="majorBidi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92DAF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92DA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92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DAF"/>
    <w:rPr>
      <w:color w:val="71266D"/>
      <w:u w:val="single"/>
    </w:rPr>
  </w:style>
  <w:style w:type="paragraph" w:customStyle="1" w:styleId="Table">
    <w:name w:val="Table"/>
    <w:basedOn w:val="Normal"/>
    <w:qFormat/>
    <w:rsid w:val="00FB350F"/>
    <w:pPr>
      <w:spacing w:before="60" w:after="60"/>
    </w:pPr>
    <w:rPr>
      <w:sz w:val="16"/>
      <w:lang w:val="en-AU"/>
    </w:rPr>
  </w:style>
  <w:style w:type="character" w:styleId="IntenseReference">
    <w:name w:val="Intense Reference"/>
    <w:uiPriority w:val="32"/>
    <w:qFormat/>
    <w:rsid w:val="00166178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B35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AU"/>
    </w:rPr>
  </w:style>
  <w:style w:type="character" w:customStyle="1" w:styleId="Bold">
    <w:name w:val="Bold"/>
    <w:uiPriority w:val="99"/>
    <w:rsid w:val="00FB350F"/>
    <w:rPr>
      <w:rFonts w:ascii="Helvetica-Bold" w:hAnsi="Helvetica-Bold" w:cs="Helvetica-Bold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9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9D"/>
    <w:rPr>
      <w:rFonts w:ascii="Calibri Light" w:hAnsi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EDB"/>
    <w:rPr>
      <w:rFonts w:ascii="Calibri Light" w:hAnsi="Calibr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ndiscommission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contactcentre@ndiscommission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0004\AppData\Local\Microsoft\Windows\INetCache\Content.Outlook\I0FCASI6\L1518%20NDIS%20-%20Word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C65D6B739060C45969482AE78D9BCDC" ma:contentTypeVersion="" ma:contentTypeDescription="PDMS Document Site Content Type" ma:contentTypeScope="" ma:versionID="fd12f659ade71ac48c1405af1ec82feb">
  <xsd:schema xmlns:xsd="http://www.w3.org/2001/XMLSchema" xmlns:xs="http://www.w3.org/2001/XMLSchema" xmlns:p="http://schemas.microsoft.com/office/2006/metadata/properties" xmlns:ns2="1FB70870-832A-4C42-A0D9-ACD7B63F7125" targetNamespace="http://schemas.microsoft.com/office/2006/metadata/properties" ma:root="true" ma:fieldsID="26955dea8fdc495bbb1bdb0692f91823" ns2:_="">
    <xsd:import namespace="1FB70870-832A-4C42-A0D9-ACD7B63F712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70870-832A-4C42-A0D9-ACD7B63F71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2A367-D5CE-45B1-9D9D-E10287ECC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14D77-C2D9-43AE-A234-14E42075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70870-832A-4C42-A0D9-ACD7B63F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600AA-BAF1-4C04-B0A6-59DA5CB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L1518 NDIS - Word Template 2.0</Template>
  <TotalTime>3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Then and now: Western Australia</vt:lpstr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Then and now: Western Australia</dc:title>
  <dc:creator>NDIS Quality and Safeguards Commission</dc:creator>
  <cp:lastModifiedBy>LUNNEY, Heather</cp:lastModifiedBy>
  <cp:revision>5</cp:revision>
  <cp:lastPrinted>2020-03-03T04:39:00Z</cp:lastPrinted>
  <dcterms:created xsi:type="dcterms:W3CDTF">2020-08-25T05:48:00Z</dcterms:created>
  <dcterms:modified xsi:type="dcterms:W3CDTF">2020-08-28T00:45:00Z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anceActualDate">
    <vt:lpwstr>03 March 2020</vt:lpwstr>
  </property>
  <property fmtid="{D5CDD505-2E9C-101B-9397-08002B2CF9AE}" pid="3" name="LastClearingOfficer">
    <vt:lpwstr>Christine BRUCE</vt:lpwstr>
  </property>
</Properties>
</file>