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A24C4" w14:textId="604AEDA2" w:rsidR="00140C49" w:rsidRDefault="00140C49" w:rsidP="00140C49">
      <w:pPr>
        <w:pStyle w:val="Heading1"/>
        <w:jc w:val="left"/>
        <w:rPr>
          <w:lang w:val="en-US"/>
        </w:rPr>
      </w:pPr>
      <w:r>
        <w:rPr>
          <w:lang w:val="en-US"/>
        </w:rPr>
        <w:t xml:space="preserve">Unregistered NDIS providers: </w:t>
      </w:r>
      <w:r w:rsidR="001552E8">
        <w:rPr>
          <w:lang w:val="en-US"/>
        </w:rPr>
        <w:t>NDIS Worker Screening Check</w:t>
      </w:r>
    </w:p>
    <w:p w14:paraId="155A24C5" w14:textId="1728F29C" w:rsidR="00CB3E70" w:rsidRDefault="00140C49" w:rsidP="00140C49">
      <w:pPr>
        <w:spacing w:after="360"/>
        <w:jc w:val="left"/>
        <w:rPr>
          <w:lang w:val="en-US"/>
        </w:rPr>
      </w:pPr>
      <w:r>
        <w:rPr>
          <w:lang w:val="en-US"/>
        </w:rPr>
        <w:t>Thi</w:t>
      </w:r>
      <w:r w:rsidR="001552E8">
        <w:rPr>
          <w:lang w:val="en-US"/>
        </w:rPr>
        <w:t xml:space="preserve">s flowchart explains </w:t>
      </w:r>
      <w:r w:rsidR="002F1265">
        <w:rPr>
          <w:lang w:val="en-US"/>
        </w:rPr>
        <w:t xml:space="preserve">how </w:t>
      </w:r>
      <w:r w:rsidR="001552E8">
        <w:rPr>
          <w:lang w:val="en-US"/>
        </w:rPr>
        <w:t xml:space="preserve">the </w:t>
      </w:r>
      <w:r w:rsidR="002F1265">
        <w:rPr>
          <w:lang w:val="en-US"/>
        </w:rPr>
        <w:t>NDIS Worker Screening Check affects unregistered NDIS providers.</w:t>
      </w:r>
    </w:p>
    <w:p w14:paraId="18F0099D" w14:textId="6F4F2CA9" w:rsidR="005B7BFE" w:rsidRPr="005B7BFE" w:rsidRDefault="005B7BFE" w:rsidP="00140C49">
      <w:pPr>
        <w:spacing w:after="360"/>
        <w:jc w:val="left"/>
        <w:rPr>
          <w:b/>
          <w:bCs/>
          <w:lang w:val="en-US"/>
        </w:rPr>
      </w:pPr>
      <w:r w:rsidRPr="005B7BFE">
        <w:rPr>
          <w:b/>
          <w:bCs/>
          <w:lang w:val="en-US"/>
        </w:rPr>
        <w:t>QUESTION 1: Has an NDIS participant you support asked you to get a NDIS Worker Screening clearance, or do you want your NDIS workers to hold a NDIS Worker Screening clearance?</w:t>
      </w:r>
    </w:p>
    <w:p w14:paraId="4B7132F9" w14:textId="26A4E972" w:rsidR="005B7BFE" w:rsidRDefault="005B7BFE" w:rsidP="005B7BFE">
      <w:pPr>
        <w:pStyle w:val="ListParagraph"/>
        <w:numPr>
          <w:ilvl w:val="0"/>
          <w:numId w:val="26"/>
        </w:numPr>
        <w:spacing w:after="360"/>
        <w:jc w:val="left"/>
        <w:rPr>
          <w:lang w:val="en-US"/>
        </w:rPr>
      </w:pPr>
      <w:r w:rsidRPr="005B7BFE">
        <w:rPr>
          <w:b/>
          <w:bCs/>
          <w:lang w:val="en-US"/>
        </w:rPr>
        <w:t xml:space="preserve">IF NO: </w:t>
      </w:r>
      <w:r w:rsidRPr="005B7BFE">
        <w:rPr>
          <w:lang w:val="en-US"/>
        </w:rPr>
        <w:t>No further action required.</w:t>
      </w:r>
    </w:p>
    <w:p w14:paraId="1F9C85A5" w14:textId="39D950E6" w:rsidR="005B7BFE" w:rsidRDefault="005B7BFE" w:rsidP="005B7BFE">
      <w:pPr>
        <w:pStyle w:val="ListParagraph"/>
        <w:numPr>
          <w:ilvl w:val="0"/>
          <w:numId w:val="26"/>
        </w:numPr>
        <w:spacing w:after="360"/>
        <w:jc w:val="left"/>
        <w:rPr>
          <w:lang w:val="en-US"/>
        </w:rPr>
      </w:pPr>
      <w:r>
        <w:rPr>
          <w:b/>
          <w:bCs/>
          <w:lang w:val="en-US"/>
        </w:rPr>
        <w:t>IF YES:</w:t>
      </w:r>
      <w:r>
        <w:rPr>
          <w:lang w:val="en-US"/>
        </w:rPr>
        <w:t xml:space="preserve"> Go to QUESTON 2</w:t>
      </w:r>
      <w:r w:rsidR="00831B62">
        <w:rPr>
          <w:lang w:val="en-US"/>
        </w:rPr>
        <w:t>.</w:t>
      </w:r>
    </w:p>
    <w:p w14:paraId="4C2D6B18" w14:textId="3261AD90" w:rsidR="005B7BFE" w:rsidRPr="005B7BFE" w:rsidRDefault="005B7BFE" w:rsidP="005B7BFE">
      <w:pPr>
        <w:spacing w:after="360"/>
        <w:jc w:val="left"/>
        <w:rPr>
          <w:b/>
          <w:bCs/>
          <w:lang w:val="en-US"/>
        </w:rPr>
      </w:pPr>
      <w:r w:rsidRPr="005B7BFE">
        <w:rPr>
          <w:b/>
          <w:bCs/>
          <w:lang w:val="en-US"/>
        </w:rPr>
        <w:t>QUESTION 2: Is it on or after 1 February 2021?</w:t>
      </w:r>
    </w:p>
    <w:p w14:paraId="684C323F" w14:textId="0640BBFF" w:rsidR="005B7BFE" w:rsidRDefault="005B7BFE" w:rsidP="005B7BFE">
      <w:pPr>
        <w:pStyle w:val="ListParagraph"/>
        <w:numPr>
          <w:ilvl w:val="0"/>
          <w:numId w:val="27"/>
        </w:numPr>
        <w:spacing w:after="360"/>
        <w:jc w:val="left"/>
        <w:rPr>
          <w:lang w:val="en-US"/>
        </w:rPr>
      </w:pPr>
      <w:r w:rsidRPr="005B7BFE">
        <w:rPr>
          <w:b/>
          <w:bCs/>
          <w:lang w:val="en-US"/>
        </w:rPr>
        <w:t>IF NO</w:t>
      </w:r>
      <w:r w:rsidRPr="005B7BFE">
        <w:rPr>
          <w:lang w:val="en-US"/>
        </w:rPr>
        <w:t xml:space="preserve">: Before 1 February 2021, the acceptable check for NDIS providers under transitional arrangements is different in each state/territory. You can check what the acceptable check requirements are on the </w:t>
      </w:r>
      <w:hyperlink r:id="rId11" w:history="1">
        <w:r w:rsidRPr="005B7BFE">
          <w:rPr>
            <w:rStyle w:val="Hyperlink"/>
            <w:lang w:val="en-US"/>
          </w:rPr>
          <w:t>NDIS Commission</w:t>
        </w:r>
      </w:hyperlink>
      <w:r w:rsidRPr="005B7BFE">
        <w:rPr>
          <w:lang w:val="en-US"/>
        </w:rPr>
        <w:t xml:space="preserve"> website</w:t>
      </w:r>
      <w:r>
        <w:rPr>
          <w:lang w:val="en-US"/>
        </w:rPr>
        <w:t>.</w:t>
      </w:r>
    </w:p>
    <w:p w14:paraId="2A96A1A3" w14:textId="77777777" w:rsidR="005B7BFE" w:rsidRPr="005B7BFE" w:rsidRDefault="005B7BFE" w:rsidP="005B7BFE">
      <w:pPr>
        <w:pStyle w:val="FlowChart"/>
        <w:numPr>
          <w:ilvl w:val="0"/>
          <w:numId w:val="27"/>
        </w:numPr>
        <w:jc w:val="left"/>
        <w:rPr>
          <w:color w:val="auto"/>
        </w:rPr>
      </w:pPr>
      <w:r w:rsidRPr="005B7BFE">
        <w:rPr>
          <w:b/>
          <w:bCs/>
          <w:color w:val="auto"/>
          <w:lang w:val="en-US"/>
        </w:rPr>
        <w:t>IF YES</w:t>
      </w:r>
      <w:r w:rsidRPr="005B7BFE">
        <w:rPr>
          <w:color w:val="auto"/>
          <w:lang w:val="en-US"/>
        </w:rPr>
        <w:t xml:space="preserve">: </w:t>
      </w:r>
      <w:r w:rsidRPr="005B7BFE">
        <w:rPr>
          <w:color w:val="auto"/>
        </w:rPr>
        <w:t>From 1 February, acceptable checks/ clearances are either:</w:t>
      </w:r>
    </w:p>
    <w:p w14:paraId="6FC3A52E" w14:textId="77777777" w:rsidR="005B7BFE" w:rsidRPr="005B7BFE" w:rsidRDefault="005B7BFE" w:rsidP="005B7BFE">
      <w:pPr>
        <w:pStyle w:val="FlowChart"/>
        <w:numPr>
          <w:ilvl w:val="0"/>
          <w:numId w:val="28"/>
        </w:numPr>
        <w:jc w:val="left"/>
        <w:rPr>
          <w:color w:val="auto"/>
        </w:rPr>
      </w:pPr>
      <w:r w:rsidRPr="005B7BFE">
        <w:rPr>
          <w:color w:val="auto"/>
        </w:rPr>
        <w:t xml:space="preserve">a current acceptable check in line with </w:t>
      </w:r>
      <w:hyperlink r:id="rId12" w:history="1">
        <w:r w:rsidRPr="005B7BFE">
          <w:rPr>
            <w:rStyle w:val="Hyperlink"/>
          </w:rPr>
          <w:t>state/territory transitional arrangements</w:t>
        </w:r>
      </w:hyperlink>
      <w:r w:rsidRPr="005B7BFE">
        <w:rPr>
          <w:color w:val="auto"/>
        </w:rPr>
        <w:t xml:space="preserve"> issued before 1 February 2021; or </w:t>
      </w:r>
    </w:p>
    <w:p w14:paraId="3FA4D40A" w14:textId="61014A04" w:rsidR="005B7BFE" w:rsidRPr="005B7BFE" w:rsidRDefault="005B7BFE" w:rsidP="005B7BFE">
      <w:pPr>
        <w:pStyle w:val="FlowChart"/>
        <w:numPr>
          <w:ilvl w:val="0"/>
          <w:numId w:val="28"/>
        </w:numPr>
        <w:jc w:val="left"/>
        <w:rPr>
          <w:color w:val="auto"/>
        </w:rPr>
      </w:pPr>
      <w:r w:rsidRPr="005B7BFE">
        <w:rPr>
          <w:color w:val="auto"/>
        </w:rPr>
        <w:t>if the workers or other personnel have neither of these acceptable checks, or the acceptable checks have expired, an NDIS Worker Screening clearance is required</w:t>
      </w:r>
      <w:r w:rsidR="00831B62">
        <w:rPr>
          <w:color w:val="auto"/>
        </w:rPr>
        <w:t>.</w:t>
      </w:r>
      <w:bookmarkStart w:id="0" w:name="_GoBack"/>
      <w:bookmarkEnd w:id="0"/>
    </w:p>
    <w:p w14:paraId="155A24C6" w14:textId="30C75DE0" w:rsidR="00D96EBB" w:rsidRDefault="00D96EBB" w:rsidP="006D6D91">
      <w:pPr>
        <w:spacing w:line="240" w:lineRule="auto"/>
      </w:pPr>
    </w:p>
    <w:p w14:paraId="155A24C7" w14:textId="380CCC23" w:rsidR="00A87632" w:rsidRPr="00A87632" w:rsidRDefault="00362CE2" w:rsidP="00A87632">
      <w:pPr>
        <w:jc w:val="left"/>
      </w:pPr>
      <w:r>
        <w:t xml:space="preserve">NOTE: </w:t>
      </w:r>
      <w:r w:rsidR="00A87632" w:rsidRPr="00A87632">
        <w:t>Unregistered providers are not required to have worker screening requirements in place</w:t>
      </w:r>
      <w:r w:rsidR="00140C49">
        <w:t xml:space="preserve">. However, </w:t>
      </w:r>
      <w:r w:rsidR="00A87632" w:rsidRPr="00A87632">
        <w:t xml:space="preserve">an NDIS participant can request </w:t>
      </w:r>
      <w:r w:rsidR="00140C49">
        <w:t xml:space="preserve">that </w:t>
      </w:r>
      <w:r w:rsidR="00A87632" w:rsidRPr="00A87632">
        <w:t>you and/or your workers get screened</w:t>
      </w:r>
      <w:r w:rsidR="00140C49">
        <w:t>. You can also</w:t>
      </w:r>
      <w:r w:rsidR="00A87632" w:rsidRPr="00A87632">
        <w:t xml:space="preserve"> choose to get a check or clearance yourself. </w:t>
      </w:r>
    </w:p>
    <w:p w14:paraId="155A24C8" w14:textId="77777777" w:rsidR="008313BB" w:rsidRDefault="00A87632" w:rsidP="00A87632">
      <w:pPr>
        <w:jc w:val="left"/>
      </w:pPr>
      <w:r w:rsidRPr="00A87632">
        <w:t>You and your workers are always required to meet the NDIS Code of Conduct and have effective complaints management processes in place.</w:t>
      </w:r>
    </w:p>
    <w:p w14:paraId="155A24C9" w14:textId="77777777" w:rsidR="008313BB" w:rsidRPr="00EA6BC8" w:rsidRDefault="00992007" w:rsidP="00EA6BC8">
      <w:pPr>
        <w:jc w:val="left"/>
      </w:pPr>
      <w:r>
        <w:t>For more information, r</w:t>
      </w:r>
      <w:r w:rsidR="00140C49">
        <w:t xml:space="preserve">efer to the </w:t>
      </w:r>
      <w:hyperlink r:id="rId13" w:history="1">
        <w:r w:rsidR="00140C49" w:rsidRPr="00992007">
          <w:rPr>
            <w:rStyle w:val="Hyperlink"/>
          </w:rPr>
          <w:t>NDIS Commission website</w:t>
        </w:r>
      </w:hyperlink>
      <w:r w:rsidR="00140C49">
        <w:t xml:space="preserve"> for </w:t>
      </w:r>
      <w:r w:rsidR="00EA6BC8" w:rsidRPr="00EA6BC8">
        <w:t xml:space="preserve">NDIS Worker Screening </w:t>
      </w:r>
      <w:r w:rsidR="00140C49">
        <w:t>r</w:t>
      </w:r>
      <w:r w:rsidR="00EA6BC8" w:rsidRPr="00EA6BC8">
        <w:t>equirements</w:t>
      </w:r>
      <w:r w:rsidR="00140C49">
        <w:t xml:space="preserve"> for </w:t>
      </w:r>
      <w:r w:rsidR="00140C49" w:rsidRPr="00992007">
        <w:t>unregistered providers</w:t>
      </w:r>
      <w:r w:rsidR="00140C49">
        <w:t>.</w:t>
      </w:r>
    </w:p>
    <w:sectPr w:rsidR="008313BB" w:rsidRPr="00EA6BC8" w:rsidSect="008313BB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127" w:right="851" w:bottom="851" w:left="851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A24CE" w14:textId="77777777" w:rsidR="005C2FED" w:rsidRDefault="005C2FED" w:rsidP="008E21DE">
      <w:pPr>
        <w:spacing w:before="0" w:after="0"/>
      </w:pPr>
      <w:r>
        <w:separator/>
      </w:r>
    </w:p>
  </w:endnote>
  <w:endnote w:type="continuationSeparator" w:id="0">
    <w:p w14:paraId="155A24CF" w14:textId="77777777" w:rsidR="005C2FED" w:rsidRDefault="005C2FED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A24D2" w14:textId="77777777" w:rsidR="00C2698C" w:rsidRDefault="00FD66D7" w:rsidP="00362AB6">
    <w:pPr>
      <w:pStyle w:val="Footer"/>
    </w:pPr>
    <w:r>
      <w:rPr>
        <w:b/>
        <w:bCs/>
        <w:noProof/>
        <w:lang w:eastAsia="zh-CN" w:bidi="hi-IN"/>
      </w:rPr>
      <mc:AlternateContent>
        <mc:Choice Requires="wps">
          <w:drawing>
            <wp:inline distT="0" distB="0" distL="0" distR="0" wp14:anchorId="155A24D6" wp14:editId="155A24D7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35995E9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155A24D3" w14:textId="45DB73C0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5B7BFE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A24D5" w14:textId="77777777" w:rsidR="009F4EAA" w:rsidRDefault="009F4EAA" w:rsidP="00F13F48">
    <w:pPr>
      <w:pStyle w:val="Footer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A24CC" w14:textId="77777777" w:rsidR="005C2FED" w:rsidRDefault="005C2FED" w:rsidP="008E21DE">
      <w:pPr>
        <w:spacing w:before="0" w:after="0"/>
      </w:pPr>
      <w:r>
        <w:separator/>
      </w:r>
    </w:p>
  </w:footnote>
  <w:footnote w:type="continuationSeparator" w:id="0">
    <w:p w14:paraId="155A24CD" w14:textId="77777777" w:rsidR="005C2FED" w:rsidRDefault="005C2FED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A24D0" w14:textId="77777777" w:rsidR="008B7938" w:rsidRDefault="008B7938">
    <w:pPr>
      <w:pStyle w:val="Header"/>
    </w:pPr>
  </w:p>
  <w:p w14:paraId="155A24D1" w14:textId="77777777" w:rsidR="00680A20" w:rsidRDefault="00680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A24D4" w14:textId="77777777" w:rsidR="00182709" w:rsidRDefault="00841520" w:rsidP="00676DDD">
    <w:pPr>
      <w:pStyle w:val="Header"/>
      <w:jc w:val="both"/>
    </w:pPr>
    <w:r w:rsidRPr="00196184">
      <w:rPr>
        <w:noProof/>
        <w:lang w:eastAsia="zh-CN" w:bidi="hi-IN"/>
      </w:rPr>
      <w:drawing>
        <wp:anchor distT="0" distB="0" distL="114300" distR="114300" simplePos="0" relativeHeight="251658240" behindDoc="0" locked="0" layoutInCell="1" allowOverlap="1" wp14:anchorId="155A24D8" wp14:editId="155A24D9">
          <wp:simplePos x="0" y="0"/>
          <wp:positionH relativeFrom="column">
            <wp:posOffset>4643360</wp:posOffset>
          </wp:positionH>
          <wp:positionV relativeFrom="paragraph">
            <wp:posOffset>328511</wp:posOffset>
          </wp:positionV>
          <wp:extent cx="1824355" cy="633095"/>
          <wp:effectExtent l="0" t="0" r="4445" b="0"/>
          <wp:wrapSquare wrapText="bothSides"/>
          <wp:docPr id="63" name="Picture 63" descr="Image of the NDIS Worker Screening Check logo" title="NDIS Worker Screening Chec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DIS Worker Screening Check logo" title="NDIS Worker Screening Check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184" w:rsidRPr="00196184">
      <w:rPr>
        <w:noProof/>
        <w:lang w:eastAsia="zh-CN" w:bidi="hi-IN"/>
      </w:rPr>
      <w:drawing>
        <wp:inline distT="0" distB="0" distL="0" distR="0" wp14:anchorId="155A24DA" wp14:editId="155A24DB">
          <wp:extent cx="3404235" cy="1223645"/>
          <wp:effectExtent l="0" t="0" r="5715" b="0"/>
          <wp:docPr id="64" name="Picture 64" descr="Image of the Australian Goverment Logo alongside the NDIS Quality and Safeguards Commission logo" title="NDIS Quality and Safegua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35" cy="1223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A8357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F891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E02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1492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64A27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CB0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48C0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EBA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FA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3661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E42D8"/>
    <w:multiLevelType w:val="hybridMultilevel"/>
    <w:tmpl w:val="1340D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823BF1"/>
    <w:multiLevelType w:val="hybridMultilevel"/>
    <w:tmpl w:val="854EA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123B4"/>
    <w:multiLevelType w:val="hybridMultilevel"/>
    <w:tmpl w:val="BBD8E4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A27DDF"/>
    <w:multiLevelType w:val="hybridMultilevel"/>
    <w:tmpl w:val="359E4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37E89"/>
    <w:multiLevelType w:val="hybridMultilevel"/>
    <w:tmpl w:val="023AC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0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8615703"/>
    <w:multiLevelType w:val="multilevel"/>
    <w:tmpl w:val="803CF862"/>
    <w:numStyleLink w:val="List1Numbered"/>
  </w:abstractNum>
  <w:abstractNum w:abstractNumId="23" w15:restartNumberingAfterBreak="0">
    <w:nsid w:val="6939044F"/>
    <w:multiLevelType w:val="hybridMultilevel"/>
    <w:tmpl w:val="D0E68C78"/>
    <w:lvl w:ilvl="0" w:tplc="54D25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81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7E8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86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28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C5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61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4A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C5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D4F423B"/>
    <w:multiLevelType w:val="multilevel"/>
    <w:tmpl w:val="4A7CCC2C"/>
    <w:numStyleLink w:val="DefaultBullets"/>
  </w:abstractNum>
  <w:abstractNum w:abstractNumId="25" w15:restartNumberingAfterBreak="0">
    <w:nsid w:val="6DC2055D"/>
    <w:multiLevelType w:val="hybridMultilevel"/>
    <w:tmpl w:val="C00C3A7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790B67C4"/>
    <w:multiLevelType w:val="multilevel"/>
    <w:tmpl w:val="FE688822"/>
    <w:numStyleLink w:val="BoxedBullets"/>
  </w:abstractNum>
  <w:num w:numId="1">
    <w:abstractNumId w:val="11"/>
  </w:num>
  <w:num w:numId="2">
    <w:abstractNumId w:val="20"/>
  </w:num>
  <w:num w:numId="3">
    <w:abstractNumId w:val="27"/>
  </w:num>
  <w:num w:numId="4">
    <w:abstractNumId w:val="19"/>
  </w:num>
  <w:num w:numId="5">
    <w:abstractNumId w:val="13"/>
  </w:num>
  <w:num w:numId="6">
    <w:abstractNumId w:val="12"/>
  </w:num>
  <w:num w:numId="7">
    <w:abstractNumId w:val="22"/>
  </w:num>
  <w:num w:numId="8">
    <w:abstractNumId w:val="21"/>
  </w:num>
  <w:num w:numId="9">
    <w:abstractNumId w:val="14"/>
  </w:num>
  <w:num w:numId="10">
    <w:abstractNumId w:val="26"/>
  </w:num>
  <w:num w:numId="11">
    <w:abstractNumId w:val="2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  <w:num w:numId="23">
    <w:abstractNumId w:val="15"/>
  </w:num>
  <w:num w:numId="24">
    <w:abstractNumId w:val="23"/>
  </w:num>
  <w:num w:numId="25">
    <w:abstractNumId w:val="16"/>
  </w:num>
  <w:num w:numId="26">
    <w:abstractNumId w:val="17"/>
  </w:num>
  <w:num w:numId="27">
    <w:abstractNumId w:val="18"/>
  </w:num>
  <w:num w:numId="28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9D"/>
    <w:rsid w:val="00043D08"/>
    <w:rsid w:val="00055983"/>
    <w:rsid w:val="00080615"/>
    <w:rsid w:val="000C252F"/>
    <w:rsid w:val="000F3A54"/>
    <w:rsid w:val="000F48FC"/>
    <w:rsid w:val="000F7675"/>
    <w:rsid w:val="00140C49"/>
    <w:rsid w:val="001552E8"/>
    <w:rsid w:val="00182709"/>
    <w:rsid w:val="00196184"/>
    <w:rsid w:val="001C0899"/>
    <w:rsid w:val="001C39F4"/>
    <w:rsid w:val="001E15C2"/>
    <w:rsid w:val="00201052"/>
    <w:rsid w:val="002235F3"/>
    <w:rsid w:val="00231AAC"/>
    <w:rsid w:val="002804D3"/>
    <w:rsid w:val="002F1265"/>
    <w:rsid w:val="0030561D"/>
    <w:rsid w:val="003449A0"/>
    <w:rsid w:val="00362AB6"/>
    <w:rsid w:val="00362CE2"/>
    <w:rsid w:val="003D5F59"/>
    <w:rsid w:val="003F29B8"/>
    <w:rsid w:val="004154E2"/>
    <w:rsid w:val="004D4273"/>
    <w:rsid w:val="00534D53"/>
    <w:rsid w:val="00542496"/>
    <w:rsid w:val="005573E9"/>
    <w:rsid w:val="005B053D"/>
    <w:rsid w:val="005B7BFE"/>
    <w:rsid w:val="005C2FED"/>
    <w:rsid w:val="00625854"/>
    <w:rsid w:val="00651348"/>
    <w:rsid w:val="006607CC"/>
    <w:rsid w:val="00676DDD"/>
    <w:rsid w:val="00680A20"/>
    <w:rsid w:val="00680F04"/>
    <w:rsid w:val="006D6D91"/>
    <w:rsid w:val="006E084A"/>
    <w:rsid w:val="006F6340"/>
    <w:rsid w:val="0073524D"/>
    <w:rsid w:val="00752B38"/>
    <w:rsid w:val="0078103B"/>
    <w:rsid w:val="00784633"/>
    <w:rsid w:val="007F2F79"/>
    <w:rsid w:val="0082679D"/>
    <w:rsid w:val="008313BB"/>
    <w:rsid w:val="00831B62"/>
    <w:rsid w:val="00841520"/>
    <w:rsid w:val="00850B0E"/>
    <w:rsid w:val="008A649A"/>
    <w:rsid w:val="008B7938"/>
    <w:rsid w:val="008E21DE"/>
    <w:rsid w:val="0092679E"/>
    <w:rsid w:val="009539C8"/>
    <w:rsid w:val="00970176"/>
    <w:rsid w:val="00992007"/>
    <w:rsid w:val="009C60ED"/>
    <w:rsid w:val="009D06E2"/>
    <w:rsid w:val="009F4EAA"/>
    <w:rsid w:val="00A07E4A"/>
    <w:rsid w:val="00A4468E"/>
    <w:rsid w:val="00A60009"/>
    <w:rsid w:val="00A87632"/>
    <w:rsid w:val="00A95CB1"/>
    <w:rsid w:val="00AA094B"/>
    <w:rsid w:val="00AB12D5"/>
    <w:rsid w:val="00AD735D"/>
    <w:rsid w:val="00AF0899"/>
    <w:rsid w:val="00B05B54"/>
    <w:rsid w:val="00B603C0"/>
    <w:rsid w:val="00B83AB4"/>
    <w:rsid w:val="00BA4FF9"/>
    <w:rsid w:val="00BB6245"/>
    <w:rsid w:val="00BB7290"/>
    <w:rsid w:val="00BC3BA1"/>
    <w:rsid w:val="00C0421C"/>
    <w:rsid w:val="00C10202"/>
    <w:rsid w:val="00C21944"/>
    <w:rsid w:val="00C2698C"/>
    <w:rsid w:val="00C52C59"/>
    <w:rsid w:val="00C90DF2"/>
    <w:rsid w:val="00CB3E70"/>
    <w:rsid w:val="00CB64BD"/>
    <w:rsid w:val="00D33733"/>
    <w:rsid w:val="00D96EBB"/>
    <w:rsid w:val="00DD7753"/>
    <w:rsid w:val="00DF74BA"/>
    <w:rsid w:val="00E029F2"/>
    <w:rsid w:val="00E2317C"/>
    <w:rsid w:val="00E243C4"/>
    <w:rsid w:val="00E260AC"/>
    <w:rsid w:val="00E40290"/>
    <w:rsid w:val="00EA6BC8"/>
    <w:rsid w:val="00EB6694"/>
    <w:rsid w:val="00EC472F"/>
    <w:rsid w:val="00EE737C"/>
    <w:rsid w:val="00F13F48"/>
    <w:rsid w:val="00F20574"/>
    <w:rsid w:val="00F35F2F"/>
    <w:rsid w:val="00F36910"/>
    <w:rsid w:val="00F41613"/>
    <w:rsid w:val="00F8027E"/>
    <w:rsid w:val="00F9318C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5A24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 w:line="28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B6"/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13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96E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4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4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3F48"/>
  </w:style>
  <w:style w:type="paragraph" w:styleId="BlockText">
    <w:name w:val="Block Text"/>
    <w:basedOn w:val="Normal"/>
    <w:uiPriority w:val="99"/>
    <w:semiHidden/>
    <w:unhideWhenUsed/>
    <w:rsid w:val="00F13F48"/>
    <w:pPr>
      <w:pBdr>
        <w:top w:val="single" w:sz="2" w:space="10" w:color="5F2E74" w:themeColor="accent1" w:shadow="1" w:frame="1"/>
        <w:left w:val="single" w:sz="2" w:space="10" w:color="5F2E74" w:themeColor="accent1" w:shadow="1" w:frame="1"/>
        <w:bottom w:val="single" w:sz="2" w:space="10" w:color="5F2E74" w:themeColor="accent1" w:shadow="1" w:frame="1"/>
        <w:right w:val="single" w:sz="2" w:space="10" w:color="5F2E74" w:themeColor="accent1" w:shadow="1" w:frame="1"/>
      </w:pBdr>
      <w:ind w:left="1152" w:right="1152"/>
    </w:pPr>
    <w:rPr>
      <w:rFonts w:eastAsiaTheme="minorEastAsia"/>
      <w:i/>
      <w:iCs/>
      <w:color w:val="5F2E7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13F48"/>
  </w:style>
  <w:style w:type="character" w:customStyle="1" w:styleId="BodyTextChar">
    <w:name w:val="Body Text Char"/>
    <w:basedOn w:val="DefaultParagraphFont"/>
    <w:link w:val="BodyText"/>
    <w:uiPriority w:val="99"/>
    <w:semiHidden/>
    <w:rsid w:val="00F13F48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13F4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3F48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13F4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3F4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3F4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3F48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3F4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3F48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13F4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13F48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3F4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3F48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3F4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3F48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13F48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3F48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F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F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F48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3F48"/>
  </w:style>
  <w:style w:type="character" w:customStyle="1" w:styleId="DateChar">
    <w:name w:val="Date Char"/>
    <w:basedOn w:val="DefaultParagraphFont"/>
    <w:link w:val="Date"/>
    <w:uiPriority w:val="99"/>
    <w:semiHidden/>
    <w:rsid w:val="00F13F48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3F48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3F4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3F48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3F48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F48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F48"/>
  </w:style>
  <w:style w:type="paragraph" w:styleId="EnvelopeAddress">
    <w:name w:val="envelope address"/>
    <w:basedOn w:val="Normal"/>
    <w:uiPriority w:val="99"/>
    <w:semiHidden/>
    <w:unhideWhenUsed/>
    <w:rsid w:val="00F13F48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3F48"/>
    <w:pPr>
      <w:spacing w:before="0"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3F48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3F48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3F48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F4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3F48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3F4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F13F48"/>
    <w:pPr>
      <w:pBdr>
        <w:top w:val="single" w:sz="4" w:space="10" w:color="5F2E74" w:themeColor="accent1"/>
        <w:bottom w:val="single" w:sz="4" w:space="10" w:color="5F2E74" w:themeColor="accent1"/>
      </w:pBdr>
      <w:spacing w:before="360" w:after="360"/>
      <w:ind w:left="864" w:right="864"/>
    </w:pPr>
    <w:rPr>
      <w:i/>
      <w:iCs/>
      <w:color w:val="5F2E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F13F48"/>
    <w:rPr>
      <w:i/>
      <w:iCs/>
      <w:color w:val="5F2E74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F13F4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3F4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3F4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3F4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3F4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13F48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13F48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13F48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13F48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13F48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13F4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3F4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3F4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3F4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3F48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13F48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13F48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13F48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13F48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13F48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13F4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13F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3F4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3F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3F4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F13F4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3F48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3F48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3F48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3F4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3F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3F48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3F48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3F48"/>
    <w:rPr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3F4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3F4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F13F4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13F4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13F4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3F4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3F4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3F48"/>
    <w:pPr>
      <w:spacing w:after="100"/>
      <w:ind w:left="1760"/>
    </w:pPr>
  </w:style>
  <w:style w:type="paragraph" w:customStyle="1" w:styleId="Title2">
    <w:name w:val="Title 2"/>
    <w:basedOn w:val="Title"/>
    <w:link w:val="Title2Char"/>
    <w:qFormat/>
    <w:rsid w:val="001C39F4"/>
    <w:pPr>
      <w:spacing w:before="0" w:after="0"/>
    </w:pPr>
    <w:rPr>
      <w:rFonts w:ascii="Calibri" w:hAnsi="Calibri" w:cs="Calibri"/>
      <w:b/>
      <w:color w:val="000000" w:themeColor="text1"/>
      <w:sz w:val="36"/>
    </w:rPr>
  </w:style>
  <w:style w:type="paragraph" w:customStyle="1" w:styleId="FlowChart">
    <w:name w:val="Flow Chart"/>
    <w:basedOn w:val="Normal"/>
    <w:link w:val="FlowChartChar"/>
    <w:qFormat/>
    <w:rsid w:val="00196184"/>
    <w:pPr>
      <w:spacing w:before="0" w:after="0" w:line="240" w:lineRule="auto"/>
    </w:pPr>
    <w:rPr>
      <w:color w:val="FFFFFF" w:themeColor="background1"/>
    </w:rPr>
  </w:style>
  <w:style w:type="character" w:customStyle="1" w:styleId="Title2Char">
    <w:name w:val="Title 2 Char"/>
    <w:basedOn w:val="TitleChar"/>
    <w:link w:val="Title2"/>
    <w:rsid w:val="001C39F4"/>
    <w:rPr>
      <w:rFonts w:ascii="Calibri" w:eastAsiaTheme="majorEastAsia" w:hAnsi="Calibri" w:cs="Calibri"/>
      <w:b/>
      <w:color w:val="612C69"/>
      <w:sz w:val="36"/>
      <w:szCs w:val="48"/>
    </w:rPr>
  </w:style>
  <w:style w:type="character" w:customStyle="1" w:styleId="FlowChartChar">
    <w:name w:val="Flow Chart Char"/>
    <w:basedOn w:val="DefaultParagraphFont"/>
    <w:link w:val="FlowChart"/>
    <w:rsid w:val="00196184"/>
    <w:rPr>
      <w:color w:val="FFFFFF" w:themeColor="background1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F76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4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6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3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2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providers/unregistered-provide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providers/worker-screening/interimarrangemen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providers/worker-screening/interimarrangeme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612C69"/>
        </a:solidFill>
        <a:ln>
          <a:noFill/>
        </a:ln>
      </a:spPr>
      <a:bodyPr rot="0" spcFirstLastPara="0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FE46-1330-4FC2-840B-ED6E2D2BB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CB820-CA49-418C-A609-53997409F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0CEAD-D534-4825-877B-60569C075FDE}">
  <ds:schemaRefs>
    <ds:schemaRef ds:uri="http://schemas.microsoft.com/office/2006/metadata/properties"/>
    <ds:schemaRef ds:uri="2D22F82A-A5EF-48CF-8D71-43B7221E543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62A1B3-ED54-4B68-BBC7-6B0C9AE0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Unregistered NDIS providers: Worker screening checks required</vt:lpstr>
    </vt:vector>
  </TitlesOfParts>
  <Manager/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Unregistered NDIS providers: Worker screening checks required</dc:title>
  <dc:subject/>
  <dc:creator/>
  <cp:keywords/>
  <dc:description/>
  <cp:lastModifiedBy/>
  <cp:revision>1</cp:revision>
  <dcterms:created xsi:type="dcterms:W3CDTF">2021-01-14T03:51:00Z</dcterms:created>
  <dcterms:modified xsi:type="dcterms:W3CDTF">2021-01-15T00:20:00Z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