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D17C5" w14:textId="55911074" w:rsidR="001B4AAF" w:rsidRDefault="001B4AAF" w:rsidP="007E10CA">
      <w:pPr>
        <w:pStyle w:val="Title"/>
        <w:jc w:val="center"/>
      </w:pPr>
      <w:bookmarkStart w:id="0" w:name="_GoBack"/>
      <w:bookmarkEnd w:id="0"/>
      <w:r>
        <w:t>Evidence Summary: Anticonvulsants for behaviours of concern in child</w:t>
      </w:r>
      <w:r w:rsidR="00902FBA">
        <w:t>ren, adolescents and adults</w:t>
      </w:r>
      <w:r>
        <w:t xml:space="preserve"> with autism</w:t>
      </w:r>
    </w:p>
    <w:p w14:paraId="0A938C99" w14:textId="395DD541" w:rsidR="001B4AAF" w:rsidRPr="007E10CA" w:rsidRDefault="00A0665A" w:rsidP="007E10CA">
      <w:pPr>
        <w:pStyle w:val="Title"/>
        <w:rPr>
          <w:b/>
          <w:sz w:val="40"/>
          <w:szCs w:val="40"/>
        </w:rPr>
      </w:pPr>
      <w:r>
        <w:rPr>
          <w:b/>
          <w:sz w:val="40"/>
          <w:szCs w:val="40"/>
        </w:rPr>
        <w:t>July</w:t>
      </w:r>
      <w:r w:rsidRPr="007E10CA">
        <w:rPr>
          <w:b/>
          <w:sz w:val="40"/>
          <w:szCs w:val="40"/>
        </w:rPr>
        <w:t xml:space="preserve"> </w:t>
      </w:r>
      <w:r w:rsidR="00E54DC5" w:rsidRPr="007E10CA">
        <w:rPr>
          <w:b/>
          <w:sz w:val="40"/>
          <w:szCs w:val="40"/>
        </w:rPr>
        <w:t>2022</w:t>
      </w:r>
    </w:p>
    <w:p w14:paraId="4249E4D7" w14:textId="77777777" w:rsidR="00C10535" w:rsidRDefault="00C10535" w:rsidP="00C10535">
      <w:r>
        <w:t>This evidence summary is intended to be used as an education resource and to assist with training and advice on the use of behaviour supports and the reduction and elimination of the use of restrictive practices by NDIS providers.</w:t>
      </w:r>
    </w:p>
    <w:p w14:paraId="0EAF2E6D" w14:textId="7C27DC14" w:rsidR="007E10CA" w:rsidRDefault="00C10535" w:rsidP="007E10CA">
      <w:r>
        <w:t xml:space="preserve">It has been prepared by the NDIS Quality and Safeguards Commission in the course of undertaking and publishing research to inform the development and evaluation of the use of behaviour supports and to develop strategies to encourage the reduction and elimination of restrictive practices by NDIS providers. </w:t>
      </w:r>
    </w:p>
    <w:p w14:paraId="7193E33B" w14:textId="0BFA8A47" w:rsidR="007E10CA" w:rsidRPr="00E862C2" w:rsidRDefault="00C10535" w:rsidP="007E10CA">
      <w:pPr>
        <w:pStyle w:val="Heading4"/>
        <w:rPr>
          <w:rFonts w:asciiTheme="majorHAnsi" w:hAnsiTheme="majorHAnsi" w:cstheme="majorHAnsi"/>
          <w:i w:val="0"/>
          <w:color w:val="auto"/>
          <w:sz w:val="48"/>
          <w:szCs w:val="48"/>
        </w:rPr>
      </w:pPr>
      <w:r>
        <w:rPr>
          <w:rFonts w:asciiTheme="majorHAnsi" w:hAnsiTheme="majorHAnsi" w:cstheme="majorHAnsi"/>
          <w:i w:val="0"/>
          <w:color w:val="auto"/>
        </w:rPr>
        <w:t xml:space="preserve">Who is this </w:t>
      </w:r>
      <w:r w:rsidR="007E10CA" w:rsidRPr="00E862C2">
        <w:rPr>
          <w:rFonts w:asciiTheme="majorHAnsi" w:hAnsiTheme="majorHAnsi" w:cstheme="majorHAnsi"/>
          <w:i w:val="0"/>
          <w:color w:val="auto"/>
        </w:rPr>
        <w:t>evidence summary for?</w:t>
      </w:r>
    </w:p>
    <w:p w14:paraId="51813037" w14:textId="0A68C29A" w:rsidR="007E10CA" w:rsidRPr="00E862C2" w:rsidRDefault="007E10CA" w:rsidP="007E10CA">
      <w:pPr>
        <w:pStyle w:val="ListParagraph"/>
        <w:numPr>
          <w:ilvl w:val="0"/>
          <w:numId w:val="41"/>
        </w:numPr>
        <w:spacing w:before="120" w:after="120"/>
        <w:rPr>
          <w:rFonts w:asciiTheme="minorHAnsi" w:hAnsiTheme="minorHAnsi" w:cstheme="minorHAnsi"/>
        </w:rPr>
      </w:pPr>
      <w:r w:rsidRPr="00E862C2">
        <w:rPr>
          <w:rFonts w:asciiTheme="minorHAnsi" w:hAnsiTheme="minorHAnsi" w:cstheme="minorHAnsi"/>
        </w:rPr>
        <w:t xml:space="preserve">It is for NDIS behaviour support </w:t>
      </w:r>
      <w:r w:rsidR="00C10535">
        <w:rPr>
          <w:rFonts w:asciiTheme="minorHAnsi" w:hAnsiTheme="minorHAnsi" w:cstheme="minorHAnsi"/>
        </w:rPr>
        <w:t xml:space="preserve">practitioners and registered NDIS </w:t>
      </w:r>
      <w:r w:rsidRPr="00E862C2">
        <w:rPr>
          <w:rFonts w:asciiTheme="minorHAnsi" w:hAnsiTheme="minorHAnsi" w:cstheme="minorHAnsi"/>
        </w:rPr>
        <w:t xml:space="preserve">providers who </w:t>
      </w:r>
      <w:r w:rsidR="00C10535">
        <w:rPr>
          <w:rFonts w:asciiTheme="minorHAnsi" w:hAnsiTheme="minorHAnsi" w:cstheme="minorHAnsi"/>
        </w:rPr>
        <w:t xml:space="preserve">implement behaviour support plans and who </w:t>
      </w:r>
      <w:r w:rsidRPr="00E862C2">
        <w:rPr>
          <w:rFonts w:asciiTheme="minorHAnsi" w:hAnsiTheme="minorHAnsi" w:cstheme="minorHAnsi"/>
        </w:rPr>
        <w:t>work with children, teenagers and adults who have autism and behaviours of concern.</w:t>
      </w:r>
    </w:p>
    <w:p w14:paraId="64238977" w14:textId="77777777" w:rsidR="007E10CA" w:rsidRPr="00E862C2" w:rsidRDefault="007E10CA" w:rsidP="007E10CA">
      <w:pPr>
        <w:pStyle w:val="Heading4"/>
        <w:rPr>
          <w:rFonts w:asciiTheme="majorHAnsi" w:hAnsiTheme="majorHAnsi" w:cstheme="majorHAnsi"/>
          <w:i w:val="0"/>
          <w:color w:val="auto"/>
        </w:rPr>
      </w:pPr>
      <w:r w:rsidRPr="00E862C2">
        <w:rPr>
          <w:rFonts w:asciiTheme="majorHAnsi" w:hAnsiTheme="majorHAnsi" w:cstheme="majorHAnsi"/>
          <w:i w:val="0"/>
          <w:color w:val="auto"/>
        </w:rPr>
        <w:t>What is the purpose of this evidence summary?</w:t>
      </w:r>
    </w:p>
    <w:p w14:paraId="425D921E" w14:textId="4CA3B056" w:rsidR="007E10CA" w:rsidRPr="00E862C2" w:rsidRDefault="007E10CA" w:rsidP="007E10CA">
      <w:pPr>
        <w:pStyle w:val="ListParagraph"/>
        <w:numPr>
          <w:ilvl w:val="0"/>
          <w:numId w:val="41"/>
        </w:numPr>
        <w:rPr>
          <w:rFonts w:asciiTheme="minorHAnsi" w:hAnsiTheme="minorHAnsi" w:cstheme="minorHAnsi"/>
        </w:rPr>
      </w:pPr>
      <w:r w:rsidRPr="00E862C2">
        <w:rPr>
          <w:rFonts w:asciiTheme="minorHAnsi" w:hAnsiTheme="minorHAnsi" w:cstheme="minorHAnsi"/>
        </w:rPr>
        <w:t xml:space="preserve">To provide NDIS behaviour support </w:t>
      </w:r>
      <w:r w:rsidR="00C10535">
        <w:rPr>
          <w:rFonts w:asciiTheme="minorHAnsi" w:hAnsiTheme="minorHAnsi" w:cstheme="minorHAnsi"/>
        </w:rPr>
        <w:t xml:space="preserve">practitioners and registered NDIS </w:t>
      </w:r>
      <w:r w:rsidRPr="00E862C2">
        <w:rPr>
          <w:rFonts w:asciiTheme="minorHAnsi" w:hAnsiTheme="minorHAnsi" w:cstheme="minorHAnsi"/>
        </w:rPr>
        <w:t>providers</w:t>
      </w:r>
      <w:r w:rsidR="00C10535">
        <w:rPr>
          <w:rFonts w:asciiTheme="minorHAnsi" w:hAnsiTheme="minorHAnsi" w:cstheme="minorHAnsi"/>
        </w:rPr>
        <w:t xml:space="preserve"> who implement behaviour plans</w:t>
      </w:r>
      <w:r w:rsidRPr="00E862C2">
        <w:rPr>
          <w:rFonts w:asciiTheme="minorHAnsi" w:hAnsiTheme="minorHAnsi" w:cstheme="minorHAnsi"/>
        </w:rPr>
        <w:t xml:space="preserve"> with the most up-to-date </w:t>
      </w:r>
      <w:r w:rsidR="00847F9B">
        <w:rPr>
          <w:rFonts w:asciiTheme="minorHAnsi" w:hAnsiTheme="minorHAnsi" w:cstheme="minorHAnsi"/>
        </w:rPr>
        <w:t>research evidence</w:t>
      </w:r>
      <w:r>
        <w:rPr>
          <w:rFonts w:asciiTheme="minorHAnsi" w:hAnsiTheme="minorHAnsi" w:cstheme="minorHAnsi"/>
        </w:rPr>
        <w:t xml:space="preserve"> on</w:t>
      </w:r>
      <w:r w:rsidR="00FB7397">
        <w:rPr>
          <w:rFonts w:asciiTheme="minorHAnsi" w:hAnsiTheme="minorHAnsi" w:cstheme="minorHAnsi"/>
        </w:rPr>
        <w:t xml:space="preserve"> the benefits and harms of</w:t>
      </w:r>
      <w:r>
        <w:rPr>
          <w:rFonts w:asciiTheme="minorHAnsi" w:hAnsiTheme="minorHAnsi" w:cstheme="minorHAnsi"/>
        </w:rPr>
        <w:t xml:space="preserve"> anticonvulsant medications</w:t>
      </w:r>
      <w:r w:rsidRPr="00E862C2">
        <w:rPr>
          <w:rFonts w:asciiTheme="minorHAnsi" w:hAnsiTheme="minorHAnsi" w:cstheme="minorHAnsi"/>
        </w:rPr>
        <w:t xml:space="preserve"> when they are used to manage behaviours of concern in children, adolescents and adults with Autism Spectrum Disorder (ASD).</w:t>
      </w:r>
    </w:p>
    <w:p w14:paraId="1ABB545B" w14:textId="77777777" w:rsidR="007E10CA" w:rsidRPr="00E862C2" w:rsidRDefault="007E10CA" w:rsidP="007E10CA">
      <w:pPr>
        <w:pStyle w:val="ListParagraph"/>
        <w:numPr>
          <w:ilvl w:val="0"/>
          <w:numId w:val="41"/>
        </w:numPr>
        <w:rPr>
          <w:rFonts w:asciiTheme="minorHAnsi" w:hAnsiTheme="minorHAnsi" w:cstheme="minorHAnsi"/>
        </w:rPr>
      </w:pPr>
      <w:r w:rsidRPr="00E862C2">
        <w:rPr>
          <w:rFonts w:asciiTheme="minorHAnsi" w:hAnsiTheme="minorHAnsi" w:cstheme="minorHAnsi"/>
        </w:rPr>
        <w:t>The behaviours of concern include:</w:t>
      </w:r>
    </w:p>
    <w:p w14:paraId="1F9FD72A" w14:textId="77777777" w:rsidR="007E10CA" w:rsidRPr="00E862C2" w:rsidRDefault="007E10CA" w:rsidP="007E10CA">
      <w:pPr>
        <w:pStyle w:val="ListParagraph"/>
        <w:numPr>
          <w:ilvl w:val="1"/>
          <w:numId w:val="41"/>
        </w:numPr>
        <w:rPr>
          <w:rFonts w:asciiTheme="minorHAnsi" w:hAnsiTheme="minorHAnsi" w:cstheme="minorHAnsi"/>
        </w:rPr>
      </w:pPr>
      <w:r w:rsidRPr="00E862C2">
        <w:rPr>
          <w:rFonts w:asciiTheme="minorHAnsi" w:hAnsiTheme="minorHAnsi" w:cstheme="minorHAnsi"/>
        </w:rPr>
        <w:t>irritability;</w:t>
      </w:r>
    </w:p>
    <w:p w14:paraId="520E3143" w14:textId="77777777" w:rsidR="007E10CA" w:rsidRPr="00E862C2" w:rsidRDefault="007E10CA" w:rsidP="007E10CA">
      <w:pPr>
        <w:pStyle w:val="ListParagraph"/>
        <w:numPr>
          <w:ilvl w:val="1"/>
          <w:numId w:val="41"/>
        </w:numPr>
        <w:rPr>
          <w:rFonts w:asciiTheme="minorHAnsi" w:hAnsiTheme="minorHAnsi" w:cstheme="minorHAnsi"/>
        </w:rPr>
      </w:pPr>
      <w:r w:rsidRPr="00E862C2">
        <w:rPr>
          <w:rFonts w:asciiTheme="minorHAnsi" w:hAnsiTheme="minorHAnsi" w:cstheme="minorHAnsi"/>
        </w:rPr>
        <w:t>aggression; and</w:t>
      </w:r>
    </w:p>
    <w:p w14:paraId="0584AA5D" w14:textId="77777777" w:rsidR="007E10CA" w:rsidRPr="00E862C2" w:rsidRDefault="007E10CA" w:rsidP="007E10CA">
      <w:pPr>
        <w:pStyle w:val="ListParagraph"/>
        <w:numPr>
          <w:ilvl w:val="1"/>
          <w:numId w:val="41"/>
        </w:numPr>
        <w:rPr>
          <w:rFonts w:asciiTheme="minorHAnsi" w:hAnsiTheme="minorHAnsi" w:cstheme="minorHAnsi"/>
        </w:rPr>
      </w:pPr>
      <w:r w:rsidRPr="00E862C2">
        <w:rPr>
          <w:rFonts w:asciiTheme="minorHAnsi" w:hAnsiTheme="minorHAnsi" w:cstheme="minorHAnsi"/>
        </w:rPr>
        <w:t>behaviours that result in self-injury.</w:t>
      </w:r>
    </w:p>
    <w:p w14:paraId="4D886F27" w14:textId="77777777" w:rsidR="007E10CA" w:rsidRPr="00E862C2" w:rsidRDefault="007E10CA" w:rsidP="007E10CA">
      <w:pPr>
        <w:pStyle w:val="Heading4"/>
        <w:rPr>
          <w:rFonts w:asciiTheme="majorHAnsi" w:hAnsiTheme="majorHAnsi" w:cstheme="majorHAnsi"/>
          <w:i w:val="0"/>
          <w:color w:val="auto"/>
        </w:rPr>
      </w:pPr>
      <w:r w:rsidRPr="00E862C2">
        <w:rPr>
          <w:rFonts w:asciiTheme="majorHAnsi" w:hAnsiTheme="majorHAnsi" w:cstheme="majorHAnsi"/>
          <w:i w:val="0"/>
          <w:color w:val="auto"/>
        </w:rPr>
        <w:t>Why are we providing this information?</w:t>
      </w:r>
    </w:p>
    <w:p w14:paraId="061CFBF2" w14:textId="56279FBD" w:rsidR="007E10CA" w:rsidRPr="00E862C2" w:rsidRDefault="007E10CA" w:rsidP="007E10CA">
      <w:pPr>
        <w:pStyle w:val="ListParagraph"/>
        <w:numPr>
          <w:ilvl w:val="0"/>
          <w:numId w:val="42"/>
        </w:numPr>
        <w:spacing w:before="120" w:after="120"/>
        <w:rPr>
          <w:rFonts w:asciiTheme="minorHAnsi" w:hAnsiTheme="minorHAnsi" w:cstheme="minorHAnsi"/>
        </w:rPr>
      </w:pPr>
      <w:r>
        <w:rPr>
          <w:rFonts w:asciiTheme="minorHAnsi" w:hAnsiTheme="minorHAnsi" w:cstheme="minorHAnsi"/>
        </w:rPr>
        <w:t xml:space="preserve">Anticonvulsant medications </w:t>
      </w:r>
      <w:r w:rsidRPr="00E862C2">
        <w:rPr>
          <w:rFonts w:asciiTheme="minorHAnsi" w:hAnsiTheme="minorHAnsi" w:cstheme="minorHAnsi"/>
        </w:rPr>
        <w:t xml:space="preserve">are often prescribed to people with ASD to reduce behaviours of concern. </w:t>
      </w:r>
    </w:p>
    <w:p w14:paraId="20FA1F0D" w14:textId="1BD60C80" w:rsidR="007E10CA" w:rsidRPr="00E862C2" w:rsidRDefault="007E10CA" w:rsidP="007E10CA">
      <w:pPr>
        <w:pStyle w:val="ListParagraph"/>
        <w:numPr>
          <w:ilvl w:val="0"/>
          <w:numId w:val="41"/>
        </w:numPr>
        <w:rPr>
          <w:rFonts w:asciiTheme="minorHAnsi" w:hAnsiTheme="minorHAnsi" w:cstheme="minorHAnsi"/>
        </w:rPr>
      </w:pPr>
      <w:r w:rsidRPr="00E862C2">
        <w:rPr>
          <w:rFonts w:asciiTheme="minorHAnsi" w:hAnsiTheme="minorHAnsi" w:cstheme="minorHAnsi"/>
        </w:rPr>
        <w:lastRenderedPageBreak/>
        <w:t xml:space="preserve">Best evidence for </w:t>
      </w:r>
      <w:r>
        <w:rPr>
          <w:rFonts w:asciiTheme="minorHAnsi" w:hAnsiTheme="minorHAnsi" w:cstheme="minorHAnsi"/>
        </w:rPr>
        <w:t>the effectiveness of anticonvulsant medications</w:t>
      </w:r>
      <w:r w:rsidRPr="00E862C2">
        <w:rPr>
          <w:rFonts w:asciiTheme="minorHAnsi" w:hAnsiTheme="minorHAnsi" w:cstheme="minorHAnsi"/>
        </w:rPr>
        <w:t xml:space="preserve"> in reducing behaviours of concern, and any associated adverse effects, comes from high quality systematic reviews of randomised controlled trials. </w:t>
      </w:r>
    </w:p>
    <w:p w14:paraId="3685E8AD" w14:textId="4AA3E47B" w:rsidR="007E10CA" w:rsidRDefault="007E10CA" w:rsidP="007E10CA">
      <w:pPr>
        <w:pStyle w:val="Heading4"/>
        <w:rPr>
          <w:rFonts w:asciiTheme="majorHAnsi" w:hAnsiTheme="majorHAnsi" w:cstheme="majorHAnsi"/>
          <w:i w:val="0"/>
          <w:color w:val="auto"/>
        </w:rPr>
      </w:pPr>
      <w:r w:rsidRPr="00E862C2">
        <w:rPr>
          <w:rFonts w:asciiTheme="majorHAnsi" w:hAnsiTheme="majorHAnsi" w:cstheme="majorHAnsi"/>
          <w:i w:val="0"/>
          <w:color w:val="auto"/>
        </w:rPr>
        <w:t>What did we learn?</w:t>
      </w:r>
    </w:p>
    <w:p w14:paraId="27D437F4" w14:textId="5FCAFBF9" w:rsidR="00A0665A" w:rsidRDefault="00C10535" w:rsidP="00C10535">
      <w:pPr>
        <w:rPr>
          <w:rFonts w:asciiTheme="minorHAnsi" w:hAnsiTheme="minorHAnsi" w:cstheme="minorHAnsi"/>
          <w:sz w:val="24"/>
          <w:szCs w:val="24"/>
        </w:rPr>
      </w:pPr>
      <w:r>
        <w:rPr>
          <w:rFonts w:asciiTheme="minorHAnsi" w:hAnsiTheme="minorHAnsi" w:cstheme="minorHAnsi"/>
          <w:sz w:val="24"/>
          <w:szCs w:val="24"/>
        </w:rPr>
        <w:t>We are not able to make any conclusions about the benefits and harms of anticonvulsant medication use in adults with ASD as the majority of participants in these trials were under the age of 18.</w:t>
      </w:r>
    </w:p>
    <w:p w14:paraId="5BA00930" w14:textId="093165BD" w:rsidR="00C10535" w:rsidRPr="00DE2D33" w:rsidRDefault="00C10535" w:rsidP="00C10535">
      <w:r>
        <w:rPr>
          <w:rFonts w:asciiTheme="minorHAnsi" w:hAnsiTheme="minorHAnsi" w:cstheme="minorHAnsi"/>
          <w:sz w:val="24"/>
          <w:szCs w:val="24"/>
        </w:rPr>
        <w:t>What we did find across these trials was that:</w:t>
      </w:r>
    </w:p>
    <w:p w14:paraId="4A3BFC1B" w14:textId="77777777" w:rsidR="007E10CA" w:rsidRPr="00E862C2" w:rsidRDefault="007E10CA" w:rsidP="007E10CA">
      <w:pPr>
        <w:pStyle w:val="ListParagraph"/>
        <w:numPr>
          <w:ilvl w:val="0"/>
          <w:numId w:val="43"/>
        </w:numPr>
        <w:spacing w:before="120" w:after="120"/>
        <w:rPr>
          <w:rFonts w:asciiTheme="minorHAnsi" w:hAnsiTheme="minorHAnsi" w:cstheme="minorHAnsi"/>
        </w:rPr>
      </w:pPr>
      <w:r w:rsidRPr="00E862C2">
        <w:rPr>
          <w:rFonts w:asciiTheme="minorHAnsi" w:hAnsiTheme="minorHAnsi" w:cstheme="minorHAnsi"/>
        </w:rPr>
        <w:t xml:space="preserve">In the short-term: </w:t>
      </w:r>
    </w:p>
    <w:p w14:paraId="7A4367AE" w14:textId="0D86C59B" w:rsidR="007E10CA" w:rsidRPr="00730993" w:rsidRDefault="007E10CA" w:rsidP="007E10CA">
      <w:pPr>
        <w:pStyle w:val="ListParagraph"/>
        <w:numPr>
          <w:ilvl w:val="1"/>
          <w:numId w:val="43"/>
        </w:numPr>
        <w:spacing w:before="120" w:after="120"/>
        <w:rPr>
          <w:rFonts w:asciiTheme="minorHAnsi" w:hAnsiTheme="minorHAnsi" w:cstheme="minorHAnsi"/>
        </w:rPr>
      </w:pPr>
      <w:r>
        <w:rPr>
          <w:rFonts w:asciiTheme="minorHAnsi" w:hAnsiTheme="minorHAnsi" w:cstheme="minorHAnsi"/>
        </w:rPr>
        <w:t>Anticonvulsant medications</w:t>
      </w:r>
      <w:r w:rsidRPr="00E862C2">
        <w:rPr>
          <w:rFonts w:asciiTheme="minorHAnsi" w:hAnsiTheme="minorHAnsi" w:cstheme="minorHAnsi"/>
        </w:rPr>
        <w:t xml:space="preserve"> </w:t>
      </w:r>
      <w:r w:rsidR="00730993">
        <w:rPr>
          <w:rFonts w:asciiTheme="minorHAnsi" w:hAnsiTheme="minorHAnsi" w:cstheme="minorHAnsi"/>
        </w:rPr>
        <w:t>did not reduce</w:t>
      </w:r>
      <w:r w:rsidRPr="00730993">
        <w:rPr>
          <w:rFonts w:asciiTheme="minorHAnsi" w:hAnsiTheme="minorHAnsi" w:cstheme="minorHAnsi"/>
        </w:rPr>
        <w:t xml:space="preserve"> behaviours of concern </w:t>
      </w:r>
      <w:r w:rsidR="00730993">
        <w:rPr>
          <w:rFonts w:asciiTheme="minorHAnsi" w:hAnsiTheme="minorHAnsi" w:cstheme="minorHAnsi"/>
        </w:rPr>
        <w:t>when compared to placebo</w:t>
      </w:r>
      <w:r w:rsidR="00847F9B">
        <w:rPr>
          <w:rFonts w:asciiTheme="minorHAnsi" w:hAnsiTheme="minorHAnsi" w:cstheme="minorHAnsi"/>
        </w:rPr>
        <w:t>.</w:t>
      </w:r>
    </w:p>
    <w:p w14:paraId="06ED702E" w14:textId="5CD905A3" w:rsidR="007E10CA" w:rsidRDefault="007E10CA" w:rsidP="007E10CA">
      <w:pPr>
        <w:pStyle w:val="ListParagraph"/>
        <w:numPr>
          <w:ilvl w:val="1"/>
          <w:numId w:val="43"/>
        </w:numPr>
        <w:spacing w:before="120" w:after="120"/>
        <w:rPr>
          <w:rFonts w:asciiTheme="minorHAnsi" w:hAnsiTheme="minorHAnsi" w:cstheme="minorHAnsi"/>
        </w:rPr>
      </w:pPr>
      <w:r w:rsidRPr="002D745A">
        <w:rPr>
          <w:rFonts w:asciiTheme="minorHAnsi" w:hAnsiTheme="minorHAnsi" w:cstheme="minorHAnsi"/>
        </w:rPr>
        <w:t>Adverse effec</w:t>
      </w:r>
      <w:r w:rsidR="00AB245C">
        <w:rPr>
          <w:rFonts w:asciiTheme="minorHAnsi" w:hAnsiTheme="minorHAnsi" w:cstheme="minorHAnsi"/>
        </w:rPr>
        <w:t xml:space="preserve">ts associated with anticonvulsants were minimal with only one adverse effect showing a </w:t>
      </w:r>
      <w:r>
        <w:rPr>
          <w:rFonts w:asciiTheme="minorHAnsi" w:hAnsiTheme="minorHAnsi" w:cstheme="minorHAnsi"/>
        </w:rPr>
        <w:t>higher</w:t>
      </w:r>
      <w:r w:rsidR="00AB245C">
        <w:rPr>
          <w:rFonts w:asciiTheme="minorHAnsi" w:hAnsiTheme="minorHAnsi" w:cstheme="minorHAnsi"/>
        </w:rPr>
        <w:t xml:space="preserve"> </w:t>
      </w:r>
      <w:r w:rsidR="00AB245C" w:rsidRPr="002D745A">
        <w:rPr>
          <w:rFonts w:asciiTheme="minorHAnsi" w:hAnsiTheme="minorHAnsi" w:cstheme="minorHAnsi"/>
        </w:rPr>
        <w:t>(up to 5</w:t>
      </w:r>
      <w:r w:rsidR="00AB245C">
        <w:rPr>
          <w:rFonts w:asciiTheme="minorHAnsi" w:hAnsiTheme="minorHAnsi" w:cstheme="minorHAnsi"/>
        </w:rPr>
        <w:t>.5</w:t>
      </w:r>
      <w:r w:rsidR="00AB245C" w:rsidRPr="002D745A">
        <w:rPr>
          <w:rFonts w:asciiTheme="minorHAnsi" w:hAnsiTheme="minorHAnsi" w:cstheme="minorHAnsi"/>
        </w:rPr>
        <w:t xml:space="preserve"> tim</w:t>
      </w:r>
      <w:r w:rsidR="00AB245C">
        <w:rPr>
          <w:rFonts w:asciiTheme="minorHAnsi" w:hAnsiTheme="minorHAnsi" w:cstheme="minorHAnsi"/>
        </w:rPr>
        <w:t xml:space="preserve">es) risk </w:t>
      </w:r>
      <w:r>
        <w:rPr>
          <w:rFonts w:asciiTheme="minorHAnsi" w:hAnsiTheme="minorHAnsi" w:cstheme="minorHAnsi"/>
        </w:rPr>
        <w:t xml:space="preserve">in the anticonvulsant drug </w:t>
      </w:r>
      <w:r w:rsidRPr="002D745A">
        <w:rPr>
          <w:rFonts w:asciiTheme="minorHAnsi" w:hAnsiTheme="minorHAnsi" w:cstheme="minorHAnsi"/>
        </w:rPr>
        <w:t>groups compared to placebo</w:t>
      </w:r>
      <w:r w:rsidR="00847F9B">
        <w:rPr>
          <w:rFonts w:asciiTheme="minorHAnsi" w:hAnsiTheme="minorHAnsi" w:cstheme="minorHAnsi"/>
        </w:rPr>
        <w:t>.</w:t>
      </w:r>
    </w:p>
    <w:p w14:paraId="0E0259D2" w14:textId="321D9548" w:rsidR="00AB245C" w:rsidRPr="00AB245C" w:rsidRDefault="00847F9B" w:rsidP="00AB245C">
      <w:pPr>
        <w:pStyle w:val="ListParagraph"/>
        <w:numPr>
          <w:ilvl w:val="1"/>
          <w:numId w:val="43"/>
        </w:numPr>
        <w:spacing w:before="120" w:after="120"/>
        <w:rPr>
          <w:rFonts w:asciiTheme="minorHAnsi" w:hAnsiTheme="minorHAnsi" w:cstheme="minorHAnsi"/>
        </w:rPr>
      </w:pPr>
      <w:r>
        <w:rPr>
          <w:rFonts w:asciiTheme="minorHAnsi" w:hAnsiTheme="minorHAnsi" w:cstheme="minorHAnsi"/>
        </w:rPr>
        <w:t>A</w:t>
      </w:r>
      <w:r w:rsidR="00AB245C" w:rsidRPr="00AB245C">
        <w:rPr>
          <w:rFonts w:asciiTheme="minorHAnsi" w:hAnsiTheme="minorHAnsi" w:cstheme="minorHAnsi"/>
        </w:rPr>
        <w:t>ll other adverse effects did not show a difference between anticonvulsant groups and placebo</w:t>
      </w:r>
      <w:r>
        <w:rPr>
          <w:rFonts w:asciiTheme="minorHAnsi" w:hAnsiTheme="minorHAnsi" w:cstheme="minorHAnsi"/>
        </w:rPr>
        <w:t>.</w:t>
      </w:r>
    </w:p>
    <w:p w14:paraId="2EB9AF39" w14:textId="77777777" w:rsidR="00AB245C" w:rsidRDefault="00AB245C" w:rsidP="00AB245C">
      <w:pPr>
        <w:pStyle w:val="ListParagraph"/>
        <w:spacing w:before="120" w:after="120"/>
        <w:ind w:left="1440"/>
        <w:rPr>
          <w:rFonts w:asciiTheme="minorHAnsi" w:hAnsiTheme="minorHAnsi" w:cstheme="minorHAnsi"/>
        </w:rPr>
      </w:pPr>
    </w:p>
    <w:p w14:paraId="6B293BD9" w14:textId="1F7DE696" w:rsidR="007E10CA" w:rsidRDefault="007E10CA" w:rsidP="007E10CA">
      <w:pPr>
        <w:pStyle w:val="ListParagraph"/>
        <w:numPr>
          <w:ilvl w:val="0"/>
          <w:numId w:val="43"/>
        </w:numPr>
        <w:spacing w:before="120" w:after="120"/>
        <w:rPr>
          <w:rFonts w:asciiTheme="minorHAnsi" w:hAnsiTheme="minorHAnsi" w:cstheme="minorHAnsi"/>
        </w:rPr>
      </w:pPr>
      <w:r>
        <w:rPr>
          <w:rFonts w:asciiTheme="minorHAnsi" w:hAnsiTheme="minorHAnsi" w:cstheme="minorHAnsi"/>
        </w:rPr>
        <w:t>We could not make any conclusion about long-term effects, as long-term effects were not reported in any of the i</w:t>
      </w:r>
      <w:r w:rsidR="000444CD">
        <w:rPr>
          <w:rFonts w:asciiTheme="minorHAnsi" w:hAnsiTheme="minorHAnsi" w:cstheme="minorHAnsi"/>
        </w:rPr>
        <w:t>dentified</w:t>
      </w:r>
      <w:r w:rsidR="00847F9B">
        <w:rPr>
          <w:rFonts w:asciiTheme="minorHAnsi" w:hAnsiTheme="minorHAnsi" w:cstheme="minorHAnsi"/>
        </w:rPr>
        <w:t xml:space="preserve"> </w:t>
      </w:r>
      <w:r>
        <w:rPr>
          <w:rFonts w:asciiTheme="minorHAnsi" w:hAnsiTheme="minorHAnsi" w:cstheme="minorHAnsi"/>
        </w:rPr>
        <w:t xml:space="preserve">trials. </w:t>
      </w:r>
    </w:p>
    <w:p w14:paraId="27E9D5D7" w14:textId="77777777" w:rsidR="007E10CA" w:rsidRPr="002D745A" w:rsidRDefault="007E10CA" w:rsidP="007E10CA">
      <w:pPr>
        <w:pStyle w:val="ListParagraph"/>
        <w:spacing w:before="120" w:after="120"/>
        <w:rPr>
          <w:rFonts w:asciiTheme="minorHAnsi" w:hAnsiTheme="minorHAnsi" w:cstheme="minorHAnsi"/>
        </w:rPr>
      </w:pPr>
    </w:p>
    <w:p w14:paraId="50BD630F" w14:textId="098ABC61" w:rsidR="007E10CA" w:rsidRPr="00E862C2" w:rsidRDefault="007E10CA" w:rsidP="007E10CA">
      <w:pPr>
        <w:pStyle w:val="ListParagraph"/>
        <w:numPr>
          <w:ilvl w:val="0"/>
          <w:numId w:val="43"/>
        </w:numPr>
        <w:spacing w:before="120" w:after="120"/>
        <w:rPr>
          <w:rFonts w:asciiTheme="minorHAnsi" w:hAnsiTheme="minorHAnsi" w:cstheme="minorHAnsi"/>
        </w:rPr>
      </w:pPr>
      <w:r w:rsidRPr="00E862C2">
        <w:rPr>
          <w:rFonts w:asciiTheme="minorHAnsi" w:hAnsiTheme="minorHAnsi" w:cstheme="minorHAnsi"/>
        </w:rPr>
        <w:t xml:space="preserve">The side effects reported in people receiving </w:t>
      </w:r>
      <w:r>
        <w:rPr>
          <w:rFonts w:asciiTheme="minorHAnsi" w:hAnsiTheme="minorHAnsi" w:cstheme="minorHAnsi"/>
        </w:rPr>
        <w:t xml:space="preserve">anticonvulsant drugs </w:t>
      </w:r>
      <w:r w:rsidRPr="00E862C2">
        <w:rPr>
          <w:rFonts w:asciiTheme="minorHAnsi" w:hAnsiTheme="minorHAnsi" w:cstheme="minorHAnsi"/>
        </w:rPr>
        <w:t>included:</w:t>
      </w:r>
    </w:p>
    <w:p w14:paraId="42AEC610" w14:textId="013018B1" w:rsidR="007E10CA" w:rsidRPr="00AB245C" w:rsidRDefault="00847F9B" w:rsidP="007E10CA">
      <w:pPr>
        <w:pStyle w:val="ListParagraph"/>
        <w:numPr>
          <w:ilvl w:val="0"/>
          <w:numId w:val="44"/>
        </w:numPr>
        <w:spacing w:before="120" w:after="120"/>
        <w:rPr>
          <w:rFonts w:asciiTheme="minorHAnsi" w:hAnsiTheme="minorHAnsi" w:cstheme="minorHAnsi"/>
        </w:rPr>
      </w:pPr>
      <w:r>
        <w:rPr>
          <w:rFonts w:asciiTheme="minorHAnsi" w:hAnsiTheme="minorHAnsi" w:cstheme="minorHAnsi"/>
        </w:rPr>
        <w:t>D</w:t>
      </w:r>
      <w:r w:rsidR="007E10CA" w:rsidRPr="00AB245C">
        <w:rPr>
          <w:rFonts w:asciiTheme="minorHAnsi" w:hAnsiTheme="minorHAnsi" w:cstheme="minorHAnsi"/>
        </w:rPr>
        <w:t>ecreased appetite</w:t>
      </w:r>
      <w:r w:rsidR="00AB245C" w:rsidRPr="00AB245C">
        <w:rPr>
          <w:rFonts w:asciiTheme="minorHAnsi" w:hAnsiTheme="minorHAnsi" w:cstheme="minorHAnsi"/>
        </w:rPr>
        <w:t xml:space="preserve"> (up to 5.5 fold increased risk)</w:t>
      </w:r>
    </w:p>
    <w:p w14:paraId="1E42C123" w14:textId="54ECC558" w:rsidR="007E10CA" w:rsidRPr="00E862C2" w:rsidRDefault="00C10535" w:rsidP="007E10CA">
      <w:pPr>
        <w:pStyle w:val="Heading4"/>
        <w:rPr>
          <w:rFonts w:asciiTheme="majorHAnsi" w:hAnsiTheme="majorHAnsi" w:cstheme="majorHAnsi"/>
          <w:i w:val="0"/>
          <w:color w:val="auto"/>
        </w:rPr>
      </w:pPr>
      <w:r>
        <w:rPr>
          <w:rFonts w:asciiTheme="majorHAnsi" w:hAnsiTheme="majorHAnsi" w:cstheme="majorHAnsi"/>
          <w:i w:val="0"/>
          <w:color w:val="auto"/>
        </w:rPr>
        <w:t>How can</w:t>
      </w:r>
      <w:r w:rsidR="007E10CA" w:rsidRPr="00E862C2">
        <w:rPr>
          <w:rFonts w:asciiTheme="majorHAnsi" w:hAnsiTheme="majorHAnsi" w:cstheme="majorHAnsi"/>
          <w:i w:val="0"/>
          <w:color w:val="auto"/>
        </w:rPr>
        <w:t xml:space="preserve"> providers use this information?</w:t>
      </w:r>
    </w:p>
    <w:p w14:paraId="01F81590" w14:textId="19DD6F66" w:rsidR="007E10CA" w:rsidRPr="00E862C2" w:rsidRDefault="007E10CA" w:rsidP="007E10CA">
      <w:pPr>
        <w:spacing w:before="120" w:after="120"/>
        <w:rPr>
          <w:rFonts w:asciiTheme="minorHAnsi" w:hAnsiTheme="minorHAnsi" w:cstheme="minorHAnsi"/>
        </w:rPr>
      </w:pPr>
      <w:r w:rsidRPr="00E862C2">
        <w:rPr>
          <w:rFonts w:asciiTheme="minorHAnsi" w:hAnsiTheme="minorHAnsi" w:cstheme="minorHAnsi"/>
        </w:rPr>
        <w:t>Before considering referral to a medical practitioner who can prescribe medications to help manage someone’s behavi</w:t>
      </w:r>
      <w:r w:rsidR="00C10535">
        <w:rPr>
          <w:rFonts w:asciiTheme="minorHAnsi" w:hAnsiTheme="minorHAnsi" w:cstheme="minorHAnsi"/>
        </w:rPr>
        <w:t xml:space="preserve">our of concern, providers </w:t>
      </w:r>
      <w:r w:rsidR="00A0665A">
        <w:rPr>
          <w:rFonts w:asciiTheme="minorHAnsi" w:hAnsiTheme="minorHAnsi" w:cstheme="minorHAnsi"/>
        </w:rPr>
        <w:t>should</w:t>
      </w:r>
      <w:r w:rsidR="00A0665A" w:rsidRPr="00E862C2">
        <w:rPr>
          <w:rFonts w:asciiTheme="minorHAnsi" w:hAnsiTheme="minorHAnsi" w:cstheme="minorHAnsi"/>
        </w:rPr>
        <w:t xml:space="preserve"> </w:t>
      </w:r>
      <w:r w:rsidRPr="00E862C2">
        <w:rPr>
          <w:rFonts w:asciiTheme="minorHAnsi" w:hAnsiTheme="minorHAnsi" w:cstheme="minorHAnsi"/>
        </w:rPr>
        <w:t xml:space="preserve">make sure the following is carried out: </w:t>
      </w:r>
    </w:p>
    <w:p w14:paraId="255FF17B" w14:textId="6D71BF87" w:rsidR="007E10CA" w:rsidRPr="00E862C2" w:rsidRDefault="000444CD" w:rsidP="007E10CA">
      <w:pPr>
        <w:pStyle w:val="ListParagraph"/>
        <w:numPr>
          <w:ilvl w:val="1"/>
          <w:numId w:val="45"/>
        </w:numPr>
        <w:spacing w:before="120" w:after="120"/>
        <w:rPr>
          <w:rFonts w:asciiTheme="minorHAnsi" w:hAnsiTheme="minorHAnsi" w:cstheme="minorHAnsi"/>
        </w:rPr>
      </w:pPr>
      <w:r>
        <w:rPr>
          <w:rFonts w:asciiTheme="minorHAnsi" w:hAnsiTheme="minorHAnsi" w:cstheme="minorHAnsi"/>
        </w:rPr>
        <w:t xml:space="preserve">The person received a </w:t>
      </w:r>
      <w:r w:rsidR="007E10CA" w:rsidRPr="00E862C2">
        <w:rPr>
          <w:rFonts w:asciiTheme="minorHAnsi" w:hAnsiTheme="minorHAnsi" w:cstheme="minorHAnsi"/>
        </w:rPr>
        <w:t>comprehensive behaviour assessment that may identify factors that trigger or maintain behaviour of concern such as communication or environmental factors.</w:t>
      </w:r>
    </w:p>
    <w:p w14:paraId="6CBFD00E" w14:textId="3FCD8059" w:rsidR="007E10CA" w:rsidRPr="00E862C2" w:rsidRDefault="000444CD" w:rsidP="007E10CA">
      <w:pPr>
        <w:pStyle w:val="ListParagraph"/>
        <w:numPr>
          <w:ilvl w:val="1"/>
          <w:numId w:val="45"/>
        </w:numPr>
        <w:spacing w:before="120" w:after="120"/>
        <w:rPr>
          <w:rFonts w:asciiTheme="minorHAnsi" w:hAnsiTheme="minorHAnsi" w:cstheme="minorHAnsi"/>
        </w:rPr>
      </w:pPr>
      <w:r>
        <w:rPr>
          <w:rFonts w:asciiTheme="minorHAnsi" w:hAnsiTheme="minorHAnsi" w:cstheme="minorHAnsi"/>
        </w:rPr>
        <w:t xml:space="preserve">The person receives a comprehensive health assessment </w:t>
      </w:r>
      <w:r w:rsidR="007E10CA" w:rsidRPr="00E862C2">
        <w:rPr>
          <w:rFonts w:asciiTheme="minorHAnsi" w:hAnsiTheme="minorHAnsi" w:cstheme="minorHAnsi"/>
        </w:rPr>
        <w:t xml:space="preserve">by a general practitioner </w:t>
      </w:r>
      <w:r>
        <w:rPr>
          <w:rFonts w:asciiTheme="minorHAnsi" w:hAnsiTheme="minorHAnsi" w:cstheme="minorHAnsi"/>
        </w:rPr>
        <w:t xml:space="preserve">as this </w:t>
      </w:r>
      <w:r w:rsidR="007E10CA" w:rsidRPr="00E862C2">
        <w:rPr>
          <w:rFonts w:asciiTheme="minorHAnsi" w:hAnsiTheme="minorHAnsi" w:cstheme="minorHAnsi"/>
        </w:rPr>
        <w:t>may identify the presence of physical health problems that can cause behaviours of concern.</w:t>
      </w:r>
    </w:p>
    <w:p w14:paraId="159D87CC" w14:textId="38577100" w:rsidR="007E10CA" w:rsidRPr="00E862C2" w:rsidRDefault="007E10CA" w:rsidP="007E10CA">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t>Positive Beh</w:t>
      </w:r>
      <w:r w:rsidR="00C10535">
        <w:rPr>
          <w:rFonts w:asciiTheme="minorHAnsi" w:hAnsiTheme="minorHAnsi" w:cstheme="minorHAnsi"/>
        </w:rPr>
        <w:t xml:space="preserve">aviour Support strategies </w:t>
      </w:r>
      <w:r w:rsidR="00A0665A">
        <w:rPr>
          <w:rFonts w:asciiTheme="minorHAnsi" w:hAnsiTheme="minorHAnsi" w:cstheme="minorHAnsi"/>
        </w:rPr>
        <w:t>should</w:t>
      </w:r>
      <w:r w:rsidR="00A0665A" w:rsidRPr="00E862C2">
        <w:rPr>
          <w:rFonts w:asciiTheme="minorHAnsi" w:hAnsiTheme="minorHAnsi" w:cstheme="minorHAnsi"/>
        </w:rPr>
        <w:t xml:space="preserve"> </w:t>
      </w:r>
      <w:r w:rsidRPr="00E862C2">
        <w:rPr>
          <w:rFonts w:asciiTheme="minorHAnsi" w:hAnsiTheme="minorHAnsi" w:cstheme="minorHAnsi"/>
        </w:rPr>
        <w:t>be trialled to manage behaviours of concern before considering medications to manage behaviour.</w:t>
      </w:r>
    </w:p>
    <w:p w14:paraId="576F675D" w14:textId="0C6DA006" w:rsidR="007E10CA" w:rsidRPr="00E862C2" w:rsidRDefault="007E10CA" w:rsidP="007E10CA">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t>If</w:t>
      </w:r>
      <w:r w:rsidR="000444CD">
        <w:rPr>
          <w:rFonts w:asciiTheme="minorHAnsi" w:hAnsiTheme="minorHAnsi" w:cstheme="minorHAnsi"/>
        </w:rPr>
        <w:t xml:space="preserve"> </w:t>
      </w:r>
      <w:r w:rsidR="000444CD" w:rsidRPr="00E862C2">
        <w:rPr>
          <w:rFonts w:asciiTheme="minorHAnsi" w:hAnsiTheme="minorHAnsi" w:cstheme="minorHAnsi"/>
        </w:rPr>
        <w:t xml:space="preserve">Positive Behaviour Support </w:t>
      </w:r>
      <w:r w:rsidRPr="00E862C2">
        <w:rPr>
          <w:rFonts w:asciiTheme="minorHAnsi" w:hAnsiTheme="minorHAnsi" w:cstheme="minorHAnsi"/>
        </w:rPr>
        <w:t>strategies are not effective, a quali</w:t>
      </w:r>
      <w:r w:rsidR="00C10535">
        <w:rPr>
          <w:rFonts w:asciiTheme="minorHAnsi" w:hAnsiTheme="minorHAnsi" w:cstheme="minorHAnsi"/>
        </w:rPr>
        <w:t>fied medical practitioner can</w:t>
      </w:r>
      <w:r w:rsidRPr="00E862C2">
        <w:rPr>
          <w:rFonts w:asciiTheme="minorHAnsi" w:hAnsiTheme="minorHAnsi" w:cstheme="minorHAnsi"/>
        </w:rPr>
        <w:t xml:space="preserve"> be consulted on the benefits and risks of using medication to manage behaviour.</w:t>
      </w:r>
    </w:p>
    <w:p w14:paraId="67DD34D9" w14:textId="39D4DCEC" w:rsidR="007E10CA" w:rsidRDefault="007E10CA" w:rsidP="007E10CA">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t>If participa</w:t>
      </w:r>
      <w:r>
        <w:rPr>
          <w:rFonts w:asciiTheme="minorHAnsi" w:hAnsiTheme="minorHAnsi" w:cstheme="minorHAnsi"/>
        </w:rPr>
        <w:t xml:space="preserve">nts are receiving </w:t>
      </w:r>
      <w:r w:rsidR="00574F00">
        <w:rPr>
          <w:rFonts w:asciiTheme="minorHAnsi" w:hAnsiTheme="minorHAnsi" w:cstheme="minorHAnsi"/>
        </w:rPr>
        <w:t>antic</w:t>
      </w:r>
      <w:r w:rsidR="00D47EB0">
        <w:rPr>
          <w:rFonts w:asciiTheme="minorHAnsi" w:hAnsiTheme="minorHAnsi" w:cstheme="minorHAnsi"/>
        </w:rPr>
        <w:t>o</w:t>
      </w:r>
      <w:r w:rsidR="00574F00">
        <w:rPr>
          <w:rFonts w:asciiTheme="minorHAnsi" w:hAnsiTheme="minorHAnsi" w:cstheme="minorHAnsi"/>
        </w:rPr>
        <w:t>nvulsant</w:t>
      </w:r>
      <w:r>
        <w:rPr>
          <w:rFonts w:asciiTheme="minorHAnsi" w:hAnsiTheme="minorHAnsi" w:cstheme="minorHAnsi"/>
        </w:rPr>
        <w:t xml:space="preserve"> medications</w:t>
      </w:r>
      <w:r w:rsidRPr="00E862C2">
        <w:rPr>
          <w:rFonts w:asciiTheme="minorHAnsi" w:hAnsiTheme="minorHAnsi" w:cstheme="minorHAnsi"/>
        </w:rPr>
        <w:t xml:space="preserve"> to manage behaviours of concern, </w:t>
      </w:r>
      <w:r w:rsidR="00C10535">
        <w:rPr>
          <w:rFonts w:asciiTheme="minorHAnsi" w:hAnsiTheme="minorHAnsi" w:cstheme="minorHAnsi"/>
        </w:rPr>
        <w:t>providers can support them to ensure they are</w:t>
      </w:r>
      <w:r w:rsidRPr="00E862C2">
        <w:rPr>
          <w:rFonts w:asciiTheme="minorHAnsi" w:hAnsiTheme="minorHAnsi" w:cstheme="minorHAnsi"/>
        </w:rPr>
        <w:t xml:space="preserve"> reviewed regularly by a qualified medical practitioner.  </w:t>
      </w:r>
      <w:r>
        <w:rPr>
          <w:rFonts w:asciiTheme="minorHAnsi" w:hAnsiTheme="minorHAnsi" w:cstheme="minorHAnsi"/>
        </w:rPr>
        <w:t xml:space="preserve">  </w:t>
      </w:r>
    </w:p>
    <w:p w14:paraId="2C414F69" w14:textId="3C9C17D7" w:rsidR="004F1481" w:rsidRDefault="004F1481">
      <w:pPr>
        <w:spacing w:before="120" w:after="120" w:line="240" w:lineRule="auto"/>
        <w:rPr>
          <w:rFonts w:asciiTheme="minorHAnsi" w:hAnsiTheme="minorHAnsi" w:cstheme="minorHAnsi"/>
        </w:rPr>
      </w:pPr>
      <w:r>
        <w:rPr>
          <w:rFonts w:asciiTheme="minorHAnsi" w:hAnsiTheme="minorHAnsi" w:cstheme="minorHAnsi"/>
        </w:rPr>
        <w:br w:type="page"/>
      </w:r>
    </w:p>
    <w:p w14:paraId="43AA7827" w14:textId="77777777" w:rsidR="007E10CA" w:rsidRPr="007E10CA" w:rsidRDefault="007E10CA" w:rsidP="007E10CA"/>
    <w:sdt>
      <w:sdtPr>
        <w:rPr>
          <w:rFonts w:ascii="Calibri" w:eastAsiaTheme="minorHAnsi" w:hAnsi="Calibri" w:cstheme="minorBidi"/>
          <w:b w:val="0"/>
          <w:color w:val="auto"/>
          <w:sz w:val="22"/>
          <w:szCs w:val="22"/>
        </w:rPr>
        <w:id w:val="-499964871"/>
        <w:docPartObj>
          <w:docPartGallery w:val="Table of Contents"/>
          <w:docPartUnique/>
        </w:docPartObj>
      </w:sdtPr>
      <w:sdtEndPr>
        <w:rPr>
          <w:rFonts w:ascii="Arial" w:hAnsi="Arial"/>
          <w:bCs/>
          <w:noProof/>
        </w:rPr>
      </w:sdtEndPr>
      <w:sdtContent>
        <w:p w14:paraId="5EEAEE29" w14:textId="77777777" w:rsidR="007A11D6" w:rsidRPr="005E5BFD" w:rsidRDefault="007A11D6" w:rsidP="007A11D6">
          <w:pPr>
            <w:pStyle w:val="TOCHeading"/>
          </w:pPr>
          <w:r w:rsidRPr="005E5BFD">
            <w:t>Contents</w:t>
          </w:r>
        </w:p>
        <w:p w14:paraId="60488471" w14:textId="19EE0587" w:rsidR="009039A7" w:rsidRDefault="007A11D6">
          <w:pPr>
            <w:pStyle w:val="TOC1"/>
            <w:rPr>
              <w:rFonts w:asciiTheme="minorHAnsi" w:eastAsiaTheme="minorEastAsia" w:hAnsiTheme="minorHAnsi"/>
              <w:noProof/>
              <w:sz w:val="22"/>
              <w:lang w:eastAsia="en-AU"/>
            </w:rPr>
          </w:pPr>
          <w:r>
            <w:fldChar w:fldCharType="begin"/>
          </w:r>
          <w:r>
            <w:instrText xml:space="preserve"> TOC \o "2-2" \h \z \t "Heading 1,1" </w:instrText>
          </w:r>
          <w:r>
            <w:fldChar w:fldCharType="separate"/>
          </w:r>
          <w:hyperlink w:anchor="_Toc98918795" w:history="1">
            <w:r w:rsidR="009039A7" w:rsidRPr="0079388F">
              <w:rPr>
                <w:rStyle w:val="Hyperlink"/>
                <w:noProof/>
              </w:rPr>
              <w:t>Disclaimer</w:t>
            </w:r>
            <w:r w:rsidR="009039A7">
              <w:rPr>
                <w:noProof/>
                <w:webHidden/>
              </w:rPr>
              <w:tab/>
            </w:r>
            <w:r w:rsidR="009039A7">
              <w:rPr>
                <w:noProof/>
                <w:webHidden/>
              </w:rPr>
              <w:fldChar w:fldCharType="begin"/>
            </w:r>
            <w:r w:rsidR="009039A7">
              <w:rPr>
                <w:noProof/>
                <w:webHidden/>
              </w:rPr>
              <w:instrText xml:space="preserve"> PAGEREF _Toc98918795 \h </w:instrText>
            </w:r>
            <w:r w:rsidR="009039A7">
              <w:rPr>
                <w:noProof/>
                <w:webHidden/>
              </w:rPr>
            </w:r>
            <w:r w:rsidR="009039A7">
              <w:rPr>
                <w:noProof/>
                <w:webHidden/>
              </w:rPr>
              <w:fldChar w:fldCharType="separate"/>
            </w:r>
            <w:r w:rsidR="005046E0">
              <w:rPr>
                <w:noProof/>
                <w:webHidden/>
              </w:rPr>
              <w:t>3</w:t>
            </w:r>
            <w:r w:rsidR="009039A7">
              <w:rPr>
                <w:noProof/>
                <w:webHidden/>
              </w:rPr>
              <w:fldChar w:fldCharType="end"/>
            </w:r>
          </w:hyperlink>
        </w:p>
        <w:p w14:paraId="590DDC0F" w14:textId="2F0560C6" w:rsidR="009039A7" w:rsidRDefault="00C057E1">
          <w:pPr>
            <w:pStyle w:val="TOC1"/>
            <w:rPr>
              <w:rFonts w:asciiTheme="minorHAnsi" w:eastAsiaTheme="minorEastAsia" w:hAnsiTheme="minorHAnsi"/>
              <w:noProof/>
              <w:sz w:val="22"/>
              <w:lang w:eastAsia="en-AU"/>
            </w:rPr>
          </w:pPr>
          <w:hyperlink w:anchor="_Toc98918796" w:history="1">
            <w:r w:rsidR="009039A7" w:rsidRPr="0079388F">
              <w:rPr>
                <w:rStyle w:val="Hyperlink"/>
                <w:noProof/>
              </w:rPr>
              <w:t>Background</w:t>
            </w:r>
            <w:r w:rsidR="009039A7">
              <w:rPr>
                <w:noProof/>
                <w:webHidden/>
              </w:rPr>
              <w:tab/>
            </w:r>
            <w:r w:rsidR="009039A7">
              <w:rPr>
                <w:noProof/>
                <w:webHidden/>
              </w:rPr>
              <w:fldChar w:fldCharType="begin"/>
            </w:r>
            <w:r w:rsidR="009039A7">
              <w:rPr>
                <w:noProof/>
                <w:webHidden/>
              </w:rPr>
              <w:instrText xml:space="preserve"> PAGEREF _Toc98918796 \h </w:instrText>
            </w:r>
            <w:r w:rsidR="009039A7">
              <w:rPr>
                <w:noProof/>
                <w:webHidden/>
              </w:rPr>
            </w:r>
            <w:r w:rsidR="009039A7">
              <w:rPr>
                <w:noProof/>
                <w:webHidden/>
              </w:rPr>
              <w:fldChar w:fldCharType="separate"/>
            </w:r>
            <w:r w:rsidR="005046E0">
              <w:rPr>
                <w:noProof/>
                <w:webHidden/>
              </w:rPr>
              <w:t>7</w:t>
            </w:r>
            <w:r w:rsidR="009039A7">
              <w:rPr>
                <w:noProof/>
                <w:webHidden/>
              </w:rPr>
              <w:fldChar w:fldCharType="end"/>
            </w:r>
          </w:hyperlink>
        </w:p>
        <w:p w14:paraId="03C012B4" w14:textId="21DF51EA" w:rsidR="009039A7" w:rsidRDefault="00C057E1">
          <w:pPr>
            <w:pStyle w:val="TOC1"/>
            <w:rPr>
              <w:rFonts w:asciiTheme="minorHAnsi" w:eastAsiaTheme="minorEastAsia" w:hAnsiTheme="minorHAnsi"/>
              <w:noProof/>
              <w:sz w:val="22"/>
              <w:lang w:eastAsia="en-AU"/>
            </w:rPr>
          </w:pPr>
          <w:hyperlink w:anchor="_Toc98918797" w:history="1">
            <w:r w:rsidR="009039A7" w:rsidRPr="0079388F">
              <w:rPr>
                <w:rStyle w:val="Hyperlink"/>
                <w:noProof/>
              </w:rPr>
              <w:t>Objectives</w:t>
            </w:r>
            <w:r w:rsidR="009039A7">
              <w:rPr>
                <w:noProof/>
                <w:webHidden/>
              </w:rPr>
              <w:tab/>
            </w:r>
            <w:r w:rsidR="009039A7">
              <w:rPr>
                <w:noProof/>
                <w:webHidden/>
              </w:rPr>
              <w:fldChar w:fldCharType="begin"/>
            </w:r>
            <w:r w:rsidR="009039A7">
              <w:rPr>
                <w:noProof/>
                <w:webHidden/>
              </w:rPr>
              <w:instrText xml:space="preserve"> PAGEREF _Toc98918797 \h </w:instrText>
            </w:r>
            <w:r w:rsidR="009039A7">
              <w:rPr>
                <w:noProof/>
                <w:webHidden/>
              </w:rPr>
            </w:r>
            <w:r w:rsidR="009039A7">
              <w:rPr>
                <w:noProof/>
                <w:webHidden/>
              </w:rPr>
              <w:fldChar w:fldCharType="separate"/>
            </w:r>
            <w:r w:rsidR="005046E0">
              <w:rPr>
                <w:noProof/>
                <w:webHidden/>
              </w:rPr>
              <w:t>8</w:t>
            </w:r>
            <w:r w:rsidR="009039A7">
              <w:rPr>
                <w:noProof/>
                <w:webHidden/>
              </w:rPr>
              <w:fldChar w:fldCharType="end"/>
            </w:r>
          </w:hyperlink>
        </w:p>
        <w:p w14:paraId="7A9A4267" w14:textId="3108C381" w:rsidR="009039A7" w:rsidRDefault="00C057E1">
          <w:pPr>
            <w:pStyle w:val="TOC1"/>
            <w:rPr>
              <w:rFonts w:asciiTheme="minorHAnsi" w:eastAsiaTheme="minorEastAsia" w:hAnsiTheme="minorHAnsi"/>
              <w:noProof/>
              <w:sz w:val="22"/>
              <w:lang w:eastAsia="en-AU"/>
            </w:rPr>
          </w:pPr>
          <w:hyperlink w:anchor="_Toc98918798" w:history="1">
            <w:r w:rsidR="009039A7" w:rsidRPr="0079388F">
              <w:rPr>
                <w:rStyle w:val="Hyperlink"/>
                <w:noProof/>
              </w:rPr>
              <w:t>Methods</w:t>
            </w:r>
            <w:r w:rsidR="009039A7">
              <w:rPr>
                <w:noProof/>
                <w:webHidden/>
              </w:rPr>
              <w:tab/>
            </w:r>
            <w:r w:rsidR="009039A7">
              <w:rPr>
                <w:noProof/>
                <w:webHidden/>
              </w:rPr>
              <w:fldChar w:fldCharType="begin"/>
            </w:r>
            <w:r w:rsidR="009039A7">
              <w:rPr>
                <w:noProof/>
                <w:webHidden/>
              </w:rPr>
              <w:instrText xml:space="preserve"> PAGEREF _Toc98918798 \h </w:instrText>
            </w:r>
            <w:r w:rsidR="009039A7">
              <w:rPr>
                <w:noProof/>
                <w:webHidden/>
              </w:rPr>
            </w:r>
            <w:r w:rsidR="009039A7">
              <w:rPr>
                <w:noProof/>
                <w:webHidden/>
              </w:rPr>
              <w:fldChar w:fldCharType="separate"/>
            </w:r>
            <w:r w:rsidR="005046E0">
              <w:rPr>
                <w:noProof/>
                <w:webHidden/>
              </w:rPr>
              <w:t>8</w:t>
            </w:r>
            <w:r w:rsidR="009039A7">
              <w:rPr>
                <w:noProof/>
                <w:webHidden/>
              </w:rPr>
              <w:fldChar w:fldCharType="end"/>
            </w:r>
          </w:hyperlink>
        </w:p>
        <w:p w14:paraId="0AF26068" w14:textId="02E0EB43" w:rsidR="009039A7" w:rsidRDefault="00C057E1">
          <w:pPr>
            <w:pStyle w:val="TOC2"/>
            <w:rPr>
              <w:rFonts w:asciiTheme="minorHAnsi" w:eastAsiaTheme="minorEastAsia" w:hAnsiTheme="minorHAnsi"/>
              <w:noProof/>
              <w:lang w:eastAsia="en-AU"/>
            </w:rPr>
          </w:pPr>
          <w:hyperlink w:anchor="_Toc98918799" w:history="1">
            <w:r w:rsidR="009039A7" w:rsidRPr="0079388F">
              <w:rPr>
                <w:rStyle w:val="Hyperlink"/>
                <w:noProof/>
              </w:rPr>
              <w:t>Inclusion criteria</w:t>
            </w:r>
            <w:r w:rsidR="009039A7">
              <w:rPr>
                <w:noProof/>
                <w:webHidden/>
              </w:rPr>
              <w:tab/>
            </w:r>
            <w:r w:rsidR="009039A7">
              <w:rPr>
                <w:noProof/>
                <w:webHidden/>
              </w:rPr>
              <w:fldChar w:fldCharType="begin"/>
            </w:r>
            <w:r w:rsidR="009039A7">
              <w:rPr>
                <w:noProof/>
                <w:webHidden/>
              </w:rPr>
              <w:instrText xml:space="preserve"> PAGEREF _Toc98918799 \h </w:instrText>
            </w:r>
            <w:r w:rsidR="009039A7">
              <w:rPr>
                <w:noProof/>
                <w:webHidden/>
              </w:rPr>
            </w:r>
            <w:r w:rsidR="009039A7">
              <w:rPr>
                <w:noProof/>
                <w:webHidden/>
              </w:rPr>
              <w:fldChar w:fldCharType="separate"/>
            </w:r>
            <w:r w:rsidR="005046E0">
              <w:rPr>
                <w:noProof/>
                <w:webHidden/>
              </w:rPr>
              <w:t>8</w:t>
            </w:r>
            <w:r w:rsidR="009039A7">
              <w:rPr>
                <w:noProof/>
                <w:webHidden/>
              </w:rPr>
              <w:fldChar w:fldCharType="end"/>
            </w:r>
          </w:hyperlink>
        </w:p>
        <w:p w14:paraId="0F693A58" w14:textId="0E35043A" w:rsidR="009039A7" w:rsidRDefault="00C057E1">
          <w:pPr>
            <w:pStyle w:val="TOC2"/>
            <w:rPr>
              <w:rFonts w:asciiTheme="minorHAnsi" w:eastAsiaTheme="minorEastAsia" w:hAnsiTheme="minorHAnsi"/>
              <w:noProof/>
              <w:lang w:eastAsia="en-AU"/>
            </w:rPr>
          </w:pPr>
          <w:hyperlink w:anchor="_Toc98918800" w:history="1">
            <w:r w:rsidR="009039A7" w:rsidRPr="0079388F">
              <w:rPr>
                <w:rStyle w:val="Hyperlink"/>
                <w:noProof/>
              </w:rPr>
              <w:t>Data collection</w:t>
            </w:r>
            <w:r w:rsidR="009039A7">
              <w:rPr>
                <w:noProof/>
                <w:webHidden/>
              </w:rPr>
              <w:tab/>
            </w:r>
            <w:r w:rsidR="009039A7">
              <w:rPr>
                <w:noProof/>
                <w:webHidden/>
              </w:rPr>
              <w:fldChar w:fldCharType="begin"/>
            </w:r>
            <w:r w:rsidR="009039A7">
              <w:rPr>
                <w:noProof/>
                <w:webHidden/>
              </w:rPr>
              <w:instrText xml:space="preserve"> PAGEREF _Toc98918800 \h </w:instrText>
            </w:r>
            <w:r w:rsidR="009039A7">
              <w:rPr>
                <w:noProof/>
                <w:webHidden/>
              </w:rPr>
            </w:r>
            <w:r w:rsidR="009039A7">
              <w:rPr>
                <w:noProof/>
                <w:webHidden/>
              </w:rPr>
              <w:fldChar w:fldCharType="separate"/>
            </w:r>
            <w:r w:rsidR="005046E0">
              <w:rPr>
                <w:noProof/>
                <w:webHidden/>
              </w:rPr>
              <w:t>9</w:t>
            </w:r>
            <w:r w:rsidR="009039A7">
              <w:rPr>
                <w:noProof/>
                <w:webHidden/>
              </w:rPr>
              <w:fldChar w:fldCharType="end"/>
            </w:r>
          </w:hyperlink>
        </w:p>
        <w:p w14:paraId="52EFFD29" w14:textId="6C846582" w:rsidR="009039A7" w:rsidRDefault="00C057E1">
          <w:pPr>
            <w:pStyle w:val="TOC2"/>
            <w:rPr>
              <w:rFonts w:asciiTheme="minorHAnsi" w:eastAsiaTheme="minorEastAsia" w:hAnsiTheme="minorHAnsi"/>
              <w:noProof/>
              <w:lang w:eastAsia="en-AU"/>
            </w:rPr>
          </w:pPr>
          <w:hyperlink w:anchor="_Toc98918801" w:history="1">
            <w:r w:rsidR="009039A7" w:rsidRPr="0079388F">
              <w:rPr>
                <w:rStyle w:val="Hyperlink"/>
                <w:noProof/>
              </w:rPr>
              <w:t>Data analysis</w:t>
            </w:r>
            <w:r w:rsidR="009039A7">
              <w:rPr>
                <w:noProof/>
                <w:webHidden/>
              </w:rPr>
              <w:tab/>
            </w:r>
            <w:r w:rsidR="009039A7">
              <w:rPr>
                <w:noProof/>
                <w:webHidden/>
              </w:rPr>
              <w:fldChar w:fldCharType="begin"/>
            </w:r>
            <w:r w:rsidR="009039A7">
              <w:rPr>
                <w:noProof/>
                <w:webHidden/>
              </w:rPr>
              <w:instrText xml:space="preserve"> PAGEREF _Toc98918801 \h </w:instrText>
            </w:r>
            <w:r w:rsidR="009039A7">
              <w:rPr>
                <w:noProof/>
                <w:webHidden/>
              </w:rPr>
            </w:r>
            <w:r w:rsidR="009039A7">
              <w:rPr>
                <w:noProof/>
                <w:webHidden/>
              </w:rPr>
              <w:fldChar w:fldCharType="separate"/>
            </w:r>
            <w:r w:rsidR="005046E0">
              <w:rPr>
                <w:noProof/>
                <w:webHidden/>
              </w:rPr>
              <w:t>9</w:t>
            </w:r>
            <w:r w:rsidR="009039A7">
              <w:rPr>
                <w:noProof/>
                <w:webHidden/>
              </w:rPr>
              <w:fldChar w:fldCharType="end"/>
            </w:r>
          </w:hyperlink>
        </w:p>
        <w:p w14:paraId="5BCFFAC4" w14:textId="5C766186" w:rsidR="009039A7" w:rsidRDefault="00C057E1">
          <w:pPr>
            <w:pStyle w:val="TOC2"/>
            <w:rPr>
              <w:rFonts w:asciiTheme="minorHAnsi" w:eastAsiaTheme="minorEastAsia" w:hAnsiTheme="minorHAnsi"/>
              <w:noProof/>
              <w:lang w:eastAsia="en-AU"/>
            </w:rPr>
          </w:pPr>
          <w:hyperlink w:anchor="_Toc98918802" w:history="1">
            <w:r w:rsidR="009039A7" w:rsidRPr="0079388F">
              <w:rPr>
                <w:rStyle w:val="Hyperlink"/>
                <w:noProof/>
              </w:rPr>
              <w:t>Inclusion criteria</w:t>
            </w:r>
            <w:r w:rsidR="009039A7">
              <w:rPr>
                <w:noProof/>
                <w:webHidden/>
              </w:rPr>
              <w:tab/>
            </w:r>
            <w:r w:rsidR="009039A7">
              <w:rPr>
                <w:noProof/>
                <w:webHidden/>
              </w:rPr>
              <w:fldChar w:fldCharType="begin"/>
            </w:r>
            <w:r w:rsidR="009039A7">
              <w:rPr>
                <w:noProof/>
                <w:webHidden/>
              </w:rPr>
              <w:instrText xml:space="preserve"> PAGEREF _Toc98918802 \h </w:instrText>
            </w:r>
            <w:r w:rsidR="009039A7">
              <w:rPr>
                <w:noProof/>
                <w:webHidden/>
              </w:rPr>
            </w:r>
            <w:r w:rsidR="009039A7">
              <w:rPr>
                <w:noProof/>
                <w:webHidden/>
              </w:rPr>
              <w:fldChar w:fldCharType="separate"/>
            </w:r>
            <w:r w:rsidR="005046E0">
              <w:rPr>
                <w:noProof/>
                <w:webHidden/>
              </w:rPr>
              <w:t>10</w:t>
            </w:r>
            <w:r w:rsidR="009039A7">
              <w:rPr>
                <w:noProof/>
                <w:webHidden/>
              </w:rPr>
              <w:fldChar w:fldCharType="end"/>
            </w:r>
          </w:hyperlink>
        </w:p>
        <w:p w14:paraId="54D4081E" w14:textId="3BF5CB06" w:rsidR="009039A7" w:rsidRDefault="00C057E1">
          <w:pPr>
            <w:pStyle w:val="TOC1"/>
            <w:rPr>
              <w:rFonts w:asciiTheme="minorHAnsi" w:eastAsiaTheme="minorEastAsia" w:hAnsiTheme="minorHAnsi"/>
              <w:noProof/>
              <w:sz w:val="22"/>
              <w:lang w:eastAsia="en-AU"/>
            </w:rPr>
          </w:pPr>
          <w:hyperlink w:anchor="_Toc98918803" w:history="1">
            <w:r w:rsidR="009039A7" w:rsidRPr="0079388F">
              <w:rPr>
                <w:rStyle w:val="Hyperlink"/>
                <w:noProof/>
              </w:rPr>
              <w:t>Results</w:t>
            </w:r>
            <w:r w:rsidR="009039A7">
              <w:rPr>
                <w:noProof/>
                <w:webHidden/>
              </w:rPr>
              <w:tab/>
            </w:r>
            <w:r w:rsidR="009039A7">
              <w:rPr>
                <w:noProof/>
                <w:webHidden/>
              </w:rPr>
              <w:fldChar w:fldCharType="begin"/>
            </w:r>
            <w:r w:rsidR="009039A7">
              <w:rPr>
                <w:noProof/>
                <w:webHidden/>
              </w:rPr>
              <w:instrText xml:space="preserve"> PAGEREF _Toc98918803 \h </w:instrText>
            </w:r>
            <w:r w:rsidR="009039A7">
              <w:rPr>
                <w:noProof/>
                <w:webHidden/>
              </w:rPr>
            </w:r>
            <w:r w:rsidR="009039A7">
              <w:rPr>
                <w:noProof/>
                <w:webHidden/>
              </w:rPr>
              <w:fldChar w:fldCharType="separate"/>
            </w:r>
            <w:r w:rsidR="005046E0">
              <w:rPr>
                <w:noProof/>
                <w:webHidden/>
              </w:rPr>
              <w:t>10</w:t>
            </w:r>
            <w:r w:rsidR="009039A7">
              <w:rPr>
                <w:noProof/>
                <w:webHidden/>
              </w:rPr>
              <w:fldChar w:fldCharType="end"/>
            </w:r>
          </w:hyperlink>
        </w:p>
        <w:p w14:paraId="65485BB6" w14:textId="3E547C57" w:rsidR="009039A7" w:rsidRDefault="00C057E1">
          <w:pPr>
            <w:pStyle w:val="TOC2"/>
            <w:rPr>
              <w:rFonts w:asciiTheme="minorHAnsi" w:eastAsiaTheme="minorEastAsia" w:hAnsiTheme="minorHAnsi"/>
              <w:noProof/>
              <w:lang w:eastAsia="en-AU"/>
            </w:rPr>
          </w:pPr>
          <w:hyperlink w:anchor="_Toc98918804" w:history="1">
            <w:r w:rsidR="009039A7" w:rsidRPr="0079388F">
              <w:rPr>
                <w:rStyle w:val="Hyperlink"/>
                <w:noProof/>
              </w:rPr>
              <w:t>Characteristics of included trials</w:t>
            </w:r>
            <w:r w:rsidR="009039A7">
              <w:rPr>
                <w:noProof/>
                <w:webHidden/>
              </w:rPr>
              <w:tab/>
            </w:r>
            <w:r w:rsidR="009039A7">
              <w:rPr>
                <w:noProof/>
                <w:webHidden/>
              </w:rPr>
              <w:fldChar w:fldCharType="begin"/>
            </w:r>
            <w:r w:rsidR="009039A7">
              <w:rPr>
                <w:noProof/>
                <w:webHidden/>
              </w:rPr>
              <w:instrText xml:space="preserve"> PAGEREF _Toc98918804 \h </w:instrText>
            </w:r>
            <w:r w:rsidR="009039A7">
              <w:rPr>
                <w:noProof/>
                <w:webHidden/>
              </w:rPr>
            </w:r>
            <w:r w:rsidR="009039A7">
              <w:rPr>
                <w:noProof/>
                <w:webHidden/>
              </w:rPr>
              <w:fldChar w:fldCharType="separate"/>
            </w:r>
            <w:r w:rsidR="005046E0">
              <w:rPr>
                <w:noProof/>
                <w:webHidden/>
              </w:rPr>
              <w:t>10</w:t>
            </w:r>
            <w:r w:rsidR="009039A7">
              <w:rPr>
                <w:noProof/>
                <w:webHidden/>
              </w:rPr>
              <w:fldChar w:fldCharType="end"/>
            </w:r>
          </w:hyperlink>
        </w:p>
        <w:p w14:paraId="23F335C7" w14:textId="1ABFBC11" w:rsidR="009039A7" w:rsidRDefault="00C057E1">
          <w:pPr>
            <w:pStyle w:val="TOC2"/>
            <w:rPr>
              <w:rFonts w:asciiTheme="minorHAnsi" w:eastAsiaTheme="minorEastAsia" w:hAnsiTheme="minorHAnsi"/>
              <w:noProof/>
              <w:lang w:eastAsia="en-AU"/>
            </w:rPr>
          </w:pPr>
          <w:hyperlink w:anchor="_Toc98918805" w:history="1">
            <w:r w:rsidR="009039A7" w:rsidRPr="0079388F">
              <w:rPr>
                <w:rStyle w:val="Hyperlink"/>
                <w:noProof/>
              </w:rPr>
              <w:t>Behaviours of concern</w:t>
            </w:r>
            <w:r w:rsidR="009039A7">
              <w:rPr>
                <w:noProof/>
                <w:webHidden/>
              </w:rPr>
              <w:tab/>
            </w:r>
            <w:r w:rsidR="009039A7">
              <w:rPr>
                <w:noProof/>
                <w:webHidden/>
              </w:rPr>
              <w:fldChar w:fldCharType="begin"/>
            </w:r>
            <w:r w:rsidR="009039A7">
              <w:rPr>
                <w:noProof/>
                <w:webHidden/>
              </w:rPr>
              <w:instrText xml:space="preserve"> PAGEREF _Toc98918805 \h </w:instrText>
            </w:r>
            <w:r w:rsidR="009039A7">
              <w:rPr>
                <w:noProof/>
                <w:webHidden/>
              </w:rPr>
            </w:r>
            <w:r w:rsidR="009039A7">
              <w:rPr>
                <w:noProof/>
                <w:webHidden/>
              </w:rPr>
              <w:fldChar w:fldCharType="separate"/>
            </w:r>
            <w:r w:rsidR="005046E0">
              <w:rPr>
                <w:noProof/>
                <w:webHidden/>
              </w:rPr>
              <w:t>10</w:t>
            </w:r>
            <w:r w:rsidR="009039A7">
              <w:rPr>
                <w:noProof/>
                <w:webHidden/>
              </w:rPr>
              <w:fldChar w:fldCharType="end"/>
            </w:r>
          </w:hyperlink>
        </w:p>
        <w:p w14:paraId="4462D2E8" w14:textId="59810865" w:rsidR="009039A7" w:rsidRDefault="00C057E1">
          <w:pPr>
            <w:pStyle w:val="TOC2"/>
            <w:rPr>
              <w:rFonts w:asciiTheme="minorHAnsi" w:eastAsiaTheme="minorEastAsia" w:hAnsiTheme="minorHAnsi"/>
              <w:noProof/>
              <w:lang w:eastAsia="en-AU"/>
            </w:rPr>
          </w:pPr>
          <w:hyperlink w:anchor="_Toc98918806" w:history="1">
            <w:r w:rsidR="009039A7" w:rsidRPr="0079388F">
              <w:rPr>
                <w:rStyle w:val="Hyperlink"/>
                <w:noProof/>
              </w:rPr>
              <w:t>Adverse effects</w:t>
            </w:r>
            <w:r w:rsidR="009039A7">
              <w:rPr>
                <w:noProof/>
                <w:webHidden/>
              </w:rPr>
              <w:tab/>
            </w:r>
            <w:r w:rsidR="009039A7">
              <w:rPr>
                <w:noProof/>
                <w:webHidden/>
              </w:rPr>
              <w:fldChar w:fldCharType="begin"/>
            </w:r>
            <w:r w:rsidR="009039A7">
              <w:rPr>
                <w:noProof/>
                <w:webHidden/>
              </w:rPr>
              <w:instrText xml:space="preserve"> PAGEREF _Toc98918806 \h </w:instrText>
            </w:r>
            <w:r w:rsidR="009039A7">
              <w:rPr>
                <w:noProof/>
                <w:webHidden/>
              </w:rPr>
            </w:r>
            <w:r w:rsidR="009039A7">
              <w:rPr>
                <w:noProof/>
                <w:webHidden/>
              </w:rPr>
              <w:fldChar w:fldCharType="separate"/>
            </w:r>
            <w:r w:rsidR="005046E0">
              <w:rPr>
                <w:noProof/>
                <w:webHidden/>
              </w:rPr>
              <w:t>11</w:t>
            </w:r>
            <w:r w:rsidR="009039A7">
              <w:rPr>
                <w:noProof/>
                <w:webHidden/>
              </w:rPr>
              <w:fldChar w:fldCharType="end"/>
            </w:r>
          </w:hyperlink>
        </w:p>
        <w:p w14:paraId="1E41F04A" w14:textId="14A56A93" w:rsidR="009039A7" w:rsidRDefault="00C057E1">
          <w:pPr>
            <w:pStyle w:val="TOC2"/>
            <w:rPr>
              <w:rFonts w:asciiTheme="minorHAnsi" w:eastAsiaTheme="minorEastAsia" w:hAnsiTheme="minorHAnsi"/>
              <w:noProof/>
              <w:lang w:eastAsia="en-AU"/>
            </w:rPr>
          </w:pPr>
          <w:hyperlink w:anchor="_Toc98918807" w:history="1">
            <w:r w:rsidR="009039A7" w:rsidRPr="0079388F">
              <w:rPr>
                <w:rStyle w:val="Hyperlink"/>
                <w:noProof/>
              </w:rPr>
              <w:t>Risk of Bias</w:t>
            </w:r>
            <w:r w:rsidR="009039A7">
              <w:rPr>
                <w:noProof/>
                <w:webHidden/>
              </w:rPr>
              <w:tab/>
            </w:r>
            <w:r w:rsidR="009039A7">
              <w:rPr>
                <w:noProof/>
                <w:webHidden/>
              </w:rPr>
              <w:fldChar w:fldCharType="begin"/>
            </w:r>
            <w:r w:rsidR="009039A7">
              <w:rPr>
                <w:noProof/>
                <w:webHidden/>
              </w:rPr>
              <w:instrText xml:space="preserve"> PAGEREF _Toc98918807 \h </w:instrText>
            </w:r>
            <w:r w:rsidR="009039A7">
              <w:rPr>
                <w:noProof/>
                <w:webHidden/>
              </w:rPr>
            </w:r>
            <w:r w:rsidR="009039A7">
              <w:rPr>
                <w:noProof/>
                <w:webHidden/>
              </w:rPr>
              <w:fldChar w:fldCharType="separate"/>
            </w:r>
            <w:r w:rsidR="005046E0">
              <w:rPr>
                <w:noProof/>
                <w:webHidden/>
              </w:rPr>
              <w:t>11</w:t>
            </w:r>
            <w:r w:rsidR="009039A7">
              <w:rPr>
                <w:noProof/>
                <w:webHidden/>
              </w:rPr>
              <w:fldChar w:fldCharType="end"/>
            </w:r>
          </w:hyperlink>
        </w:p>
        <w:p w14:paraId="62AC10D6" w14:textId="2683EC07" w:rsidR="009039A7" w:rsidRDefault="00C057E1">
          <w:pPr>
            <w:pStyle w:val="TOC2"/>
            <w:rPr>
              <w:rFonts w:asciiTheme="minorHAnsi" w:eastAsiaTheme="minorEastAsia" w:hAnsiTheme="minorHAnsi"/>
              <w:noProof/>
              <w:lang w:eastAsia="en-AU"/>
            </w:rPr>
          </w:pPr>
          <w:hyperlink w:anchor="_Toc98918808" w:history="1">
            <w:r w:rsidR="009039A7" w:rsidRPr="0079388F">
              <w:rPr>
                <w:rStyle w:val="Hyperlink"/>
                <w:rFonts w:cstheme="minorHAnsi"/>
                <w:noProof/>
              </w:rPr>
              <w:t>Discussion</w:t>
            </w:r>
            <w:r w:rsidR="009039A7">
              <w:rPr>
                <w:noProof/>
                <w:webHidden/>
              </w:rPr>
              <w:tab/>
            </w:r>
            <w:r w:rsidR="009039A7">
              <w:rPr>
                <w:noProof/>
                <w:webHidden/>
              </w:rPr>
              <w:fldChar w:fldCharType="begin"/>
            </w:r>
            <w:r w:rsidR="009039A7">
              <w:rPr>
                <w:noProof/>
                <w:webHidden/>
              </w:rPr>
              <w:instrText xml:space="preserve"> PAGEREF _Toc98918808 \h </w:instrText>
            </w:r>
            <w:r w:rsidR="009039A7">
              <w:rPr>
                <w:noProof/>
                <w:webHidden/>
              </w:rPr>
            </w:r>
            <w:r w:rsidR="009039A7">
              <w:rPr>
                <w:noProof/>
                <w:webHidden/>
              </w:rPr>
              <w:fldChar w:fldCharType="separate"/>
            </w:r>
            <w:r w:rsidR="005046E0">
              <w:rPr>
                <w:noProof/>
                <w:webHidden/>
              </w:rPr>
              <w:t>12</w:t>
            </w:r>
            <w:r w:rsidR="009039A7">
              <w:rPr>
                <w:noProof/>
                <w:webHidden/>
              </w:rPr>
              <w:fldChar w:fldCharType="end"/>
            </w:r>
          </w:hyperlink>
        </w:p>
        <w:p w14:paraId="7E0EC64B" w14:textId="5447042D" w:rsidR="009039A7" w:rsidRDefault="00C057E1">
          <w:pPr>
            <w:pStyle w:val="TOC1"/>
            <w:rPr>
              <w:rFonts w:asciiTheme="minorHAnsi" w:eastAsiaTheme="minorEastAsia" w:hAnsiTheme="minorHAnsi"/>
              <w:noProof/>
              <w:sz w:val="22"/>
              <w:lang w:eastAsia="en-AU"/>
            </w:rPr>
          </w:pPr>
          <w:hyperlink w:anchor="_Toc98918809" w:history="1">
            <w:r w:rsidR="009039A7" w:rsidRPr="0079388F">
              <w:rPr>
                <w:rStyle w:val="Hyperlink"/>
                <w:noProof/>
              </w:rPr>
              <w:t>References</w:t>
            </w:r>
            <w:r w:rsidR="009039A7">
              <w:rPr>
                <w:noProof/>
                <w:webHidden/>
              </w:rPr>
              <w:tab/>
            </w:r>
            <w:r w:rsidR="009039A7">
              <w:rPr>
                <w:noProof/>
                <w:webHidden/>
              </w:rPr>
              <w:fldChar w:fldCharType="begin"/>
            </w:r>
            <w:r w:rsidR="009039A7">
              <w:rPr>
                <w:noProof/>
                <w:webHidden/>
              </w:rPr>
              <w:instrText xml:space="preserve"> PAGEREF _Toc98918809 \h </w:instrText>
            </w:r>
            <w:r w:rsidR="009039A7">
              <w:rPr>
                <w:noProof/>
                <w:webHidden/>
              </w:rPr>
            </w:r>
            <w:r w:rsidR="009039A7">
              <w:rPr>
                <w:noProof/>
                <w:webHidden/>
              </w:rPr>
              <w:fldChar w:fldCharType="separate"/>
            </w:r>
            <w:r w:rsidR="005046E0">
              <w:rPr>
                <w:noProof/>
                <w:webHidden/>
              </w:rPr>
              <w:t>14</w:t>
            </w:r>
            <w:r w:rsidR="009039A7">
              <w:rPr>
                <w:noProof/>
                <w:webHidden/>
              </w:rPr>
              <w:fldChar w:fldCharType="end"/>
            </w:r>
          </w:hyperlink>
        </w:p>
        <w:p w14:paraId="01A94067" w14:textId="7A6A6F9B" w:rsidR="007A11D6" w:rsidRDefault="007A11D6" w:rsidP="007A11D6">
          <w:pPr>
            <w:spacing w:before="120" w:after="120"/>
            <w:rPr>
              <w:bCs/>
              <w:noProof/>
            </w:rPr>
          </w:pPr>
          <w:r>
            <w:rPr>
              <w:rFonts w:asciiTheme="majorHAnsi" w:hAnsiTheme="majorHAnsi"/>
              <w:sz w:val="24"/>
            </w:rPr>
            <w:fldChar w:fldCharType="end"/>
          </w:r>
        </w:p>
      </w:sdtContent>
    </w:sdt>
    <w:p w14:paraId="04D59BBC" w14:textId="77777777" w:rsidR="00730993" w:rsidRDefault="00730993" w:rsidP="007A11D6">
      <w:pPr>
        <w:pStyle w:val="Heading1"/>
        <w:rPr>
          <w:rFonts w:ascii="Calibri Light" w:hAnsi="Calibri Light" w:cs="Calibri Light"/>
          <w:b w:val="0"/>
          <w:sz w:val="32"/>
          <w:szCs w:val="32"/>
        </w:rPr>
      </w:pPr>
    </w:p>
    <w:p w14:paraId="688DDB12" w14:textId="039EF97B" w:rsidR="007A11D6" w:rsidRPr="005E5BFD" w:rsidRDefault="007A11D6" w:rsidP="007A11D6">
      <w:pPr>
        <w:pStyle w:val="Heading1"/>
      </w:pPr>
      <w:bookmarkStart w:id="1" w:name="_Toc98918795"/>
      <w:r w:rsidRPr="005E5BFD">
        <w:t>Disclaimer</w:t>
      </w:r>
      <w:bookmarkEnd w:id="1"/>
    </w:p>
    <w:p w14:paraId="3C96A45E" w14:textId="77777777" w:rsidR="00A0665A" w:rsidRPr="00364F19" w:rsidRDefault="00A0665A" w:rsidP="00A0665A">
      <w:pPr>
        <w:rPr>
          <w:i/>
          <w:iCs/>
          <w:sz w:val="20"/>
          <w:szCs w:val="20"/>
        </w:rPr>
      </w:pPr>
      <w:r w:rsidRPr="00364F19">
        <w:rPr>
          <w:i/>
          <w:iCs/>
          <w:sz w:val="20"/>
          <w:szCs w:val="20"/>
        </w:rPr>
        <w:t xml:space="preserve">This document has been prepared by the National Disability Insurance Scheme Quality and Safeguards Commission for educational and informational purposes only.  The information contained in this document relates to use of medication for the primary purpose of influencing a person’s behaviour. </w:t>
      </w:r>
    </w:p>
    <w:p w14:paraId="7A2C858F" w14:textId="77777777" w:rsidR="00A0665A" w:rsidRPr="00364F19" w:rsidRDefault="00A0665A" w:rsidP="00A0665A">
      <w:pPr>
        <w:rPr>
          <w:i/>
          <w:iCs/>
          <w:sz w:val="20"/>
          <w:szCs w:val="20"/>
        </w:rPr>
      </w:pPr>
    </w:p>
    <w:p w14:paraId="190CAFDE" w14:textId="77777777" w:rsidR="00A0665A" w:rsidRPr="00364F19" w:rsidRDefault="00A0665A" w:rsidP="00A0665A">
      <w:pPr>
        <w:rPr>
          <w:i/>
          <w:iCs/>
          <w:sz w:val="20"/>
          <w:szCs w:val="20"/>
        </w:rPr>
      </w:pPr>
      <w:r w:rsidRPr="00364F19">
        <w:rPr>
          <w:i/>
          <w:iCs/>
          <w:sz w:val="20"/>
          <w:szCs w:val="20"/>
        </w:rPr>
        <w:t>This document is only intended to provide a general summary of information in relation to third</w:t>
      </w:r>
      <w:r w:rsidRPr="00364F19">
        <w:rPr>
          <w:i/>
          <w:iCs/>
          <w:sz w:val="20"/>
          <w:szCs w:val="20"/>
        </w:rPr>
        <w:noBreakHyphen/>
        <w:t xml:space="preserve">party studies conducted in relation to the use of this specific medication.  The information is general in nature, is not intended to be a substitute for medical advice and does not take into account </w:t>
      </w:r>
      <w:r>
        <w:rPr>
          <w:i/>
          <w:iCs/>
          <w:sz w:val="20"/>
          <w:szCs w:val="20"/>
        </w:rPr>
        <w:t>individual</w:t>
      </w:r>
      <w:r w:rsidRPr="00364F19">
        <w:rPr>
          <w:i/>
          <w:iCs/>
          <w:sz w:val="20"/>
          <w:szCs w:val="20"/>
        </w:rPr>
        <w:t xml:space="preserve"> circumstances. It makes no recommendation about whether the use of this medication is appropriate for </w:t>
      </w:r>
      <w:r>
        <w:rPr>
          <w:i/>
          <w:iCs/>
          <w:sz w:val="20"/>
          <w:szCs w:val="20"/>
        </w:rPr>
        <w:t>an individual</w:t>
      </w:r>
      <w:r w:rsidRPr="00364F19">
        <w:rPr>
          <w:i/>
          <w:iCs/>
          <w:sz w:val="20"/>
          <w:szCs w:val="20"/>
        </w:rPr>
        <w:t xml:space="preserve">.  You should not rely on this information to make decisions and medical advice </w:t>
      </w:r>
      <w:r>
        <w:rPr>
          <w:i/>
          <w:iCs/>
          <w:sz w:val="20"/>
          <w:szCs w:val="20"/>
        </w:rPr>
        <w:t xml:space="preserve">should be sought </w:t>
      </w:r>
      <w:r w:rsidRPr="00364F19">
        <w:rPr>
          <w:i/>
          <w:iCs/>
          <w:sz w:val="20"/>
          <w:szCs w:val="20"/>
        </w:rPr>
        <w:t xml:space="preserve">from a qualified health professional about individual circumstances </w:t>
      </w:r>
    </w:p>
    <w:p w14:paraId="16C3A74D" w14:textId="77777777" w:rsidR="00A0665A" w:rsidRPr="00364F19" w:rsidRDefault="00A0665A" w:rsidP="00A0665A">
      <w:pPr>
        <w:rPr>
          <w:i/>
          <w:iCs/>
          <w:sz w:val="20"/>
          <w:szCs w:val="20"/>
        </w:rPr>
      </w:pPr>
    </w:p>
    <w:p w14:paraId="6AF5EBAB" w14:textId="77777777" w:rsidR="00A0665A" w:rsidRPr="00364F19" w:rsidRDefault="00A0665A" w:rsidP="00A0665A">
      <w:pPr>
        <w:rPr>
          <w:i/>
          <w:iCs/>
          <w:sz w:val="20"/>
          <w:szCs w:val="20"/>
        </w:rPr>
      </w:pPr>
      <w:r>
        <w:rPr>
          <w:i/>
          <w:iCs/>
          <w:sz w:val="20"/>
          <w:szCs w:val="20"/>
        </w:rPr>
        <w:lastRenderedPageBreak/>
        <w:t>To the extent permitted by law, the Commonwealth of Australia excludes all liability for loss or damage arising from the use of, or reliance on, the information contained in this document whether or not caused by any negligence on the part of the Commonwealth or its agents. The Commonwealth of Australia accepts no responsibility for the completeness or accuracy of the information summarised in this document.</w:t>
      </w:r>
    </w:p>
    <w:p w14:paraId="1409D394" w14:textId="77777777" w:rsidR="001D22B5" w:rsidRPr="00730993" w:rsidRDefault="001D22B5" w:rsidP="00730993">
      <w:pPr>
        <w:spacing w:line="360" w:lineRule="auto"/>
        <w:rPr>
          <w:rFonts w:asciiTheme="minorHAnsi" w:hAnsiTheme="minorHAnsi" w:cstheme="minorHAnsi"/>
          <w:sz w:val="24"/>
          <w:szCs w:val="24"/>
        </w:rPr>
      </w:pPr>
    </w:p>
    <w:p w14:paraId="6BDD6F87" w14:textId="77777777" w:rsidR="001D22B5" w:rsidRDefault="001D22B5">
      <w:pPr>
        <w:spacing w:before="120" w:after="120" w:line="240" w:lineRule="auto"/>
        <w:rPr>
          <w:rFonts w:asciiTheme="majorHAnsi" w:eastAsiaTheme="majorEastAsia" w:hAnsiTheme="majorHAnsi" w:cstheme="majorHAnsi"/>
          <w:b/>
          <w:color w:val="612C69"/>
          <w:sz w:val="48"/>
          <w:szCs w:val="48"/>
        </w:rPr>
      </w:pPr>
      <w:r>
        <w:rPr>
          <w:rFonts w:asciiTheme="majorHAnsi" w:hAnsiTheme="majorHAnsi" w:cstheme="majorHAnsi"/>
          <w:b/>
        </w:rPr>
        <w:br w:type="page"/>
      </w:r>
    </w:p>
    <w:p w14:paraId="07990817" w14:textId="77777777" w:rsidR="001D22B5" w:rsidRDefault="001D22B5" w:rsidP="007A11D6">
      <w:pPr>
        <w:pStyle w:val="Title"/>
        <w:rPr>
          <w:rFonts w:asciiTheme="majorHAnsi" w:hAnsiTheme="majorHAnsi" w:cstheme="majorHAnsi"/>
          <w:b/>
        </w:rPr>
      </w:pPr>
      <w:r>
        <w:rPr>
          <w:rFonts w:asciiTheme="majorHAnsi" w:hAnsiTheme="majorHAnsi" w:cstheme="majorHAnsi"/>
          <w:b/>
        </w:rPr>
        <w:lastRenderedPageBreak/>
        <w:t>PLAIN LANGUAGE SUMMARY</w:t>
      </w:r>
    </w:p>
    <w:p w14:paraId="13277054" w14:textId="4CE1A58E" w:rsidR="008B1DB3" w:rsidRPr="007A11D6" w:rsidRDefault="008B1DB3" w:rsidP="001D22B5">
      <w:pPr>
        <w:pStyle w:val="Heading3"/>
        <w:rPr>
          <w:color w:val="auto"/>
          <w:sz w:val="32"/>
          <w:szCs w:val="32"/>
        </w:rPr>
      </w:pPr>
      <w:r w:rsidRPr="007A11D6">
        <w:t>Background</w:t>
      </w:r>
    </w:p>
    <w:p w14:paraId="6B0CF591" w14:textId="647378EC" w:rsidR="008B1DB3" w:rsidRPr="00A5769B" w:rsidRDefault="00276170" w:rsidP="00DF4328">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Behaviours of concern such as irritability, aggression and self-injurious behaviour are common in people with Autism Spectrum Disorder (ASD). Anticonvulsants (also known as antiepileptic drugs or mood stabilisers) are prescribed for people with epilepsy</w:t>
      </w:r>
      <w:r w:rsidR="002702B7">
        <w:rPr>
          <w:rFonts w:asciiTheme="minorHAnsi" w:hAnsiTheme="minorHAnsi" w:cstheme="minorHAnsi"/>
          <w:sz w:val="24"/>
          <w:szCs w:val="24"/>
        </w:rPr>
        <w:t xml:space="preserve"> to reduce seizures</w:t>
      </w:r>
      <w:r w:rsidRPr="00276170">
        <w:rPr>
          <w:rFonts w:asciiTheme="minorHAnsi" w:hAnsiTheme="minorHAnsi" w:cstheme="minorHAnsi"/>
          <w:sz w:val="24"/>
          <w:szCs w:val="24"/>
        </w:rPr>
        <w:t xml:space="preserve">, although anticonvulsants are also prescribed for a range of other neurological and psychiatric conditions including bipolar disorder, schizophrenia, </w:t>
      </w:r>
      <w:r w:rsidR="00DE6CE1">
        <w:rPr>
          <w:rFonts w:asciiTheme="minorHAnsi" w:hAnsiTheme="minorHAnsi" w:cstheme="minorHAnsi"/>
          <w:sz w:val="24"/>
          <w:szCs w:val="24"/>
        </w:rPr>
        <w:t xml:space="preserve">migraines, and neuropathic pain. </w:t>
      </w:r>
      <w:r w:rsidR="00441CDD">
        <w:rPr>
          <w:rFonts w:asciiTheme="minorHAnsi" w:hAnsiTheme="minorHAnsi" w:cstheme="minorHAnsi"/>
          <w:sz w:val="24"/>
          <w:szCs w:val="24"/>
        </w:rPr>
        <w:t xml:space="preserve">Anticonvulsants </w:t>
      </w:r>
      <w:r w:rsidRPr="00276170">
        <w:rPr>
          <w:rFonts w:asciiTheme="minorHAnsi" w:hAnsiTheme="minorHAnsi" w:cstheme="minorHAnsi"/>
          <w:sz w:val="24"/>
          <w:szCs w:val="24"/>
        </w:rPr>
        <w:t xml:space="preserve">have also been proposed for the pharmacological management of behaviours of concern for children, adolescents and </w:t>
      </w:r>
      <w:r w:rsidR="00DE6CE1">
        <w:rPr>
          <w:rFonts w:asciiTheme="minorHAnsi" w:hAnsiTheme="minorHAnsi" w:cstheme="minorHAnsi"/>
          <w:sz w:val="24"/>
          <w:szCs w:val="24"/>
        </w:rPr>
        <w:t xml:space="preserve">adults who have an ASD. </w:t>
      </w:r>
      <w:r w:rsidR="00B16F70">
        <w:rPr>
          <w:rFonts w:asciiTheme="minorHAnsi" w:hAnsiTheme="minorHAnsi" w:cstheme="minorHAnsi"/>
          <w:sz w:val="24"/>
          <w:szCs w:val="24"/>
        </w:rPr>
        <w:t xml:space="preserve">There is a need for high quality evidence on the effectiveness and harms associated with the use of anticonvulsants to manage behaviours of concern in people with ASD. </w:t>
      </w:r>
    </w:p>
    <w:p w14:paraId="6B35BE93" w14:textId="77777777" w:rsidR="008B1DB3" w:rsidRPr="0054191B" w:rsidRDefault="008B1DB3" w:rsidP="001D22B5">
      <w:pPr>
        <w:pStyle w:val="Heading3"/>
      </w:pPr>
      <w:r w:rsidRPr="0054191B">
        <w:t>Review question</w:t>
      </w:r>
    </w:p>
    <w:p w14:paraId="07DCF3D5" w14:textId="0F13B0F8" w:rsidR="008B1DB3" w:rsidRPr="00A5769B" w:rsidRDefault="00276170" w:rsidP="005046E0">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To determine the effectiveness of anticonvulsants in reducing the behaviours of conce</w:t>
      </w:r>
      <w:r w:rsidR="00441CDD">
        <w:rPr>
          <w:rFonts w:asciiTheme="minorHAnsi" w:hAnsiTheme="minorHAnsi" w:cstheme="minorHAnsi"/>
          <w:sz w:val="24"/>
          <w:szCs w:val="24"/>
        </w:rPr>
        <w:t>rn of</w:t>
      </w:r>
      <w:r w:rsidRPr="00276170">
        <w:rPr>
          <w:rFonts w:asciiTheme="minorHAnsi" w:hAnsiTheme="minorHAnsi" w:cstheme="minorHAnsi"/>
          <w:sz w:val="24"/>
          <w:szCs w:val="24"/>
        </w:rPr>
        <w:t xml:space="preserve"> irritability, aggression and self-injurious behaviours in people with ASD and the likelihood of adverse effects associated with anticonvulsant use.</w:t>
      </w:r>
      <w:r w:rsidR="00441CDD">
        <w:rPr>
          <w:rFonts w:asciiTheme="minorHAnsi" w:hAnsiTheme="minorHAnsi" w:cstheme="minorHAnsi"/>
          <w:sz w:val="24"/>
          <w:szCs w:val="24"/>
        </w:rPr>
        <w:t xml:space="preserve"> </w:t>
      </w:r>
    </w:p>
    <w:p w14:paraId="4282F18B" w14:textId="77777777" w:rsidR="008B1DB3" w:rsidRPr="0054191B" w:rsidRDefault="008B1DB3" w:rsidP="001D22B5">
      <w:pPr>
        <w:pStyle w:val="Heading3"/>
      </w:pPr>
      <w:r w:rsidRPr="0054191B">
        <w:t>What was studied in the review?</w:t>
      </w:r>
    </w:p>
    <w:p w14:paraId="3479400E" w14:textId="5B316B27" w:rsidR="008B1DB3" w:rsidRDefault="00276170" w:rsidP="005046E0">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All trials that compared the effectiveness of anticonvulsants to a placebo in reducing behaviours of concern or reported adverse effects.</w:t>
      </w:r>
      <w:r w:rsidR="00E54DC5">
        <w:rPr>
          <w:rFonts w:asciiTheme="minorHAnsi" w:hAnsiTheme="minorHAnsi" w:cstheme="minorHAnsi"/>
          <w:sz w:val="24"/>
          <w:szCs w:val="24"/>
        </w:rPr>
        <w:t xml:space="preserve"> Six trials involving 165</w:t>
      </w:r>
      <w:r w:rsidR="00A17B0F" w:rsidRPr="00276170">
        <w:rPr>
          <w:rFonts w:asciiTheme="minorHAnsi" w:hAnsiTheme="minorHAnsi" w:cstheme="minorHAnsi"/>
          <w:sz w:val="24"/>
          <w:szCs w:val="24"/>
        </w:rPr>
        <w:t xml:space="preserve"> participants comparing anticonvulsants to </w:t>
      </w:r>
      <w:r w:rsidR="00E54DC5">
        <w:rPr>
          <w:rFonts w:asciiTheme="minorHAnsi" w:hAnsiTheme="minorHAnsi" w:cstheme="minorHAnsi"/>
          <w:sz w:val="24"/>
          <w:szCs w:val="24"/>
        </w:rPr>
        <w:t xml:space="preserve">a </w:t>
      </w:r>
      <w:r w:rsidR="00A17B0F" w:rsidRPr="00276170">
        <w:rPr>
          <w:rFonts w:asciiTheme="minorHAnsi" w:hAnsiTheme="minorHAnsi" w:cstheme="minorHAnsi"/>
          <w:sz w:val="24"/>
          <w:szCs w:val="24"/>
        </w:rPr>
        <w:t>placebo were included in the analysis. The anticonvu</w:t>
      </w:r>
      <w:r w:rsidR="005046E0">
        <w:rPr>
          <w:rFonts w:asciiTheme="minorHAnsi" w:hAnsiTheme="minorHAnsi" w:cstheme="minorHAnsi"/>
          <w:sz w:val="24"/>
          <w:szCs w:val="24"/>
        </w:rPr>
        <w:t>lsants that were compared were divalproex sodium, lamotrigine, levetiracetam, topiramate, and v</w:t>
      </w:r>
      <w:r w:rsidR="00A17B0F" w:rsidRPr="00276170">
        <w:rPr>
          <w:rFonts w:asciiTheme="minorHAnsi" w:hAnsiTheme="minorHAnsi" w:cstheme="minorHAnsi"/>
          <w:sz w:val="24"/>
          <w:szCs w:val="24"/>
        </w:rPr>
        <w:t>alproate. All trials of effectiveness were short-term i.e</w:t>
      </w:r>
      <w:r w:rsidR="00E54DC5">
        <w:rPr>
          <w:rFonts w:asciiTheme="minorHAnsi" w:hAnsiTheme="minorHAnsi" w:cstheme="minorHAnsi"/>
          <w:sz w:val="24"/>
          <w:szCs w:val="24"/>
        </w:rPr>
        <w:t xml:space="preserve">. 4 months or less in duration and all participants apart from one adult were children or adolescents (&lt;18 years). </w:t>
      </w:r>
    </w:p>
    <w:p w14:paraId="565AF8B3" w14:textId="043603C2" w:rsidR="007A11D6" w:rsidRPr="007A11D6" w:rsidRDefault="007A11D6" w:rsidP="001D22B5">
      <w:pPr>
        <w:pStyle w:val="Heading3"/>
      </w:pPr>
      <w:r w:rsidRPr="007A11D6">
        <w:t>What was done?</w:t>
      </w:r>
    </w:p>
    <w:p w14:paraId="273AD011" w14:textId="71719BC5" w:rsidR="007A11D6" w:rsidRPr="007A11D6" w:rsidRDefault="007A11D6" w:rsidP="007A11D6">
      <w:pPr>
        <w:spacing w:line="360" w:lineRule="auto"/>
        <w:rPr>
          <w:rFonts w:asciiTheme="minorHAnsi" w:hAnsiTheme="minorHAnsi" w:cstheme="minorHAnsi"/>
          <w:sz w:val="24"/>
          <w:szCs w:val="24"/>
        </w:rPr>
      </w:pPr>
      <w:r w:rsidRPr="00715FE4">
        <w:rPr>
          <w:rFonts w:asciiTheme="minorHAnsi" w:hAnsiTheme="minorHAnsi" w:cstheme="minorHAnsi"/>
          <w:sz w:val="24"/>
          <w:szCs w:val="24"/>
        </w:rPr>
        <w:t>A systematic review of all Randomised Controlled Trials (RCTs) involving children, adolescents or adults with ASD</w:t>
      </w:r>
      <w:r>
        <w:rPr>
          <w:rFonts w:asciiTheme="minorHAnsi" w:hAnsiTheme="minorHAnsi" w:cstheme="minorHAnsi"/>
          <w:sz w:val="24"/>
          <w:szCs w:val="24"/>
        </w:rPr>
        <w:t xml:space="preserve"> and behaviours of concern that compared</w:t>
      </w:r>
      <w:r w:rsidRPr="00715FE4">
        <w:rPr>
          <w:rFonts w:asciiTheme="minorHAnsi" w:hAnsiTheme="minorHAnsi" w:cstheme="minorHAnsi"/>
          <w:sz w:val="24"/>
          <w:szCs w:val="24"/>
        </w:rPr>
        <w:t xml:space="preserve"> </w:t>
      </w:r>
      <w:r w:rsidR="00574F00">
        <w:rPr>
          <w:rFonts w:asciiTheme="minorHAnsi" w:hAnsiTheme="minorHAnsi" w:cstheme="minorHAnsi"/>
          <w:sz w:val="24"/>
          <w:szCs w:val="24"/>
        </w:rPr>
        <w:t xml:space="preserve">anticonvulsant medications </w:t>
      </w:r>
      <w:r w:rsidRPr="00715FE4">
        <w:rPr>
          <w:rFonts w:asciiTheme="minorHAnsi" w:hAnsiTheme="minorHAnsi" w:cstheme="minorHAnsi"/>
          <w:sz w:val="24"/>
          <w:szCs w:val="24"/>
        </w:rPr>
        <w:t xml:space="preserve">to a placebo. Two </w:t>
      </w:r>
      <w:r w:rsidR="00F01252">
        <w:rPr>
          <w:rFonts w:asciiTheme="minorHAnsi" w:hAnsiTheme="minorHAnsi" w:cstheme="minorHAnsi"/>
          <w:sz w:val="24"/>
          <w:szCs w:val="24"/>
        </w:rPr>
        <w:t>researchers</w:t>
      </w:r>
      <w:r w:rsidR="00DF4328">
        <w:rPr>
          <w:rFonts w:asciiTheme="minorHAnsi" w:hAnsiTheme="minorHAnsi" w:cstheme="minorHAnsi"/>
          <w:sz w:val="24"/>
          <w:szCs w:val="24"/>
        </w:rPr>
        <w:t xml:space="preserve"> </w:t>
      </w:r>
      <w:r w:rsidRPr="00715FE4">
        <w:rPr>
          <w:rFonts w:asciiTheme="minorHAnsi" w:hAnsiTheme="minorHAnsi" w:cstheme="minorHAnsi"/>
          <w:sz w:val="24"/>
          <w:szCs w:val="24"/>
        </w:rPr>
        <w:t xml:space="preserve">independently screened papers to determine if the </w:t>
      </w:r>
      <w:r w:rsidR="001A4852">
        <w:rPr>
          <w:rFonts w:asciiTheme="minorHAnsi" w:hAnsiTheme="minorHAnsi" w:cstheme="minorHAnsi"/>
          <w:sz w:val="24"/>
          <w:szCs w:val="24"/>
        </w:rPr>
        <w:t>trials</w:t>
      </w:r>
      <w:r w:rsidRPr="00715FE4">
        <w:rPr>
          <w:rFonts w:asciiTheme="minorHAnsi" w:hAnsiTheme="minorHAnsi" w:cstheme="minorHAnsi"/>
          <w:sz w:val="24"/>
          <w:szCs w:val="24"/>
        </w:rPr>
        <w:t xml:space="preserve"> met the inclusion criteria, recorded </w:t>
      </w:r>
      <w:r w:rsidR="001A4852">
        <w:rPr>
          <w:rFonts w:asciiTheme="minorHAnsi" w:hAnsiTheme="minorHAnsi" w:cstheme="minorHAnsi"/>
          <w:sz w:val="24"/>
          <w:szCs w:val="24"/>
        </w:rPr>
        <w:t>trial</w:t>
      </w:r>
      <w:r w:rsidRPr="00715FE4">
        <w:rPr>
          <w:rFonts w:asciiTheme="minorHAnsi" w:hAnsiTheme="minorHAnsi" w:cstheme="minorHAnsi"/>
          <w:sz w:val="24"/>
          <w:szCs w:val="24"/>
        </w:rPr>
        <w:t xml:space="preserve"> details, extracted outcome data and rated </w:t>
      </w:r>
      <w:r w:rsidRPr="00715FE4">
        <w:rPr>
          <w:rFonts w:asciiTheme="minorHAnsi" w:hAnsiTheme="minorHAnsi" w:cstheme="minorHAnsi"/>
          <w:sz w:val="24"/>
          <w:szCs w:val="24"/>
        </w:rPr>
        <w:lastRenderedPageBreak/>
        <w:t>the quality of papers (risk of bias).  Any disagreement between reviewers was resolved through discussion or by referral to a third reviewer</w:t>
      </w:r>
      <w:r w:rsidR="00F01252">
        <w:rPr>
          <w:rFonts w:asciiTheme="minorHAnsi" w:hAnsiTheme="minorHAnsi" w:cstheme="minorHAnsi"/>
          <w:sz w:val="24"/>
          <w:szCs w:val="24"/>
        </w:rPr>
        <w:t xml:space="preserve">. </w:t>
      </w:r>
    </w:p>
    <w:p w14:paraId="2A9B3BC5" w14:textId="77777777" w:rsidR="008B1DB3" w:rsidRPr="0054191B" w:rsidRDefault="008B1DB3" w:rsidP="001D22B5">
      <w:pPr>
        <w:pStyle w:val="Heading3"/>
      </w:pPr>
      <w:r w:rsidRPr="0054191B">
        <w:t>What are the main results of the review?</w:t>
      </w:r>
    </w:p>
    <w:p w14:paraId="39CEDFEA" w14:textId="1988AE8A" w:rsidR="00FC0436" w:rsidRDefault="00276170" w:rsidP="00F07E64">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 xml:space="preserve">Anticonvulsants </w:t>
      </w:r>
      <w:r w:rsidR="007A11D6">
        <w:rPr>
          <w:rFonts w:asciiTheme="minorHAnsi" w:hAnsiTheme="minorHAnsi" w:cstheme="minorHAnsi"/>
          <w:sz w:val="24"/>
          <w:szCs w:val="24"/>
        </w:rPr>
        <w:t>had little to no</w:t>
      </w:r>
      <w:r w:rsidRPr="00276170">
        <w:rPr>
          <w:rFonts w:asciiTheme="minorHAnsi" w:hAnsiTheme="minorHAnsi" w:cstheme="minorHAnsi"/>
          <w:sz w:val="24"/>
          <w:szCs w:val="24"/>
        </w:rPr>
        <w:t xml:space="preserve"> effect on the </w:t>
      </w:r>
      <w:r w:rsidR="00FD2CF8">
        <w:rPr>
          <w:rFonts w:asciiTheme="minorHAnsi" w:hAnsiTheme="minorHAnsi" w:cstheme="minorHAnsi"/>
          <w:sz w:val="24"/>
          <w:szCs w:val="24"/>
        </w:rPr>
        <w:t xml:space="preserve">outcome of </w:t>
      </w:r>
      <w:r w:rsidRPr="00276170">
        <w:rPr>
          <w:rFonts w:asciiTheme="minorHAnsi" w:hAnsiTheme="minorHAnsi" w:cstheme="minorHAnsi"/>
          <w:sz w:val="24"/>
          <w:szCs w:val="24"/>
        </w:rPr>
        <w:t xml:space="preserve">irritability (3 trials, </w:t>
      </w:r>
      <w:r w:rsidR="009719BB">
        <w:rPr>
          <w:rFonts w:asciiTheme="minorHAnsi" w:hAnsiTheme="minorHAnsi" w:cstheme="minorHAnsi"/>
          <w:sz w:val="24"/>
          <w:szCs w:val="24"/>
        </w:rPr>
        <w:t>97 participants</w:t>
      </w:r>
      <w:r w:rsidRPr="00276170">
        <w:rPr>
          <w:rFonts w:asciiTheme="minorHAnsi" w:hAnsiTheme="minorHAnsi" w:cstheme="minorHAnsi"/>
          <w:sz w:val="24"/>
          <w:szCs w:val="24"/>
        </w:rPr>
        <w:t>) or aggression</w:t>
      </w:r>
      <w:r w:rsidR="00F01252">
        <w:rPr>
          <w:rFonts w:asciiTheme="minorHAnsi" w:hAnsiTheme="minorHAnsi" w:cstheme="minorHAnsi"/>
          <w:sz w:val="24"/>
          <w:szCs w:val="24"/>
        </w:rPr>
        <w:t xml:space="preserve"> in the short-term</w:t>
      </w:r>
      <w:r w:rsidRPr="00276170">
        <w:rPr>
          <w:rFonts w:asciiTheme="minorHAnsi" w:hAnsiTheme="minorHAnsi" w:cstheme="minorHAnsi"/>
          <w:sz w:val="24"/>
          <w:szCs w:val="24"/>
        </w:rPr>
        <w:t xml:space="preserve"> (</w:t>
      </w:r>
      <w:r w:rsidR="009719BB">
        <w:rPr>
          <w:rFonts w:asciiTheme="minorHAnsi" w:hAnsiTheme="minorHAnsi" w:cstheme="minorHAnsi"/>
          <w:sz w:val="24"/>
          <w:szCs w:val="24"/>
        </w:rPr>
        <w:t>2 trials, 57 participants</w:t>
      </w:r>
      <w:r w:rsidRPr="00276170">
        <w:rPr>
          <w:rFonts w:asciiTheme="minorHAnsi" w:hAnsiTheme="minorHAnsi" w:cstheme="minorHAnsi"/>
          <w:sz w:val="24"/>
          <w:szCs w:val="24"/>
        </w:rPr>
        <w:t xml:space="preserve">). The outcome of self-injurious behaviour was not reported. </w:t>
      </w:r>
      <w:r w:rsidR="00441CDD">
        <w:rPr>
          <w:rFonts w:asciiTheme="minorHAnsi" w:hAnsiTheme="minorHAnsi" w:cstheme="minorHAnsi"/>
          <w:sz w:val="24"/>
          <w:szCs w:val="24"/>
        </w:rPr>
        <w:t xml:space="preserve"> </w:t>
      </w:r>
    </w:p>
    <w:p w14:paraId="2050B083" w14:textId="0E279FF4" w:rsidR="008B1DB3" w:rsidRPr="007A11D6" w:rsidRDefault="00276170" w:rsidP="00DF4328">
      <w:pPr>
        <w:spacing w:before="120" w:after="120" w:line="360" w:lineRule="auto"/>
        <w:rPr>
          <w:rFonts w:asciiTheme="minorHAnsi" w:hAnsiTheme="minorHAnsi" w:cstheme="minorHAnsi"/>
          <w:b/>
          <w:sz w:val="24"/>
          <w:szCs w:val="24"/>
        </w:rPr>
      </w:pPr>
      <w:r w:rsidRPr="00AB245C">
        <w:rPr>
          <w:rFonts w:asciiTheme="minorHAnsi" w:hAnsiTheme="minorHAnsi" w:cstheme="minorHAnsi"/>
          <w:sz w:val="24"/>
          <w:szCs w:val="24"/>
        </w:rPr>
        <w:t>In the short-term</w:t>
      </w:r>
      <w:r w:rsidR="00FC0436" w:rsidRPr="00AB245C">
        <w:rPr>
          <w:rFonts w:asciiTheme="minorHAnsi" w:hAnsiTheme="minorHAnsi" w:cstheme="minorHAnsi"/>
          <w:sz w:val="24"/>
          <w:szCs w:val="24"/>
        </w:rPr>
        <w:t>,</w:t>
      </w:r>
      <w:r w:rsidRPr="00AB245C">
        <w:rPr>
          <w:rFonts w:asciiTheme="minorHAnsi" w:hAnsiTheme="minorHAnsi" w:cstheme="minorHAnsi"/>
          <w:sz w:val="24"/>
          <w:szCs w:val="24"/>
        </w:rPr>
        <w:t xml:space="preserve"> anticonvulsants were associated with a significant decrease in appetite</w:t>
      </w:r>
      <w:r w:rsidR="00FD2CF8" w:rsidRPr="00AB245C">
        <w:rPr>
          <w:rFonts w:asciiTheme="minorHAnsi" w:hAnsiTheme="minorHAnsi" w:cstheme="minorHAnsi"/>
          <w:sz w:val="24"/>
          <w:szCs w:val="24"/>
        </w:rPr>
        <w:t xml:space="preserve"> </w:t>
      </w:r>
      <w:r w:rsidR="009719BB" w:rsidRPr="00AB245C">
        <w:rPr>
          <w:rFonts w:asciiTheme="minorHAnsi" w:hAnsiTheme="minorHAnsi" w:cstheme="minorHAnsi"/>
          <w:sz w:val="24"/>
          <w:szCs w:val="24"/>
        </w:rPr>
        <w:t>(2 trials, 60 participants</w:t>
      </w:r>
      <w:r w:rsidRPr="00AB245C">
        <w:rPr>
          <w:rFonts w:asciiTheme="minorHAnsi" w:hAnsiTheme="minorHAnsi" w:cstheme="minorHAnsi"/>
          <w:sz w:val="24"/>
          <w:szCs w:val="24"/>
        </w:rPr>
        <w:t>). There was no apparent effect on the other adverse effects of cardiovascular, gastrointestinal, neurological, immune, psychological, skin or urinary</w:t>
      </w:r>
      <w:r w:rsidRPr="007A11D6">
        <w:rPr>
          <w:rFonts w:asciiTheme="minorHAnsi" w:hAnsiTheme="minorHAnsi" w:cstheme="minorHAnsi"/>
          <w:b/>
          <w:sz w:val="24"/>
          <w:szCs w:val="24"/>
        </w:rPr>
        <w:t>.</w:t>
      </w:r>
      <w:r w:rsidR="00681845" w:rsidRPr="007A11D6">
        <w:rPr>
          <w:rFonts w:asciiTheme="minorHAnsi" w:hAnsiTheme="minorHAnsi" w:cstheme="minorHAnsi"/>
          <w:b/>
          <w:sz w:val="24"/>
          <w:szCs w:val="24"/>
        </w:rPr>
        <w:t xml:space="preserve"> </w:t>
      </w:r>
    </w:p>
    <w:p w14:paraId="5290510E" w14:textId="77777777" w:rsidR="008B1DB3" w:rsidRPr="0054191B" w:rsidRDefault="008B1DB3" w:rsidP="001D22B5">
      <w:pPr>
        <w:pStyle w:val="Heading3"/>
      </w:pPr>
      <w:r w:rsidRPr="0054191B">
        <w:t>How reliable are the results of analyses in this review?</w:t>
      </w:r>
    </w:p>
    <w:p w14:paraId="05825A29" w14:textId="7FECF294" w:rsidR="008B1DB3" w:rsidRDefault="00276170" w:rsidP="00DF4328">
      <w:pPr>
        <w:spacing w:after="120" w:line="360" w:lineRule="auto"/>
        <w:rPr>
          <w:rFonts w:asciiTheme="minorHAnsi" w:hAnsiTheme="minorHAnsi" w:cstheme="minorHAnsi"/>
          <w:sz w:val="24"/>
          <w:szCs w:val="24"/>
        </w:rPr>
      </w:pPr>
      <w:r w:rsidRPr="00276170">
        <w:rPr>
          <w:rFonts w:asciiTheme="minorHAnsi" w:hAnsiTheme="minorHAnsi" w:cstheme="minorHAnsi"/>
          <w:sz w:val="24"/>
          <w:szCs w:val="24"/>
        </w:rPr>
        <w:t xml:space="preserve">The review </w:t>
      </w:r>
      <w:r w:rsidR="004F1481">
        <w:rPr>
          <w:rFonts w:asciiTheme="minorHAnsi" w:hAnsiTheme="minorHAnsi" w:cstheme="minorHAnsi"/>
          <w:sz w:val="24"/>
          <w:szCs w:val="24"/>
        </w:rPr>
        <w:t>did not find any</w:t>
      </w:r>
      <w:r w:rsidRPr="00276170">
        <w:rPr>
          <w:rFonts w:asciiTheme="minorHAnsi" w:hAnsiTheme="minorHAnsi" w:cstheme="minorHAnsi"/>
          <w:sz w:val="24"/>
          <w:szCs w:val="24"/>
        </w:rPr>
        <w:t xml:space="preserve"> evidence that anticonvulsant use can reduce behaviours of concern, but findings are limited by the relatively small number of </w:t>
      </w:r>
      <w:r w:rsidR="004F1481">
        <w:rPr>
          <w:rFonts w:asciiTheme="minorHAnsi" w:hAnsiTheme="minorHAnsi" w:cstheme="minorHAnsi"/>
          <w:sz w:val="24"/>
          <w:szCs w:val="24"/>
        </w:rPr>
        <w:t xml:space="preserve">identified </w:t>
      </w:r>
      <w:r w:rsidRPr="00276170">
        <w:rPr>
          <w:rFonts w:asciiTheme="minorHAnsi" w:hAnsiTheme="minorHAnsi" w:cstheme="minorHAnsi"/>
          <w:sz w:val="24"/>
          <w:szCs w:val="24"/>
        </w:rPr>
        <w:t>trials with total par</w:t>
      </w:r>
      <w:r w:rsidR="007E3109">
        <w:rPr>
          <w:rFonts w:asciiTheme="minorHAnsi" w:hAnsiTheme="minorHAnsi" w:cstheme="minorHAnsi"/>
          <w:sz w:val="24"/>
          <w:szCs w:val="24"/>
        </w:rPr>
        <w:t>ticipant numbers of less than 18</w:t>
      </w:r>
      <w:r w:rsidR="00016CC2">
        <w:rPr>
          <w:rFonts w:asciiTheme="minorHAnsi" w:hAnsiTheme="minorHAnsi" w:cstheme="minorHAnsi"/>
          <w:sz w:val="24"/>
          <w:szCs w:val="24"/>
        </w:rPr>
        <w:t>0</w:t>
      </w:r>
      <w:r w:rsidRPr="00276170">
        <w:rPr>
          <w:rFonts w:asciiTheme="minorHAnsi" w:hAnsiTheme="minorHAnsi" w:cstheme="minorHAnsi"/>
          <w:sz w:val="24"/>
          <w:szCs w:val="24"/>
        </w:rPr>
        <w:t>.</w:t>
      </w:r>
      <w:r w:rsidR="005B0D67">
        <w:rPr>
          <w:rFonts w:asciiTheme="minorHAnsi" w:hAnsiTheme="minorHAnsi" w:cstheme="minorHAnsi"/>
          <w:sz w:val="24"/>
          <w:szCs w:val="24"/>
        </w:rPr>
        <w:t xml:space="preserve"> </w:t>
      </w:r>
    </w:p>
    <w:p w14:paraId="759F580C" w14:textId="6FB95A88" w:rsidR="00C10535" w:rsidRDefault="00A0665A" w:rsidP="00C10535">
      <w:pPr>
        <w:spacing w:after="120" w:line="360" w:lineRule="auto"/>
        <w:rPr>
          <w:rFonts w:asciiTheme="minorHAnsi" w:hAnsiTheme="minorHAnsi" w:cstheme="minorHAnsi"/>
          <w:sz w:val="24"/>
          <w:szCs w:val="24"/>
        </w:rPr>
      </w:pPr>
      <w:r>
        <w:rPr>
          <w:rFonts w:asciiTheme="minorHAnsi" w:hAnsiTheme="minorHAnsi" w:cstheme="minorHAnsi"/>
          <w:sz w:val="24"/>
          <w:szCs w:val="24"/>
        </w:rPr>
        <w:t>However</w:t>
      </w:r>
      <w:r w:rsidR="00C10535">
        <w:rPr>
          <w:rFonts w:asciiTheme="minorHAnsi" w:hAnsiTheme="minorHAnsi" w:cstheme="minorHAnsi"/>
          <w:sz w:val="24"/>
          <w:szCs w:val="24"/>
        </w:rPr>
        <w:t>, we are not able to make any conclusions about the benefits and harms of anticonvulsant medication use in adults with ASD as the clear majority of participants in these trials were under the age of 18.</w:t>
      </w:r>
    </w:p>
    <w:p w14:paraId="74C982BA" w14:textId="42F32167" w:rsidR="008B1DB3" w:rsidRPr="0054191B" w:rsidRDefault="008B1DB3" w:rsidP="001D22B5">
      <w:pPr>
        <w:pStyle w:val="Heading3"/>
      </w:pPr>
      <w:r w:rsidRPr="0054191B">
        <w:t>What are the implications of this review?</w:t>
      </w:r>
    </w:p>
    <w:p w14:paraId="374A5AD3" w14:textId="16C8198C" w:rsidR="00276170" w:rsidRPr="00276170" w:rsidRDefault="00276170" w:rsidP="00DF4328">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 xml:space="preserve">This systematic review has shown there is currently no evidence that anticonvulsants </w:t>
      </w:r>
      <w:r w:rsidR="004F1481">
        <w:rPr>
          <w:rFonts w:asciiTheme="minorHAnsi" w:hAnsiTheme="minorHAnsi" w:cstheme="minorHAnsi"/>
          <w:sz w:val="24"/>
          <w:szCs w:val="24"/>
        </w:rPr>
        <w:t>can reduce</w:t>
      </w:r>
      <w:r w:rsidRPr="00276170">
        <w:rPr>
          <w:rFonts w:asciiTheme="minorHAnsi" w:hAnsiTheme="minorHAnsi" w:cstheme="minorHAnsi"/>
          <w:sz w:val="24"/>
          <w:szCs w:val="24"/>
        </w:rPr>
        <w:t xml:space="preserve"> the severity of the behaviours of concern of irritability, aggression and self-injury</w:t>
      </w:r>
      <w:r w:rsidR="00FC0436">
        <w:rPr>
          <w:rFonts w:asciiTheme="minorHAnsi" w:hAnsiTheme="minorHAnsi" w:cstheme="minorHAnsi"/>
          <w:sz w:val="24"/>
          <w:szCs w:val="24"/>
        </w:rPr>
        <w:t xml:space="preserve"> in people with ASD</w:t>
      </w:r>
      <w:r w:rsidR="003753EF">
        <w:rPr>
          <w:rFonts w:asciiTheme="minorHAnsi" w:hAnsiTheme="minorHAnsi" w:cstheme="minorHAnsi"/>
          <w:sz w:val="24"/>
          <w:szCs w:val="24"/>
        </w:rPr>
        <w:t xml:space="preserve"> in the short-term</w:t>
      </w:r>
      <w:r w:rsidRPr="00276170">
        <w:rPr>
          <w:rFonts w:asciiTheme="minorHAnsi" w:hAnsiTheme="minorHAnsi" w:cstheme="minorHAnsi"/>
          <w:sz w:val="24"/>
          <w:szCs w:val="24"/>
        </w:rPr>
        <w:t xml:space="preserve">. Anticonvulsants were also associated with decreased appetite. </w:t>
      </w:r>
    </w:p>
    <w:p w14:paraId="7B0D239D" w14:textId="3893B27E" w:rsidR="008B1DB3" w:rsidRDefault="00276170" w:rsidP="00DF4328">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Because all trials reporting effectiveness were short-term, there is currently no evidence of the benefits and harms of using anticonvulsants for periods of more than 4 months.</w:t>
      </w:r>
    </w:p>
    <w:p w14:paraId="153370A1" w14:textId="08304786" w:rsidR="00C10535" w:rsidRDefault="00C10535" w:rsidP="00DF4328">
      <w:pPr>
        <w:spacing w:before="120" w:after="120" w:line="360" w:lineRule="auto"/>
        <w:rPr>
          <w:rFonts w:asciiTheme="minorHAnsi" w:hAnsiTheme="minorHAnsi" w:cstheme="minorHAnsi"/>
          <w:sz w:val="24"/>
          <w:szCs w:val="24"/>
        </w:rPr>
      </w:pPr>
      <w:r>
        <w:rPr>
          <w:rFonts w:asciiTheme="minorHAnsi" w:hAnsiTheme="minorHAnsi" w:cstheme="minorHAnsi"/>
          <w:sz w:val="24"/>
          <w:szCs w:val="24"/>
        </w:rPr>
        <w:t>Also, because the majority of participants in these trials were under the age of 18, we are not able to make any conclusions about the benefits and harms of anticonvulsant medication use in adults with ASD.</w:t>
      </w:r>
    </w:p>
    <w:p w14:paraId="328FE0B4" w14:textId="77777777" w:rsidR="001D22B5" w:rsidRDefault="001D22B5">
      <w:pPr>
        <w:spacing w:before="120" w:after="120" w:line="240" w:lineRule="auto"/>
        <w:rPr>
          <w:rFonts w:asciiTheme="majorHAnsi" w:eastAsiaTheme="majorEastAsia" w:hAnsiTheme="majorHAnsi" w:cstheme="majorBidi"/>
          <w:b/>
          <w:color w:val="612C69"/>
          <w:sz w:val="40"/>
          <w:szCs w:val="40"/>
        </w:rPr>
      </w:pPr>
      <w:r>
        <w:lastRenderedPageBreak/>
        <w:br w:type="page"/>
      </w:r>
    </w:p>
    <w:p w14:paraId="4ED78F90" w14:textId="2680B441" w:rsidR="008B1DB3" w:rsidRPr="00A5769B" w:rsidRDefault="008B1DB3" w:rsidP="005C288B">
      <w:pPr>
        <w:pStyle w:val="Heading1"/>
        <w:jc w:val="both"/>
      </w:pPr>
      <w:bookmarkStart w:id="2" w:name="_Toc98918796"/>
      <w:r>
        <w:lastRenderedPageBreak/>
        <w:t>Background</w:t>
      </w:r>
      <w:bookmarkEnd w:id="2"/>
    </w:p>
    <w:p w14:paraId="6CD06A2E" w14:textId="6245161B" w:rsidR="00A17B0F" w:rsidRPr="00871CAA" w:rsidRDefault="00A17B0F" w:rsidP="00DF4328">
      <w:pPr>
        <w:spacing w:before="120" w:after="120" w:line="360" w:lineRule="auto"/>
        <w:rPr>
          <w:rFonts w:asciiTheme="minorHAnsi" w:hAnsiTheme="minorHAnsi" w:cstheme="minorHAnsi"/>
          <w:sz w:val="24"/>
          <w:szCs w:val="24"/>
        </w:rPr>
      </w:pPr>
      <w:r w:rsidRPr="00871CAA">
        <w:rPr>
          <w:rFonts w:asciiTheme="minorHAnsi" w:hAnsiTheme="minorHAnsi" w:cstheme="minorHAnsi"/>
          <w:sz w:val="24"/>
          <w:szCs w:val="24"/>
        </w:rPr>
        <w:t>Autism spectrum disorder (ASD) is characterised by persistent deficits in social communication and social interaction across multiple contexts, as well as restricted repetitive patterns of behaviour, interests, or activities (</w:t>
      </w:r>
      <w:r w:rsidR="00871CAA" w:rsidRPr="00871CAA">
        <w:rPr>
          <w:rFonts w:asciiTheme="minorHAnsi" w:hAnsiTheme="minorHAnsi" w:cstheme="minorHAnsi"/>
          <w:sz w:val="24"/>
          <w:szCs w:val="24"/>
        </w:rPr>
        <w:t>American Psychiatric Association</w:t>
      </w:r>
      <w:r w:rsidR="00871CAA">
        <w:rPr>
          <w:rFonts w:asciiTheme="minorHAnsi" w:hAnsiTheme="minorHAnsi" w:cstheme="minorHAnsi"/>
          <w:sz w:val="24"/>
          <w:szCs w:val="24"/>
        </w:rPr>
        <w:t>,</w:t>
      </w:r>
      <w:r w:rsidR="00871CAA" w:rsidRPr="00871CAA">
        <w:rPr>
          <w:rFonts w:asciiTheme="minorHAnsi" w:hAnsiTheme="minorHAnsi" w:cstheme="minorHAnsi"/>
          <w:sz w:val="24"/>
          <w:szCs w:val="24"/>
        </w:rPr>
        <w:t xml:space="preserve"> </w:t>
      </w:r>
      <w:r w:rsidRPr="00871CAA">
        <w:rPr>
          <w:rFonts w:asciiTheme="minorHAnsi" w:hAnsiTheme="minorHAnsi" w:cstheme="minorHAnsi"/>
          <w:sz w:val="24"/>
          <w:szCs w:val="24"/>
        </w:rPr>
        <w:t>2013). ASD is usually diagnosed during childhood and persists throughout the life of a person (DSM-5</w:t>
      </w:r>
      <w:r w:rsidR="00871CAA">
        <w:rPr>
          <w:rFonts w:asciiTheme="minorHAnsi" w:hAnsiTheme="minorHAnsi" w:cstheme="minorHAnsi"/>
          <w:sz w:val="24"/>
          <w:szCs w:val="24"/>
        </w:rPr>
        <w:t>,</w:t>
      </w:r>
      <w:r w:rsidRPr="00871CAA">
        <w:rPr>
          <w:rFonts w:asciiTheme="minorHAnsi" w:hAnsiTheme="minorHAnsi" w:cstheme="minorHAnsi"/>
          <w:sz w:val="24"/>
          <w:szCs w:val="24"/>
        </w:rPr>
        <w:t xml:space="preserve"> 2013). ASDs affect roughly one percent of the total population across most countries (</w:t>
      </w:r>
      <w:r w:rsidR="0024331F" w:rsidRPr="00871CAA">
        <w:rPr>
          <w:rFonts w:asciiTheme="minorHAnsi" w:hAnsiTheme="minorHAnsi" w:cstheme="minorHAnsi"/>
          <w:sz w:val="24"/>
          <w:szCs w:val="24"/>
        </w:rPr>
        <w:t>Arora</w:t>
      </w:r>
      <w:r w:rsidR="0024331F">
        <w:rPr>
          <w:rFonts w:asciiTheme="minorHAnsi" w:hAnsiTheme="minorHAnsi" w:cstheme="minorHAnsi"/>
          <w:sz w:val="24"/>
          <w:szCs w:val="24"/>
        </w:rPr>
        <w:t xml:space="preserve"> et al.,</w:t>
      </w:r>
      <w:r w:rsidR="0024331F" w:rsidRPr="00871CAA">
        <w:rPr>
          <w:rFonts w:asciiTheme="minorHAnsi" w:hAnsiTheme="minorHAnsi" w:cstheme="minorHAnsi"/>
          <w:sz w:val="24"/>
          <w:szCs w:val="24"/>
        </w:rPr>
        <w:t xml:space="preserve"> 2018</w:t>
      </w:r>
      <w:r w:rsidR="0024331F">
        <w:rPr>
          <w:rFonts w:asciiTheme="minorHAnsi" w:hAnsiTheme="minorHAnsi" w:cstheme="minorHAnsi"/>
          <w:sz w:val="24"/>
          <w:szCs w:val="24"/>
        </w:rPr>
        <w:t xml:space="preserve">; </w:t>
      </w:r>
      <w:r w:rsidR="00871CAA">
        <w:rPr>
          <w:rFonts w:asciiTheme="minorHAnsi" w:hAnsiTheme="minorHAnsi" w:cstheme="minorHAnsi"/>
          <w:sz w:val="24"/>
          <w:szCs w:val="24"/>
        </w:rPr>
        <w:t>Australian Institute of Health and Welfare,</w:t>
      </w:r>
      <w:r w:rsidR="0024331F">
        <w:rPr>
          <w:rFonts w:asciiTheme="minorHAnsi" w:hAnsiTheme="minorHAnsi" w:cstheme="minorHAnsi"/>
          <w:sz w:val="24"/>
          <w:szCs w:val="24"/>
        </w:rPr>
        <w:t xml:space="preserve"> 2017</w:t>
      </w:r>
      <w:r w:rsidRPr="00871CAA">
        <w:rPr>
          <w:rFonts w:asciiTheme="minorHAnsi" w:hAnsiTheme="minorHAnsi" w:cstheme="minorHAnsi"/>
          <w:sz w:val="24"/>
          <w:szCs w:val="24"/>
        </w:rPr>
        <w:t>; Cleaton</w:t>
      </w:r>
      <w:r w:rsidR="00871CAA">
        <w:rPr>
          <w:rFonts w:asciiTheme="minorHAnsi" w:hAnsiTheme="minorHAnsi" w:cstheme="minorHAnsi"/>
          <w:sz w:val="24"/>
          <w:szCs w:val="24"/>
        </w:rPr>
        <w:t xml:space="preserve"> &amp; Kirby,</w:t>
      </w:r>
      <w:r w:rsidRPr="00871CAA">
        <w:rPr>
          <w:rFonts w:asciiTheme="minorHAnsi" w:hAnsiTheme="minorHAnsi" w:cstheme="minorHAnsi"/>
          <w:sz w:val="24"/>
          <w:szCs w:val="24"/>
        </w:rPr>
        <w:t xml:space="preserve"> 2018; Elsabbagh</w:t>
      </w:r>
      <w:r w:rsidR="00871CAA">
        <w:rPr>
          <w:rFonts w:asciiTheme="minorHAnsi" w:hAnsiTheme="minorHAnsi" w:cstheme="minorHAnsi"/>
          <w:sz w:val="24"/>
          <w:szCs w:val="24"/>
        </w:rPr>
        <w:t xml:space="preserve"> et al.,</w:t>
      </w:r>
      <w:r w:rsidRPr="00871CAA">
        <w:rPr>
          <w:rFonts w:asciiTheme="minorHAnsi" w:hAnsiTheme="minorHAnsi" w:cstheme="minorHAnsi"/>
          <w:sz w:val="24"/>
          <w:szCs w:val="24"/>
        </w:rPr>
        <w:t xml:space="preserve"> 2012; Ritchie</w:t>
      </w:r>
      <w:r w:rsidR="00871CAA">
        <w:rPr>
          <w:rFonts w:asciiTheme="minorHAnsi" w:hAnsiTheme="minorHAnsi" w:cstheme="minorHAnsi"/>
          <w:sz w:val="24"/>
          <w:szCs w:val="24"/>
        </w:rPr>
        <w:t>,</w:t>
      </w:r>
      <w:r w:rsidRPr="00871CAA">
        <w:rPr>
          <w:rFonts w:asciiTheme="minorHAnsi" w:hAnsiTheme="minorHAnsi" w:cstheme="minorHAnsi"/>
          <w:sz w:val="24"/>
          <w:szCs w:val="24"/>
        </w:rPr>
        <w:t xml:space="preserve"> 2020) </w:t>
      </w:r>
      <w:r w:rsidR="004F1481" w:rsidRPr="00871CAA">
        <w:rPr>
          <w:rFonts w:asciiTheme="minorHAnsi" w:hAnsiTheme="minorHAnsi" w:cstheme="minorHAnsi"/>
          <w:sz w:val="24"/>
          <w:szCs w:val="24"/>
        </w:rPr>
        <w:t>although</w:t>
      </w:r>
      <w:r w:rsidRPr="00871CAA">
        <w:rPr>
          <w:rFonts w:asciiTheme="minorHAnsi" w:hAnsiTheme="minorHAnsi" w:cstheme="minorHAnsi"/>
          <w:sz w:val="24"/>
          <w:szCs w:val="24"/>
        </w:rPr>
        <w:t xml:space="preserve"> the prevalence in Western countries is reported as up to three percent (</w:t>
      </w:r>
      <w:r w:rsidR="00871CAA">
        <w:rPr>
          <w:rFonts w:asciiTheme="minorHAnsi" w:hAnsiTheme="minorHAnsi" w:cstheme="minorHAnsi"/>
          <w:sz w:val="24"/>
          <w:szCs w:val="24"/>
        </w:rPr>
        <w:t>Australian Institute of Health and Welfare,</w:t>
      </w:r>
      <w:r w:rsidRPr="00871CAA">
        <w:rPr>
          <w:rFonts w:asciiTheme="minorHAnsi" w:hAnsiTheme="minorHAnsi" w:cstheme="minorHAnsi"/>
          <w:sz w:val="24"/>
          <w:szCs w:val="24"/>
        </w:rPr>
        <w:t xml:space="preserve"> 2020; Cleaton</w:t>
      </w:r>
      <w:r w:rsidR="00871CAA">
        <w:rPr>
          <w:rFonts w:asciiTheme="minorHAnsi" w:hAnsiTheme="minorHAnsi" w:cstheme="minorHAnsi"/>
          <w:sz w:val="24"/>
          <w:szCs w:val="24"/>
        </w:rPr>
        <w:t xml:space="preserve"> &amp; Kirby,</w:t>
      </w:r>
      <w:r w:rsidRPr="00871CAA">
        <w:rPr>
          <w:rFonts w:asciiTheme="minorHAnsi" w:hAnsiTheme="minorHAnsi" w:cstheme="minorHAnsi"/>
          <w:sz w:val="24"/>
          <w:szCs w:val="24"/>
        </w:rPr>
        <w:t xml:space="preserve"> 2018; Mencap</w:t>
      </w:r>
      <w:r w:rsidR="00871CAA">
        <w:rPr>
          <w:rFonts w:asciiTheme="minorHAnsi" w:hAnsiTheme="minorHAnsi" w:cstheme="minorHAnsi"/>
          <w:sz w:val="24"/>
          <w:szCs w:val="24"/>
        </w:rPr>
        <w:t>,</w:t>
      </w:r>
      <w:r w:rsidRPr="00871CAA">
        <w:rPr>
          <w:rFonts w:asciiTheme="minorHAnsi" w:hAnsiTheme="minorHAnsi" w:cstheme="minorHAnsi"/>
          <w:sz w:val="24"/>
          <w:szCs w:val="24"/>
        </w:rPr>
        <w:t xml:space="preserve"> 2019). </w:t>
      </w:r>
    </w:p>
    <w:p w14:paraId="128665B8" w14:textId="2D1A022C" w:rsidR="00A17B0F" w:rsidRPr="00F140C7" w:rsidRDefault="00A17B0F" w:rsidP="00DF4328">
      <w:pPr>
        <w:spacing w:before="120" w:after="120" w:line="360" w:lineRule="auto"/>
        <w:rPr>
          <w:rFonts w:asciiTheme="minorHAnsi" w:hAnsiTheme="minorHAnsi" w:cstheme="minorHAnsi"/>
          <w:sz w:val="24"/>
          <w:szCs w:val="24"/>
        </w:rPr>
      </w:pPr>
      <w:r w:rsidRPr="00F140C7">
        <w:rPr>
          <w:rFonts w:asciiTheme="minorHAnsi" w:hAnsiTheme="minorHAnsi" w:cstheme="minorHAnsi"/>
          <w:sz w:val="24"/>
          <w:szCs w:val="24"/>
        </w:rPr>
        <w:t>Behaviours of concern are more prevalent in peo</w:t>
      </w:r>
      <w:r w:rsidR="00902FBA">
        <w:rPr>
          <w:rFonts w:asciiTheme="minorHAnsi" w:hAnsiTheme="minorHAnsi" w:cstheme="minorHAnsi"/>
          <w:sz w:val="24"/>
          <w:szCs w:val="24"/>
        </w:rPr>
        <w:t xml:space="preserve">ple with ASD or dual diagnoses of ASD </w:t>
      </w:r>
      <w:r w:rsidR="004F1481">
        <w:rPr>
          <w:rFonts w:asciiTheme="minorHAnsi" w:hAnsiTheme="minorHAnsi" w:cstheme="minorHAnsi"/>
          <w:sz w:val="24"/>
          <w:szCs w:val="24"/>
        </w:rPr>
        <w:t xml:space="preserve">and </w:t>
      </w:r>
      <w:r w:rsidR="004F1481" w:rsidRPr="00F140C7">
        <w:rPr>
          <w:rFonts w:asciiTheme="minorHAnsi" w:hAnsiTheme="minorHAnsi" w:cstheme="minorHAnsi"/>
          <w:sz w:val="24"/>
          <w:szCs w:val="24"/>
        </w:rPr>
        <w:t>intellectual</w:t>
      </w:r>
      <w:r w:rsidRPr="00F140C7">
        <w:rPr>
          <w:rFonts w:asciiTheme="minorHAnsi" w:hAnsiTheme="minorHAnsi" w:cstheme="minorHAnsi"/>
          <w:sz w:val="24"/>
          <w:szCs w:val="24"/>
        </w:rPr>
        <w:t xml:space="preserve"> disability compared to typically developing peers </w:t>
      </w:r>
      <w:r w:rsidRPr="00871CAA">
        <w:rPr>
          <w:rFonts w:asciiTheme="minorHAnsi" w:hAnsiTheme="minorHAnsi" w:cstheme="minorHAnsi"/>
          <w:sz w:val="24"/>
          <w:szCs w:val="24"/>
        </w:rPr>
        <w:t>(</w:t>
      </w:r>
      <w:r w:rsidR="00871CAA" w:rsidRPr="00871CAA">
        <w:rPr>
          <w:rFonts w:asciiTheme="minorHAnsi" w:hAnsiTheme="minorHAnsi" w:cstheme="minorHAnsi"/>
          <w:sz w:val="24"/>
          <w:szCs w:val="24"/>
        </w:rPr>
        <w:t xml:space="preserve">National Institute for Health and Care Excellence, </w:t>
      </w:r>
      <w:r w:rsidRPr="00F140C7">
        <w:rPr>
          <w:rFonts w:asciiTheme="minorHAnsi" w:hAnsiTheme="minorHAnsi" w:cstheme="minorHAnsi"/>
          <w:sz w:val="24"/>
          <w:szCs w:val="24"/>
        </w:rPr>
        <w:t xml:space="preserve">2015; Rzepecka </w:t>
      </w:r>
      <w:r w:rsidR="0066412C">
        <w:rPr>
          <w:rFonts w:asciiTheme="minorHAnsi" w:hAnsiTheme="minorHAnsi" w:cstheme="minorHAnsi"/>
          <w:sz w:val="24"/>
          <w:szCs w:val="24"/>
        </w:rPr>
        <w:t xml:space="preserve">et al., </w:t>
      </w:r>
      <w:r w:rsidRPr="00F140C7">
        <w:rPr>
          <w:rFonts w:asciiTheme="minorHAnsi" w:hAnsiTheme="minorHAnsi" w:cstheme="minorHAnsi"/>
          <w:sz w:val="24"/>
          <w:szCs w:val="24"/>
        </w:rPr>
        <w:t>2011) with estimates of between 5 and 15% (</w:t>
      </w:r>
      <w:r w:rsidR="00871CAA" w:rsidRPr="00871CAA">
        <w:rPr>
          <w:rFonts w:asciiTheme="minorHAnsi" w:hAnsiTheme="minorHAnsi" w:cstheme="minorHAnsi"/>
          <w:sz w:val="24"/>
          <w:szCs w:val="24"/>
        </w:rPr>
        <w:t>National Institute for Health and Care Excellence,</w:t>
      </w:r>
      <w:r w:rsidRPr="00F140C7">
        <w:rPr>
          <w:rFonts w:asciiTheme="minorHAnsi" w:hAnsiTheme="minorHAnsi" w:cstheme="minorHAnsi"/>
          <w:sz w:val="24"/>
          <w:szCs w:val="24"/>
        </w:rPr>
        <w:t xml:space="preserve"> 2015; Oliphant </w:t>
      </w:r>
      <w:r w:rsidR="0066412C">
        <w:rPr>
          <w:rFonts w:asciiTheme="minorHAnsi" w:hAnsiTheme="minorHAnsi" w:cstheme="minorHAnsi"/>
          <w:sz w:val="24"/>
          <w:szCs w:val="24"/>
        </w:rPr>
        <w:t xml:space="preserve">et al., </w:t>
      </w:r>
      <w:r w:rsidRPr="00F140C7">
        <w:rPr>
          <w:rFonts w:asciiTheme="minorHAnsi" w:hAnsiTheme="minorHAnsi" w:cstheme="minorHAnsi"/>
          <w:sz w:val="24"/>
          <w:szCs w:val="24"/>
        </w:rPr>
        <w:t xml:space="preserve">2020). </w:t>
      </w:r>
      <w:r w:rsidRPr="00A5769B">
        <w:rPr>
          <w:rFonts w:asciiTheme="minorHAnsi" w:hAnsiTheme="minorHAnsi" w:cstheme="minorHAnsi"/>
          <w:sz w:val="24"/>
          <w:szCs w:val="24"/>
        </w:rPr>
        <w:t>The behaviours which are most commonly considered concerning are irritability, aggression, and self-injury (</w:t>
      </w:r>
      <w:r w:rsidRPr="001A548B">
        <w:rPr>
          <w:rFonts w:asciiTheme="minorHAnsi" w:hAnsiTheme="minorHAnsi" w:cstheme="minorHAnsi"/>
          <w:sz w:val="24"/>
          <w:szCs w:val="24"/>
        </w:rPr>
        <w:t>Lecavalier</w:t>
      </w:r>
      <w:r w:rsidR="00871CAA">
        <w:rPr>
          <w:rFonts w:asciiTheme="minorHAnsi" w:hAnsiTheme="minorHAnsi" w:cstheme="minorHAnsi"/>
          <w:sz w:val="24"/>
          <w:szCs w:val="24"/>
        </w:rPr>
        <w:t>,</w:t>
      </w:r>
      <w:r w:rsidRPr="001A548B">
        <w:rPr>
          <w:rFonts w:asciiTheme="minorHAnsi" w:hAnsiTheme="minorHAnsi" w:cstheme="minorHAnsi"/>
          <w:sz w:val="24"/>
          <w:szCs w:val="24"/>
        </w:rPr>
        <w:t xml:space="preserve"> 2006</w:t>
      </w:r>
      <w:r>
        <w:rPr>
          <w:rFonts w:asciiTheme="minorHAnsi" w:hAnsiTheme="minorHAnsi" w:cstheme="minorHAnsi"/>
          <w:sz w:val="24"/>
          <w:szCs w:val="24"/>
        </w:rPr>
        <w:t>). T</w:t>
      </w:r>
      <w:r w:rsidRPr="00F140C7">
        <w:rPr>
          <w:rFonts w:asciiTheme="minorHAnsi" w:hAnsiTheme="minorHAnsi" w:cstheme="minorHAnsi"/>
          <w:sz w:val="24"/>
          <w:szCs w:val="24"/>
        </w:rPr>
        <w:t>he likelihood and severity of behaviours of concern</w:t>
      </w:r>
      <w:r w:rsidR="00DF4328">
        <w:rPr>
          <w:rFonts w:asciiTheme="minorHAnsi" w:hAnsiTheme="minorHAnsi" w:cstheme="minorHAnsi"/>
          <w:sz w:val="24"/>
          <w:szCs w:val="24"/>
        </w:rPr>
        <w:t xml:space="preserve"> is also </w:t>
      </w:r>
      <w:r>
        <w:rPr>
          <w:rFonts w:asciiTheme="minorHAnsi" w:hAnsiTheme="minorHAnsi" w:cstheme="minorHAnsi"/>
          <w:sz w:val="24"/>
          <w:szCs w:val="24"/>
        </w:rPr>
        <w:t>increased by</w:t>
      </w:r>
      <w:r w:rsidRPr="00F140C7">
        <w:rPr>
          <w:rFonts w:asciiTheme="minorHAnsi" w:hAnsiTheme="minorHAnsi" w:cstheme="minorHAnsi"/>
          <w:sz w:val="24"/>
          <w:szCs w:val="24"/>
        </w:rPr>
        <w:t xml:space="preserve"> </w:t>
      </w:r>
      <w:r>
        <w:rPr>
          <w:rFonts w:asciiTheme="minorHAnsi" w:hAnsiTheme="minorHAnsi" w:cstheme="minorHAnsi"/>
          <w:sz w:val="24"/>
          <w:szCs w:val="24"/>
        </w:rPr>
        <w:t xml:space="preserve">the </w:t>
      </w:r>
      <w:r w:rsidRPr="00F140C7">
        <w:rPr>
          <w:rFonts w:asciiTheme="minorHAnsi" w:hAnsiTheme="minorHAnsi" w:cstheme="minorHAnsi"/>
          <w:sz w:val="24"/>
          <w:szCs w:val="24"/>
        </w:rPr>
        <w:t xml:space="preserve">severity of ASD </w:t>
      </w:r>
      <w:r>
        <w:rPr>
          <w:rFonts w:asciiTheme="minorHAnsi" w:hAnsiTheme="minorHAnsi" w:cstheme="minorHAnsi"/>
          <w:sz w:val="24"/>
          <w:szCs w:val="24"/>
        </w:rPr>
        <w:t xml:space="preserve">(Emerson </w:t>
      </w:r>
      <w:r w:rsidR="0066412C">
        <w:rPr>
          <w:rFonts w:asciiTheme="minorHAnsi" w:hAnsiTheme="minorHAnsi" w:cstheme="minorHAnsi"/>
          <w:sz w:val="24"/>
          <w:szCs w:val="24"/>
        </w:rPr>
        <w:t xml:space="preserve">et al., </w:t>
      </w:r>
      <w:r>
        <w:rPr>
          <w:rFonts w:asciiTheme="minorHAnsi" w:hAnsiTheme="minorHAnsi" w:cstheme="minorHAnsi"/>
          <w:sz w:val="24"/>
          <w:szCs w:val="24"/>
        </w:rPr>
        <w:t>2000; Matson</w:t>
      </w:r>
      <w:r w:rsidR="00871CAA">
        <w:rPr>
          <w:rFonts w:asciiTheme="minorHAnsi" w:hAnsiTheme="minorHAnsi" w:cstheme="minorHAnsi"/>
          <w:sz w:val="24"/>
          <w:szCs w:val="24"/>
        </w:rPr>
        <w:t xml:space="preserve"> et al.,</w:t>
      </w:r>
      <w:r>
        <w:rPr>
          <w:rFonts w:asciiTheme="minorHAnsi" w:hAnsiTheme="minorHAnsi" w:cstheme="minorHAnsi"/>
          <w:sz w:val="24"/>
          <w:szCs w:val="24"/>
        </w:rPr>
        <w:t xml:space="preserve"> 2008)</w:t>
      </w:r>
      <w:r w:rsidRPr="00F140C7">
        <w:rPr>
          <w:rFonts w:asciiTheme="minorHAnsi" w:hAnsiTheme="minorHAnsi" w:cstheme="minorHAnsi"/>
          <w:sz w:val="24"/>
          <w:szCs w:val="24"/>
        </w:rPr>
        <w:t xml:space="preserve">. </w:t>
      </w:r>
    </w:p>
    <w:p w14:paraId="101CCDC4" w14:textId="2A54645F" w:rsidR="00C31D2B" w:rsidRPr="00C31D2B" w:rsidRDefault="00C31D2B" w:rsidP="00DF4328">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Seizures associated with epilepsy are caused by abnormal and asynchronous firing of neurons (nerve cells) which usually end abruptly (</w:t>
      </w:r>
      <w:r w:rsidR="00DF4328">
        <w:rPr>
          <w:rFonts w:asciiTheme="minorHAnsi" w:hAnsiTheme="minorHAnsi" w:cstheme="minorHAnsi"/>
          <w:sz w:val="24"/>
          <w:szCs w:val="24"/>
        </w:rPr>
        <w:t>DeLorenzo</w:t>
      </w:r>
      <w:r w:rsidR="00871CAA">
        <w:rPr>
          <w:rFonts w:asciiTheme="minorHAnsi" w:hAnsiTheme="minorHAnsi" w:cstheme="minorHAnsi"/>
          <w:sz w:val="24"/>
          <w:szCs w:val="24"/>
        </w:rPr>
        <w:t xml:space="preserve"> et al.,</w:t>
      </w:r>
      <w:r w:rsidR="00DF4328">
        <w:rPr>
          <w:rFonts w:asciiTheme="minorHAnsi" w:hAnsiTheme="minorHAnsi" w:cstheme="minorHAnsi"/>
          <w:sz w:val="24"/>
          <w:szCs w:val="24"/>
        </w:rPr>
        <w:t xml:space="preserve"> 2005; Geiger</w:t>
      </w:r>
      <w:r w:rsidR="00871CAA">
        <w:rPr>
          <w:rFonts w:asciiTheme="minorHAnsi" w:hAnsiTheme="minorHAnsi" w:cstheme="minorHAnsi"/>
          <w:sz w:val="24"/>
          <w:szCs w:val="24"/>
        </w:rPr>
        <w:t xml:space="preserve"> et al.,</w:t>
      </w:r>
      <w:r w:rsidR="00DF4328">
        <w:rPr>
          <w:rFonts w:asciiTheme="minorHAnsi" w:hAnsiTheme="minorHAnsi" w:cstheme="minorHAnsi"/>
          <w:sz w:val="24"/>
          <w:szCs w:val="24"/>
        </w:rPr>
        <w:t xml:space="preserve"> 2011; </w:t>
      </w:r>
      <w:r w:rsidR="0066412C" w:rsidRPr="00652006">
        <w:rPr>
          <w:rFonts w:asciiTheme="minorHAnsi" w:eastAsia="Times New Roman" w:hAnsiTheme="minorHAnsi" w:cstheme="minorHAnsi"/>
          <w:color w:val="3A3A3A"/>
          <w:lang w:eastAsia="en-AU"/>
        </w:rPr>
        <w:t>Kusmakar</w:t>
      </w:r>
      <w:r w:rsidR="0066412C" w:rsidRPr="00C31D2B">
        <w:rPr>
          <w:rFonts w:asciiTheme="minorHAnsi" w:hAnsiTheme="minorHAnsi" w:cstheme="minorHAnsi"/>
          <w:sz w:val="24"/>
          <w:szCs w:val="24"/>
        </w:rPr>
        <w:t xml:space="preserve"> </w:t>
      </w:r>
      <w:r w:rsidR="0066412C">
        <w:rPr>
          <w:rFonts w:asciiTheme="minorHAnsi" w:hAnsiTheme="minorHAnsi" w:cstheme="minorHAnsi"/>
          <w:sz w:val="24"/>
          <w:szCs w:val="24"/>
        </w:rPr>
        <w:t xml:space="preserve">et al., </w:t>
      </w:r>
      <w:r w:rsidRPr="00C31D2B">
        <w:rPr>
          <w:rFonts w:asciiTheme="minorHAnsi" w:hAnsiTheme="minorHAnsi" w:cstheme="minorHAnsi"/>
          <w:sz w:val="24"/>
          <w:szCs w:val="24"/>
        </w:rPr>
        <w:t>2018</w:t>
      </w:r>
      <w:r w:rsidR="00882A2A">
        <w:rPr>
          <w:rFonts w:asciiTheme="minorHAnsi" w:hAnsiTheme="minorHAnsi" w:cstheme="minorHAnsi"/>
          <w:sz w:val="24"/>
          <w:szCs w:val="24"/>
        </w:rPr>
        <w:t>; Proix</w:t>
      </w:r>
      <w:r w:rsidR="00635ABE">
        <w:rPr>
          <w:rFonts w:asciiTheme="minorHAnsi" w:hAnsiTheme="minorHAnsi" w:cstheme="minorHAnsi"/>
          <w:sz w:val="24"/>
          <w:szCs w:val="24"/>
        </w:rPr>
        <w:t xml:space="preserve"> et al.,</w:t>
      </w:r>
      <w:r w:rsidR="00882A2A">
        <w:rPr>
          <w:rFonts w:asciiTheme="minorHAnsi" w:hAnsiTheme="minorHAnsi" w:cstheme="minorHAnsi"/>
          <w:sz w:val="24"/>
          <w:szCs w:val="24"/>
        </w:rPr>
        <w:t xml:space="preserve"> 2018</w:t>
      </w:r>
      <w:r w:rsidRPr="00C31D2B">
        <w:rPr>
          <w:rFonts w:asciiTheme="minorHAnsi" w:hAnsiTheme="minorHAnsi" w:cstheme="minorHAnsi"/>
          <w:sz w:val="24"/>
          <w:szCs w:val="24"/>
        </w:rPr>
        <w:t>).</w:t>
      </w:r>
      <w:r w:rsidR="00DF4328">
        <w:rPr>
          <w:rFonts w:asciiTheme="minorHAnsi" w:hAnsiTheme="minorHAnsi" w:cstheme="minorHAnsi"/>
          <w:sz w:val="24"/>
          <w:szCs w:val="24"/>
        </w:rPr>
        <w:t xml:space="preserve"> </w:t>
      </w:r>
      <w:r w:rsidRPr="00C31D2B">
        <w:rPr>
          <w:rFonts w:asciiTheme="minorHAnsi" w:hAnsiTheme="minorHAnsi" w:cstheme="minorHAnsi"/>
          <w:sz w:val="24"/>
          <w:szCs w:val="24"/>
        </w:rPr>
        <w:t>Anticonvulsants are the pharmacological interven</w:t>
      </w:r>
      <w:r w:rsidR="002702B7">
        <w:rPr>
          <w:rFonts w:asciiTheme="minorHAnsi" w:hAnsiTheme="minorHAnsi" w:cstheme="minorHAnsi"/>
          <w:sz w:val="24"/>
          <w:szCs w:val="24"/>
        </w:rPr>
        <w:t xml:space="preserve">tions used to reduce </w:t>
      </w:r>
      <w:r w:rsidRPr="00C31D2B">
        <w:rPr>
          <w:rFonts w:asciiTheme="minorHAnsi" w:hAnsiTheme="minorHAnsi" w:cstheme="minorHAnsi"/>
          <w:sz w:val="24"/>
          <w:szCs w:val="24"/>
        </w:rPr>
        <w:t>seizures</w:t>
      </w:r>
      <w:r w:rsidR="006B330D">
        <w:rPr>
          <w:rFonts w:asciiTheme="minorHAnsi" w:hAnsiTheme="minorHAnsi" w:cstheme="minorHAnsi"/>
          <w:sz w:val="24"/>
          <w:szCs w:val="24"/>
        </w:rPr>
        <w:t xml:space="preserve"> </w:t>
      </w:r>
      <w:r w:rsidR="006B330D" w:rsidRPr="006B330D">
        <w:rPr>
          <w:rFonts w:asciiTheme="minorHAnsi" w:hAnsiTheme="minorHAnsi" w:cstheme="minorHAnsi"/>
          <w:sz w:val="24"/>
          <w:szCs w:val="24"/>
        </w:rPr>
        <w:t>(</w:t>
      </w:r>
      <w:r w:rsidR="006B330D" w:rsidRPr="006B330D">
        <w:rPr>
          <w:rFonts w:asciiTheme="minorHAnsi" w:hAnsiTheme="minorHAnsi" w:cstheme="minorHAnsi"/>
          <w:color w:val="000000"/>
          <w:sz w:val="24"/>
          <w:szCs w:val="24"/>
          <w:shd w:val="clear" w:color="auto" w:fill="FFFFFF"/>
        </w:rPr>
        <w:t>Wlodarczyk</w:t>
      </w:r>
      <w:r w:rsidR="00635ABE">
        <w:rPr>
          <w:rFonts w:asciiTheme="minorHAnsi" w:hAnsiTheme="minorHAnsi" w:cstheme="minorHAnsi"/>
          <w:color w:val="000000"/>
          <w:sz w:val="24"/>
          <w:szCs w:val="24"/>
          <w:shd w:val="clear" w:color="auto" w:fill="FFFFFF"/>
        </w:rPr>
        <w:t xml:space="preserve"> et al.,</w:t>
      </w:r>
      <w:r w:rsidR="006B330D" w:rsidRPr="006B330D">
        <w:rPr>
          <w:rFonts w:asciiTheme="minorHAnsi" w:hAnsiTheme="minorHAnsi" w:cstheme="minorHAnsi"/>
          <w:sz w:val="24"/>
          <w:szCs w:val="24"/>
        </w:rPr>
        <w:t xml:space="preserve"> 2012</w:t>
      </w:r>
      <w:r w:rsidR="00BC079D">
        <w:rPr>
          <w:rFonts w:asciiTheme="minorHAnsi" w:hAnsiTheme="minorHAnsi" w:cstheme="minorHAnsi"/>
          <w:sz w:val="24"/>
          <w:szCs w:val="24"/>
        </w:rPr>
        <w:t xml:space="preserve">; </w:t>
      </w:r>
      <w:r w:rsidR="00BC079D" w:rsidRPr="00BC079D">
        <w:rPr>
          <w:rFonts w:asciiTheme="minorHAnsi" w:hAnsiTheme="minorHAnsi" w:cstheme="minorHAnsi"/>
          <w:sz w:val="24"/>
          <w:szCs w:val="24"/>
        </w:rPr>
        <w:t>Wassenaar</w:t>
      </w:r>
      <w:r w:rsidR="00635ABE">
        <w:rPr>
          <w:rFonts w:asciiTheme="minorHAnsi" w:hAnsiTheme="minorHAnsi" w:cstheme="minorHAnsi"/>
          <w:sz w:val="24"/>
          <w:szCs w:val="24"/>
        </w:rPr>
        <w:t xml:space="preserve"> et al.,</w:t>
      </w:r>
      <w:r w:rsidR="00BC079D" w:rsidRPr="00BC079D">
        <w:rPr>
          <w:rFonts w:asciiTheme="minorHAnsi" w:hAnsiTheme="minorHAnsi" w:cstheme="minorHAnsi"/>
          <w:sz w:val="24"/>
          <w:szCs w:val="24"/>
        </w:rPr>
        <w:t xml:space="preserve"> 2013</w:t>
      </w:r>
      <w:r w:rsidR="00BC079D">
        <w:rPr>
          <w:rFonts w:asciiTheme="minorHAnsi" w:hAnsiTheme="minorHAnsi" w:cstheme="minorHAnsi"/>
          <w:sz w:val="24"/>
          <w:szCs w:val="24"/>
        </w:rPr>
        <w:t>)</w:t>
      </w:r>
      <w:r w:rsidRPr="006B330D">
        <w:rPr>
          <w:rFonts w:asciiTheme="minorHAnsi" w:hAnsiTheme="minorHAnsi" w:cstheme="minorHAnsi"/>
          <w:sz w:val="24"/>
          <w:szCs w:val="24"/>
        </w:rPr>
        <w:t>.</w:t>
      </w:r>
      <w:r w:rsidRPr="00C31D2B">
        <w:rPr>
          <w:rFonts w:asciiTheme="minorHAnsi" w:hAnsiTheme="minorHAnsi" w:cstheme="minorHAnsi"/>
          <w:sz w:val="24"/>
          <w:szCs w:val="24"/>
        </w:rPr>
        <w:t xml:space="preserve"> Most anticonvulsants such as carbamazepine, phenobarbital and valproate block voltage</w:t>
      </w:r>
      <w:r w:rsidR="00635ABE">
        <w:rPr>
          <w:rFonts w:asciiTheme="minorHAnsi" w:hAnsiTheme="minorHAnsi" w:cstheme="minorHAnsi"/>
          <w:sz w:val="24"/>
          <w:szCs w:val="24"/>
        </w:rPr>
        <w:t>-gated sodium channels (Verrotti et al., 2009</w:t>
      </w:r>
      <w:r w:rsidRPr="00C31D2B">
        <w:rPr>
          <w:rFonts w:asciiTheme="minorHAnsi" w:hAnsiTheme="minorHAnsi" w:cstheme="minorHAnsi"/>
          <w:sz w:val="24"/>
          <w:szCs w:val="24"/>
        </w:rPr>
        <w:t>) to reduce the firing of neurons</w:t>
      </w:r>
      <w:r w:rsidR="00635ABE">
        <w:rPr>
          <w:rFonts w:asciiTheme="minorHAnsi" w:hAnsiTheme="minorHAnsi" w:cstheme="minorHAnsi"/>
          <w:sz w:val="24"/>
          <w:szCs w:val="24"/>
        </w:rPr>
        <w:t>. Some anticonvulsants such as L</w:t>
      </w:r>
      <w:r w:rsidRPr="00C31D2B">
        <w:rPr>
          <w:rFonts w:asciiTheme="minorHAnsi" w:hAnsiTheme="minorHAnsi" w:cstheme="minorHAnsi"/>
          <w:sz w:val="24"/>
          <w:szCs w:val="24"/>
        </w:rPr>
        <w:t>evite</w:t>
      </w:r>
      <w:r w:rsidR="005046E0">
        <w:rPr>
          <w:rFonts w:asciiTheme="minorHAnsi" w:hAnsiTheme="minorHAnsi" w:cstheme="minorHAnsi"/>
          <w:sz w:val="24"/>
          <w:szCs w:val="24"/>
        </w:rPr>
        <w:t>racetam, topiramate or v</w:t>
      </w:r>
      <w:r w:rsidRPr="00C31D2B">
        <w:rPr>
          <w:rFonts w:asciiTheme="minorHAnsi" w:hAnsiTheme="minorHAnsi" w:cstheme="minorHAnsi"/>
          <w:sz w:val="24"/>
          <w:szCs w:val="24"/>
        </w:rPr>
        <w:t>alproate also have a role in the release or modulation of the inhibitory neurotransmitter GABA (</w:t>
      </w:r>
      <w:r w:rsidR="00635ABE" w:rsidRPr="00057382">
        <w:rPr>
          <w:rFonts w:asciiTheme="minorHAnsi" w:hAnsiTheme="minorHAnsi" w:cstheme="minorHAnsi"/>
        </w:rPr>
        <w:t>Cortes-Altamirano</w:t>
      </w:r>
      <w:r w:rsidR="00635ABE">
        <w:rPr>
          <w:rFonts w:asciiTheme="minorHAnsi" w:hAnsiTheme="minorHAnsi" w:cstheme="minorHAnsi"/>
          <w:sz w:val="24"/>
          <w:szCs w:val="24"/>
        </w:rPr>
        <w:t xml:space="preserve"> et al., </w:t>
      </w:r>
      <w:r w:rsidR="00D9513C" w:rsidRPr="00C31D2B">
        <w:rPr>
          <w:rFonts w:asciiTheme="minorHAnsi" w:hAnsiTheme="minorHAnsi" w:cstheme="minorHAnsi"/>
          <w:sz w:val="24"/>
          <w:szCs w:val="24"/>
        </w:rPr>
        <w:t>2016</w:t>
      </w:r>
      <w:r w:rsidRPr="00C31D2B">
        <w:rPr>
          <w:rFonts w:asciiTheme="minorHAnsi" w:hAnsiTheme="minorHAnsi" w:cstheme="minorHAnsi"/>
          <w:sz w:val="24"/>
          <w:szCs w:val="24"/>
        </w:rPr>
        <w:t xml:space="preserve">) thereby decreasing the speed and firing of neurons. </w:t>
      </w:r>
    </w:p>
    <w:p w14:paraId="16E76101" w14:textId="3FA3D589" w:rsidR="00DE6CE1" w:rsidRPr="00A5769B" w:rsidRDefault="00325F75" w:rsidP="00DF4328">
      <w:pPr>
        <w:spacing w:before="120" w:after="120" w:line="360" w:lineRule="auto"/>
        <w:rPr>
          <w:rFonts w:asciiTheme="minorHAnsi" w:hAnsiTheme="minorHAnsi" w:cstheme="minorHAnsi"/>
          <w:sz w:val="24"/>
          <w:szCs w:val="24"/>
        </w:rPr>
      </w:pPr>
      <w:r w:rsidRPr="00276170">
        <w:rPr>
          <w:rFonts w:asciiTheme="minorHAnsi" w:hAnsiTheme="minorHAnsi" w:cstheme="minorHAnsi"/>
          <w:sz w:val="24"/>
          <w:szCs w:val="24"/>
        </w:rPr>
        <w:t xml:space="preserve">Epilepsy is more prevalent among people </w:t>
      </w:r>
      <w:r w:rsidR="00D9513C">
        <w:rPr>
          <w:rFonts w:asciiTheme="minorHAnsi" w:hAnsiTheme="minorHAnsi" w:cstheme="minorHAnsi"/>
          <w:sz w:val="24"/>
          <w:szCs w:val="24"/>
        </w:rPr>
        <w:t xml:space="preserve">with </w:t>
      </w:r>
      <w:r w:rsidRPr="00276170">
        <w:rPr>
          <w:rFonts w:asciiTheme="minorHAnsi" w:hAnsiTheme="minorHAnsi" w:cstheme="minorHAnsi"/>
          <w:sz w:val="24"/>
          <w:szCs w:val="24"/>
        </w:rPr>
        <w:t xml:space="preserve">ASD compared to the general population, </w:t>
      </w:r>
      <w:r w:rsidR="00D9513C">
        <w:rPr>
          <w:rFonts w:asciiTheme="minorHAnsi" w:hAnsiTheme="minorHAnsi" w:cstheme="minorHAnsi"/>
          <w:sz w:val="24"/>
          <w:szCs w:val="24"/>
        </w:rPr>
        <w:t>with lar</w:t>
      </w:r>
      <w:r w:rsidR="003E3447">
        <w:rPr>
          <w:rFonts w:asciiTheme="minorHAnsi" w:hAnsiTheme="minorHAnsi" w:cstheme="minorHAnsi"/>
          <w:sz w:val="24"/>
          <w:szCs w:val="24"/>
        </w:rPr>
        <w:t>ge-scale studies indicating between a 4</w:t>
      </w:r>
      <w:r w:rsidR="00F96FF9">
        <w:rPr>
          <w:rFonts w:asciiTheme="minorHAnsi" w:hAnsiTheme="minorHAnsi" w:cstheme="minorHAnsi"/>
          <w:sz w:val="24"/>
          <w:szCs w:val="24"/>
        </w:rPr>
        <w:t>-fold and 8</w:t>
      </w:r>
      <w:r w:rsidR="003E3447">
        <w:rPr>
          <w:rFonts w:asciiTheme="minorHAnsi" w:hAnsiTheme="minorHAnsi" w:cstheme="minorHAnsi"/>
          <w:sz w:val="24"/>
          <w:szCs w:val="24"/>
        </w:rPr>
        <w:t>-fold increased prevalence</w:t>
      </w:r>
      <w:r w:rsidR="00D9513C">
        <w:rPr>
          <w:rFonts w:asciiTheme="minorHAnsi" w:hAnsiTheme="minorHAnsi" w:cstheme="minorHAnsi"/>
          <w:sz w:val="24"/>
          <w:szCs w:val="24"/>
        </w:rPr>
        <w:t xml:space="preserve"> of epilepsy among people with ASD compared to the general population (Chen</w:t>
      </w:r>
      <w:r w:rsidR="00635ABE">
        <w:rPr>
          <w:rFonts w:asciiTheme="minorHAnsi" w:hAnsiTheme="minorHAnsi" w:cstheme="minorHAnsi"/>
          <w:sz w:val="24"/>
          <w:szCs w:val="24"/>
        </w:rPr>
        <w:t xml:space="preserve"> et al.,</w:t>
      </w:r>
      <w:r w:rsidR="00D9513C">
        <w:rPr>
          <w:rFonts w:asciiTheme="minorHAnsi" w:hAnsiTheme="minorHAnsi" w:cstheme="minorHAnsi"/>
          <w:sz w:val="24"/>
          <w:szCs w:val="24"/>
        </w:rPr>
        <w:t xml:space="preserve"> 2009; </w:t>
      </w:r>
      <w:r w:rsidR="00635ABE" w:rsidRPr="00057382">
        <w:rPr>
          <w:rFonts w:asciiTheme="minorHAnsi" w:hAnsiTheme="minorHAnsi" w:cstheme="minorHAnsi"/>
        </w:rPr>
        <w:t>Schendel</w:t>
      </w:r>
      <w:r w:rsidR="00635ABE">
        <w:rPr>
          <w:rFonts w:asciiTheme="minorHAnsi" w:hAnsiTheme="minorHAnsi" w:cstheme="minorHAnsi"/>
          <w:sz w:val="24"/>
          <w:szCs w:val="24"/>
        </w:rPr>
        <w:t xml:space="preserve"> et al., </w:t>
      </w:r>
      <w:r w:rsidR="00D9513C">
        <w:rPr>
          <w:rFonts w:asciiTheme="minorHAnsi" w:hAnsiTheme="minorHAnsi" w:cstheme="minorHAnsi"/>
          <w:sz w:val="24"/>
          <w:szCs w:val="24"/>
        </w:rPr>
        <w:t>2016; Thomas</w:t>
      </w:r>
      <w:r w:rsidR="00635ABE">
        <w:rPr>
          <w:rFonts w:asciiTheme="minorHAnsi" w:hAnsiTheme="minorHAnsi" w:cstheme="minorHAnsi"/>
          <w:sz w:val="24"/>
          <w:szCs w:val="24"/>
        </w:rPr>
        <w:t xml:space="preserve"> et al.,</w:t>
      </w:r>
      <w:r w:rsidR="00D9513C">
        <w:rPr>
          <w:rFonts w:asciiTheme="minorHAnsi" w:hAnsiTheme="minorHAnsi" w:cstheme="minorHAnsi"/>
          <w:sz w:val="24"/>
          <w:szCs w:val="24"/>
        </w:rPr>
        <w:t xml:space="preserve"> 2016</w:t>
      </w:r>
      <w:r w:rsidR="00441CDD">
        <w:rPr>
          <w:rFonts w:asciiTheme="minorHAnsi" w:hAnsiTheme="minorHAnsi" w:cstheme="minorHAnsi"/>
          <w:sz w:val="24"/>
          <w:szCs w:val="24"/>
        </w:rPr>
        <w:t>; Vohra</w:t>
      </w:r>
      <w:r w:rsidR="00635ABE">
        <w:rPr>
          <w:rFonts w:asciiTheme="minorHAnsi" w:hAnsiTheme="minorHAnsi" w:cstheme="minorHAnsi"/>
          <w:sz w:val="24"/>
          <w:szCs w:val="24"/>
        </w:rPr>
        <w:t xml:space="preserve"> et al.,</w:t>
      </w:r>
      <w:r w:rsidR="00441CDD">
        <w:rPr>
          <w:rFonts w:asciiTheme="minorHAnsi" w:hAnsiTheme="minorHAnsi" w:cstheme="minorHAnsi"/>
          <w:sz w:val="24"/>
          <w:szCs w:val="24"/>
        </w:rPr>
        <w:t xml:space="preserve"> 2017</w:t>
      </w:r>
      <w:r w:rsidR="004F1481">
        <w:rPr>
          <w:rFonts w:asciiTheme="minorHAnsi" w:hAnsiTheme="minorHAnsi" w:cstheme="minorHAnsi"/>
          <w:sz w:val="24"/>
          <w:szCs w:val="24"/>
        </w:rPr>
        <w:t>). However, a</w:t>
      </w:r>
      <w:r w:rsidR="00662265">
        <w:rPr>
          <w:rFonts w:asciiTheme="minorHAnsi" w:hAnsiTheme="minorHAnsi" w:cstheme="minorHAnsi"/>
          <w:sz w:val="24"/>
          <w:szCs w:val="24"/>
        </w:rPr>
        <w:t xml:space="preserve">nticonvulsants are </w:t>
      </w:r>
      <w:r w:rsidR="00662265">
        <w:rPr>
          <w:rFonts w:asciiTheme="minorHAnsi" w:hAnsiTheme="minorHAnsi" w:cstheme="minorHAnsi"/>
          <w:sz w:val="24"/>
          <w:szCs w:val="24"/>
        </w:rPr>
        <w:lastRenderedPageBreak/>
        <w:t>sometimes</w:t>
      </w:r>
      <w:r w:rsidR="00C31D2B" w:rsidRPr="00C31D2B">
        <w:rPr>
          <w:rFonts w:asciiTheme="minorHAnsi" w:hAnsiTheme="minorHAnsi" w:cstheme="minorHAnsi"/>
          <w:sz w:val="24"/>
          <w:szCs w:val="24"/>
        </w:rPr>
        <w:t xml:space="preserve"> used for behaviours of concern in people with ASD due to the mood stabilization role of anticonvulsants</w:t>
      </w:r>
      <w:r w:rsidR="00DE6CE1">
        <w:rPr>
          <w:rFonts w:asciiTheme="minorHAnsi" w:hAnsiTheme="minorHAnsi" w:cstheme="minorHAnsi"/>
          <w:sz w:val="24"/>
          <w:szCs w:val="24"/>
        </w:rPr>
        <w:t xml:space="preserve"> </w:t>
      </w:r>
      <w:r w:rsidR="00DE6CE1" w:rsidRPr="00276170">
        <w:rPr>
          <w:rFonts w:asciiTheme="minorHAnsi" w:hAnsiTheme="minorHAnsi" w:cstheme="minorHAnsi"/>
          <w:sz w:val="24"/>
          <w:szCs w:val="24"/>
        </w:rPr>
        <w:t xml:space="preserve">(Bertelli </w:t>
      </w:r>
      <w:r w:rsidR="00635ABE">
        <w:rPr>
          <w:rFonts w:asciiTheme="minorHAnsi" w:hAnsiTheme="minorHAnsi" w:cstheme="minorHAnsi"/>
          <w:sz w:val="24"/>
          <w:szCs w:val="24"/>
        </w:rPr>
        <w:t xml:space="preserve">et al., </w:t>
      </w:r>
      <w:r w:rsidR="00DE6CE1" w:rsidRPr="00276170">
        <w:rPr>
          <w:rFonts w:asciiTheme="minorHAnsi" w:hAnsiTheme="minorHAnsi" w:cstheme="minorHAnsi"/>
          <w:sz w:val="24"/>
          <w:szCs w:val="24"/>
        </w:rPr>
        <w:t xml:space="preserve">2016; </w:t>
      </w:r>
      <w:r w:rsidR="00F731E7">
        <w:rPr>
          <w:rFonts w:asciiTheme="minorHAnsi" w:hAnsiTheme="minorHAnsi" w:cstheme="minorHAnsi"/>
          <w:sz w:val="24"/>
          <w:szCs w:val="24"/>
        </w:rPr>
        <w:t>Canitano</w:t>
      </w:r>
      <w:r w:rsidR="00635ABE">
        <w:rPr>
          <w:rFonts w:asciiTheme="minorHAnsi" w:hAnsiTheme="minorHAnsi" w:cstheme="minorHAnsi"/>
          <w:sz w:val="24"/>
          <w:szCs w:val="24"/>
        </w:rPr>
        <w:t>,</w:t>
      </w:r>
      <w:r w:rsidR="00F731E7">
        <w:rPr>
          <w:rFonts w:asciiTheme="minorHAnsi" w:hAnsiTheme="minorHAnsi" w:cstheme="minorHAnsi"/>
          <w:sz w:val="24"/>
          <w:szCs w:val="24"/>
        </w:rPr>
        <w:t xml:space="preserve"> 2015; </w:t>
      </w:r>
      <w:r w:rsidR="00DE6CE1" w:rsidRPr="00276170">
        <w:rPr>
          <w:rFonts w:asciiTheme="minorHAnsi" w:hAnsiTheme="minorHAnsi" w:cstheme="minorHAnsi"/>
          <w:sz w:val="24"/>
          <w:szCs w:val="24"/>
        </w:rPr>
        <w:t>Deb</w:t>
      </w:r>
      <w:r w:rsidR="00635ABE">
        <w:rPr>
          <w:rFonts w:asciiTheme="minorHAnsi" w:hAnsiTheme="minorHAnsi" w:cstheme="minorHAnsi"/>
          <w:sz w:val="24"/>
          <w:szCs w:val="24"/>
        </w:rPr>
        <w:t xml:space="preserve"> et al., 2009; Kaplin &amp; </w:t>
      </w:r>
      <w:r w:rsidR="00635ABE" w:rsidRPr="00057382">
        <w:rPr>
          <w:rFonts w:asciiTheme="minorHAnsi" w:hAnsiTheme="minorHAnsi" w:cstheme="minorHAnsi"/>
        </w:rPr>
        <w:t>McCracken</w:t>
      </w:r>
      <w:r w:rsidR="00635ABE">
        <w:rPr>
          <w:rFonts w:asciiTheme="minorHAnsi" w:hAnsiTheme="minorHAnsi" w:cstheme="minorHAnsi"/>
          <w:sz w:val="24"/>
          <w:szCs w:val="24"/>
        </w:rPr>
        <w:t xml:space="preserve">, </w:t>
      </w:r>
      <w:r w:rsidR="00DE6CE1" w:rsidRPr="00276170">
        <w:rPr>
          <w:rFonts w:asciiTheme="minorHAnsi" w:hAnsiTheme="minorHAnsi" w:cstheme="minorHAnsi"/>
          <w:sz w:val="24"/>
          <w:szCs w:val="24"/>
        </w:rPr>
        <w:t>2012</w:t>
      </w:r>
      <w:r w:rsidR="00DE6CE1">
        <w:rPr>
          <w:rFonts w:asciiTheme="minorHAnsi" w:hAnsiTheme="minorHAnsi" w:cstheme="minorHAnsi"/>
          <w:sz w:val="24"/>
          <w:szCs w:val="24"/>
        </w:rPr>
        <w:t>;</w:t>
      </w:r>
      <w:r w:rsidR="00DE6CE1" w:rsidRPr="00DE6CE1">
        <w:rPr>
          <w:rFonts w:asciiTheme="minorHAnsi" w:hAnsiTheme="minorHAnsi" w:cstheme="minorHAnsi"/>
          <w:sz w:val="24"/>
          <w:szCs w:val="24"/>
        </w:rPr>
        <w:t xml:space="preserve"> </w:t>
      </w:r>
      <w:r w:rsidR="00DE6CE1">
        <w:rPr>
          <w:rFonts w:asciiTheme="minorHAnsi" w:hAnsiTheme="minorHAnsi" w:cstheme="minorHAnsi"/>
          <w:sz w:val="24"/>
          <w:szCs w:val="24"/>
        </w:rPr>
        <w:t>Politte</w:t>
      </w:r>
      <w:r w:rsidR="00635ABE">
        <w:rPr>
          <w:rFonts w:asciiTheme="minorHAnsi" w:hAnsiTheme="minorHAnsi" w:cstheme="minorHAnsi"/>
          <w:sz w:val="24"/>
          <w:szCs w:val="24"/>
        </w:rPr>
        <w:t xml:space="preserve"> et al.,</w:t>
      </w:r>
      <w:r w:rsidR="00DE6CE1">
        <w:rPr>
          <w:rFonts w:asciiTheme="minorHAnsi" w:hAnsiTheme="minorHAnsi" w:cstheme="minorHAnsi"/>
          <w:sz w:val="24"/>
          <w:szCs w:val="24"/>
        </w:rPr>
        <w:t xml:space="preserve"> 2014). </w:t>
      </w:r>
    </w:p>
    <w:p w14:paraId="23957D12" w14:textId="77777777" w:rsidR="008B1DB3" w:rsidRPr="00A5769B" w:rsidRDefault="008B1DB3" w:rsidP="005C288B">
      <w:pPr>
        <w:pStyle w:val="Heading1"/>
        <w:jc w:val="both"/>
      </w:pPr>
      <w:bookmarkStart w:id="3" w:name="_Toc98918797"/>
      <w:r w:rsidRPr="00A5769B">
        <w:t>Objectives</w:t>
      </w:r>
      <w:bookmarkEnd w:id="3"/>
    </w:p>
    <w:p w14:paraId="38EBD7A2" w14:textId="47F2957D" w:rsidR="008B1DB3" w:rsidRPr="00A5769B" w:rsidRDefault="00C31D2B" w:rsidP="005C288B">
      <w:pPr>
        <w:spacing w:before="120" w:after="120" w:line="360" w:lineRule="auto"/>
        <w:jc w:val="both"/>
        <w:rPr>
          <w:rFonts w:asciiTheme="minorHAnsi" w:hAnsiTheme="minorHAnsi" w:cstheme="minorHAnsi"/>
          <w:sz w:val="24"/>
          <w:szCs w:val="24"/>
        </w:rPr>
      </w:pPr>
      <w:r w:rsidRPr="00C31D2B">
        <w:rPr>
          <w:rFonts w:asciiTheme="minorHAnsi" w:hAnsiTheme="minorHAnsi" w:cstheme="minorHAnsi"/>
          <w:sz w:val="24"/>
          <w:szCs w:val="24"/>
        </w:rPr>
        <w:t xml:space="preserve">To determine the effectiveness of </w:t>
      </w:r>
      <w:r w:rsidR="00634EE1" w:rsidRPr="00C31D2B">
        <w:rPr>
          <w:rFonts w:asciiTheme="minorHAnsi" w:hAnsiTheme="minorHAnsi" w:cstheme="minorHAnsi"/>
          <w:sz w:val="24"/>
          <w:szCs w:val="24"/>
        </w:rPr>
        <w:t xml:space="preserve">anticonvulsants </w:t>
      </w:r>
      <w:r w:rsidRPr="00C31D2B">
        <w:rPr>
          <w:rFonts w:asciiTheme="minorHAnsi" w:hAnsiTheme="minorHAnsi" w:cstheme="minorHAnsi"/>
          <w:sz w:val="24"/>
          <w:szCs w:val="24"/>
        </w:rPr>
        <w:t xml:space="preserve">in decreasing the behaviours of concern of irritability, aggression and self-injurious behaviour, in people with ASD as well as determining the most common adverse effects and the extent to which </w:t>
      </w:r>
      <w:r w:rsidR="00634EE1" w:rsidRPr="00C31D2B">
        <w:rPr>
          <w:rFonts w:asciiTheme="minorHAnsi" w:hAnsiTheme="minorHAnsi" w:cstheme="minorHAnsi"/>
          <w:sz w:val="24"/>
          <w:szCs w:val="24"/>
        </w:rPr>
        <w:t xml:space="preserve">anticonvulsants </w:t>
      </w:r>
      <w:r w:rsidRPr="00C31D2B">
        <w:rPr>
          <w:rFonts w:asciiTheme="minorHAnsi" w:hAnsiTheme="minorHAnsi" w:cstheme="minorHAnsi"/>
          <w:sz w:val="24"/>
          <w:szCs w:val="24"/>
        </w:rPr>
        <w:t>increases the risk of these adverse effects</w:t>
      </w:r>
      <w:r>
        <w:rPr>
          <w:rFonts w:asciiTheme="minorHAnsi" w:hAnsiTheme="minorHAnsi" w:cstheme="minorHAnsi"/>
          <w:sz w:val="24"/>
          <w:szCs w:val="24"/>
        </w:rPr>
        <w:t>.</w:t>
      </w:r>
    </w:p>
    <w:p w14:paraId="0938D0C5" w14:textId="7CE8F1A9" w:rsidR="00634EE1" w:rsidRPr="00A5769B" w:rsidRDefault="00634EE1" w:rsidP="005C288B">
      <w:pPr>
        <w:pStyle w:val="Heading1"/>
        <w:jc w:val="both"/>
      </w:pPr>
      <w:bookmarkStart w:id="4" w:name="_Toc98918798"/>
      <w:r w:rsidRPr="00A5769B">
        <w:t>Methods</w:t>
      </w:r>
      <w:bookmarkEnd w:id="4"/>
    </w:p>
    <w:p w14:paraId="1DCCD3BF" w14:textId="3E6946AB" w:rsidR="00634EE1" w:rsidRDefault="00634EE1" w:rsidP="005C288B">
      <w:pPr>
        <w:spacing w:before="120" w:after="120" w:line="360" w:lineRule="auto"/>
        <w:jc w:val="both"/>
        <w:rPr>
          <w:rFonts w:asciiTheme="minorHAnsi" w:hAnsiTheme="minorHAnsi" w:cstheme="minorHAnsi"/>
          <w:sz w:val="24"/>
          <w:szCs w:val="24"/>
        </w:rPr>
      </w:pPr>
      <w:r w:rsidRPr="00A5769B">
        <w:rPr>
          <w:rFonts w:asciiTheme="minorHAnsi" w:hAnsiTheme="minorHAnsi" w:cstheme="minorHAnsi"/>
          <w:sz w:val="24"/>
          <w:szCs w:val="24"/>
        </w:rPr>
        <w:t xml:space="preserve">This </w:t>
      </w:r>
      <w:r>
        <w:rPr>
          <w:rFonts w:asciiTheme="minorHAnsi" w:hAnsiTheme="minorHAnsi" w:cstheme="minorHAnsi"/>
          <w:sz w:val="24"/>
          <w:szCs w:val="24"/>
        </w:rPr>
        <w:t xml:space="preserve">systematic </w:t>
      </w:r>
      <w:r w:rsidRPr="00A5769B">
        <w:rPr>
          <w:rFonts w:asciiTheme="minorHAnsi" w:hAnsiTheme="minorHAnsi" w:cstheme="minorHAnsi"/>
          <w:sz w:val="24"/>
          <w:szCs w:val="24"/>
        </w:rPr>
        <w:t xml:space="preserve">review of the </w:t>
      </w:r>
      <w:r>
        <w:rPr>
          <w:rFonts w:asciiTheme="minorHAnsi" w:hAnsiTheme="minorHAnsi" w:cstheme="minorHAnsi"/>
          <w:sz w:val="24"/>
          <w:szCs w:val="24"/>
        </w:rPr>
        <w:t>benefits and harms associated</w:t>
      </w:r>
      <w:r w:rsidRPr="00A5769B">
        <w:rPr>
          <w:rFonts w:asciiTheme="minorHAnsi" w:hAnsiTheme="minorHAnsi" w:cstheme="minorHAnsi"/>
          <w:sz w:val="24"/>
          <w:szCs w:val="24"/>
        </w:rPr>
        <w:t xml:space="preserve"> with the use of </w:t>
      </w:r>
      <w:r>
        <w:rPr>
          <w:rFonts w:asciiTheme="minorHAnsi" w:hAnsiTheme="minorHAnsi" w:cstheme="minorHAnsi"/>
          <w:sz w:val="24"/>
          <w:szCs w:val="24"/>
        </w:rPr>
        <w:t>Anticonvulsants</w:t>
      </w:r>
      <w:r w:rsidRPr="00A5769B">
        <w:rPr>
          <w:rFonts w:asciiTheme="minorHAnsi" w:hAnsiTheme="minorHAnsi" w:cstheme="minorHAnsi"/>
          <w:sz w:val="24"/>
          <w:szCs w:val="24"/>
        </w:rPr>
        <w:t xml:space="preserve"> was part of a larger </w:t>
      </w:r>
      <w:r w:rsidR="003753EF">
        <w:rPr>
          <w:rFonts w:asciiTheme="minorHAnsi" w:hAnsiTheme="minorHAnsi" w:cstheme="minorHAnsi"/>
          <w:sz w:val="24"/>
          <w:szCs w:val="24"/>
        </w:rPr>
        <w:t xml:space="preserve">Cochrane </w:t>
      </w:r>
      <w:r>
        <w:rPr>
          <w:rFonts w:asciiTheme="minorHAnsi" w:hAnsiTheme="minorHAnsi" w:cstheme="minorHAnsi"/>
          <w:sz w:val="24"/>
          <w:szCs w:val="24"/>
        </w:rPr>
        <w:t>systematic review</w:t>
      </w:r>
      <w:r w:rsidRPr="00A5769B">
        <w:rPr>
          <w:rFonts w:asciiTheme="minorHAnsi" w:hAnsiTheme="minorHAnsi" w:cstheme="minorHAnsi"/>
          <w:sz w:val="24"/>
          <w:szCs w:val="24"/>
        </w:rPr>
        <w:t xml:space="preserve"> investigating the </w:t>
      </w:r>
      <w:r w:rsidR="003753EF">
        <w:rPr>
          <w:rFonts w:asciiTheme="minorHAnsi" w:hAnsiTheme="minorHAnsi" w:cstheme="minorHAnsi"/>
          <w:sz w:val="24"/>
          <w:szCs w:val="24"/>
        </w:rPr>
        <w:t xml:space="preserve">relative </w:t>
      </w:r>
      <w:r w:rsidRPr="00A5769B">
        <w:rPr>
          <w:rFonts w:asciiTheme="minorHAnsi" w:hAnsiTheme="minorHAnsi" w:cstheme="minorHAnsi"/>
          <w:sz w:val="24"/>
          <w:szCs w:val="24"/>
        </w:rPr>
        <w:t xml:space="preserve">benefits and harms of </w:t>
      </w:r>
      <w:r>
        <w:rPr>
          <w:rFonts w:asciiTheme="minorHAnsi" w:hAnsiTheme="minorHAnsi" w:cstheme="minorHAnsi"/>
          <w:sz w:val="24"/>
          <w:szCs w:val="24"/>
        </w:rPr>
        <w:t xml:space="preserve">all </w:t>
      </w:r>
      <w:r w:rsidRPr="00A5769B">
        <w:rPr>
          <w:rFonts w:asciiTheme="minorHAnsi" w:hAnsiTheme="minorHAnsi" w:cstheme="minorHAnsi"/>
          <w:sz w:val="24"/>
          <w:szCs w:val="24"/>
        </w:rPr>
        <w:t xml:space="preserve">pharmacological agents for the management of behaviours of concern in people with autism. As such, we used rigorous Cochrane methods to ensure that </w:t>
      </w:r>
      <w:r>
        <w:rPr>
          <w:rFonts w:asciiTheme="minorHAnsi" w:hAnsiTheme="minorHAnsi" w:cstheme="minorHAnsi"/>
          <w:sz w:val="24"/>
          <w:szCs w:val="24"/>
        </w:rPr>
        <w:t xml:space="preserve">we identified </w:t>
      </w:r>
      <w:r w:rsidRPr="00A5769B">
        <w:rPr>
          <w:rFonts w:asciiTheme="minorHAnsi" w:hAnsiTheme="minorHAnsi" w:cstheme="minorHAnsi"/>
          <w:sz w:val="24"/>
          <w:szCs w:val="24"/>
        </w:rPr>
        <w:t>all relevant trials and there were no biases in trial identification such as</w:t>
      </w:r>
      <w:r>
        <w:rPr>
          <w:rFonts w:asciiTheme="minorHAnsi" w:hAnsiTheme="minorHAnsi" w:cstheme="minorHAnsi"/>
          <w:sz w:val="24"/>
          <w:szCs w:val="24"/>
        </w:rPr>
        <w:t xml:space="preserve"> limiting</w:t>
      </w:r>
      <w:r w:rsidRPr="00A5769B">
        <w:rPr>
          <w:rFonts w:asciiTheme="minorHAnsi" w:hAnsiTheme="minorHAnsi" w:cstheme="minorHAnsi"/>
          <w:sz w:val="24"/>
          <w:szCs w:val="24"/>
        </w:rPr>
        <w:t xml:space="preserve"> language or </w:t>
      </w:r>
      <w:r>
        <w:rPr>
          <w:rFonts w:asciiTheme="minorHAnsi" w:hAnsiTheme="minorHAnsi" w:cstheme="minorHAnsi"/>
          <w:sz w:val="24"/>
          <w:szCs w:val="24"/>
        </w:rPr>
        <w:t>type of publication.</w:t>
      </w:r>
    </w:p>
    <w:p w14:paraId="67C8E137" w14:textId="19B127D8" w:rsidR="000D441C" w:rsidRPr="00A5769B" w:rsidRDefault="000D441C" w:rsidP="005C288B">
      <w:pPr>
        <w:spacing w:before="120" w:after="120" w:line="360" w:lineRule="auto"/>
        <w:jc w:val="both"/>
        <w:rPr>
          <w:rFonts w:asciiTheme="minorHAnsi" w:hAnsiTheme="minorHAnsi" w:cstheme="minorHAnsi"/>
          <w:sz w:val="24"/>
          <w:szCs w:val="24"/>
        </w:rPr>
      </w:pPr>
      <w:r>
        <w:rPr>
          <w:rFonts w:asciiTheme="minorHAnsi" w:hAnsiTheme="minorHAnsi" w:cstheme="minorHAnsi"/>
          <w:sz w:val="24"/>
          <w:szCs w:val="24"/>
        </w:rPr>
        <w:t xml:space="preserve">The findings of this evidence summary are from the synthesis and analysis of data from all trials comparing anticonvulsants to placebo in the management of behaviours of concern in people with ASD. </w:t>
      </w:r>
    </w:p>
    <w:p w14:paraId="55E40FF7" w14:textId="77777777" w:rsidR="00634EE1" w:rsidRDefault="00634EE1" w:rsidP="005C288B">
      <w:pPr>
        <w:pStyle w:val="Heading2"/>
        <w:jc w:val="both"/>
      </w:pPr>
      <w:bookmarkStart w:id="5" w:name="_Toc98918799"/>
      <w:r>
        <w:t>Inclusion criteria</w:t>
      </w:r>
      <w:bookmarkEnd w:id="5"/>
    </w:p>
    <w:p w14:paraId="29455ECF" w14:textId="5F7949E7" w:rsidR="00634EE1" w:rsidRPr="00A5769B" w:rsidRDefault="00634EE1" w:rsidP="00F07E64">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All randomised controlled trials </w:t>
      </w:r>
      <w:r w:rsidR="003753EF">
        <w:rPr>
          <w:rFonts w:asciiTheme="minorHAnsi" w:hAnsiTheme="minorHAnsi" w:cstheme="minorHAnsi"/>
          <w:sz w:val="24"/>
          <w:szCs w:val="24"/>
        </w:rPr>
        <w:t xml:space="preserve">(RCTs) </w:t>
      </w:r>
      <w:r w:rsidRPr="00A5769B">
        <w:rPr>
          <w:rFonts w:asciiTheme="minorHAnsi" w:hAnsiTheme="minorHAnsi" w:cstheme="minorHAnsi"/>
          <w:sz w:val="24"/>
          <w:szCs w:val="24"/>
        </w:rPr>
        <w:t xml:space="preserve">of </w:t>
      </w:r>
      <w:r w:rsidR="00E1118F">
        <w:rPr>
          <w:rFonts w:asciiTheme="minorHAnsi" w:hAnsiTheme="minorHAnsi" w:cstheme="minorHAnsi"/>
          <w:sz w:val="24"/>
          <w:szCs w:val="24"/>
        </w:rPr>
        <w:t>a</w:t>
      </w:r>
      <w:r>
        <w:rPr>
          <w:rFonts w:asciiTheme="minorHAnsi" w:hAnsiTheme="minorHAnsi" w:cstheme="minorHAnsi"/>
          <w:sz w:val="24"/>
          <w:szCs w:val="24"/>
        </w:rPr>
        <w:t>nticonvulsants</w:t>
      </w:r>
      <w:r w:rsidRPr="00A5769B">
        <w:rPr>
          <w:rFonts w:asciiTheme="minorHAnsi" w:hAnsiTheme="minorHAnsi" w:cstheme="minorHAnsi"/>
          <w:sz w:val="24"/>
          <w:szCs w:val="24"/>
        </w:rPr>
        <w:t xml:space="preserve"> versus placebo for people with ASD</w:t>
      </w:r>
      <w:r>
        <w:rPr>
          <w:rFonts w:asciiTheme="minorHAnsi" w:hAnsiTheme="minorHAnsi" w:cstheme="minorHAnsi"/>
          <w:sz w:val="24"/>
          <w:szCs w:val="24"/>
        </w:rPr>
        <w:t xml:space="preserve"> </w:t>
      </w:r>
      <w:r w:rsidRPr="00A5769B">
        <w:rPr>
          <w:rFonts w:asciiTheme="minorHAnsi" w:hAnsiTheme="minorHAnsi" w:cstheme="minorHAnsi"/>
          <w:sz w:val="24"/>
          <w:szCs w:val="24"/>
        </w:rPr>
        <w:t xml:space="preserve">of any age were </w:t>
      </w:r>
      <w:r>
        <w:rPr>
          <w:rFonts w:asciiTheme="minorHAnsi" w:hAnsiTheme="minorHAnsi" w:cstheme="minorHAnsi"/>
          <w:sz w:val="24"/>
          <w:szCs w:val="24"/>
        </w:rPr>
        <w:t>considered for inclusion</w:t>
      </w:r>
      <w:r w:rsidRPr="00A5769B">
        <w:rPr>
          <w:rFonts w:asciiTheme="minorHAnsi" w:hAnsiTheme="minorHAnsi" w:cstheme="minorHAnsi"/>
          <w:sz w:val="24"/>
          <w:szCs w:val="24"/>
        </w:rPr>
        <w:t xml:space="preserve"> in the review. All included trials were required to report </w:t>
      </w:r>
      <w:r>
        <w:rPr>
          <w:rFonts w:asciiTheme="minorHAnsi" w:hAnsiTheme="minorHAnsi" w:cstheme="minorHAnsi"/>
          <w:sz w:val="24"/>
          <w:szCs w:val="24"/>
        </w:rPr>
        <w:t>any one of the outcomes:</w:t>
      </w:r>
      <w:r w:rsidRPr="00A5769B">
        <w:rPr>
          <w:rFonts w:asciiTheme="minorHAnsi" w:hAnsiTheme="minorHAnsi" w:cstheme="minorHAnsi"/>
          <w:sz w:val="24"/>
          <w:szCs w:val="24"/>
        </w:rPr>
        <w:t xml:space="preserve"> irritability</w:t>
      </w:r>
      <w:r>
        <w:rPr>
          <w:rFonts w:asciiTheme="minorHAnsi" w:hAnsiTheme="minorHAnsi" w:cstheme="minorHAnsi"/>
          <w:sz w:val="24"/>
          <w:szCs w:val="24"/>
        </w:rPr>
        <w:t>;</w:t>
      </w:r>
      <w:r w:rsidRPr="00A5769B">
        <w:rPr>
          <w:rFonts w:asciiTheme="minorHAnsi" w:hAnsiTheme="minorHAnsi" w:cstheme="minorHAnsi"/>
          <w:sz w:val="24"/>
          <w:szCs w:val="24"/>
        </w:rPr>
        <w:t xml:space="preserve"> aggre</w:t>
      </w:r>
      <w:r>
        <w:rPr>
          <w:rFonts w:asciiTheme="minorHAnsi" w:hAnsiTheme="minorHAnsi" w:cstheme="minorHAnsi"/>
          <w:sz w:val="24"/>
          <w:szCs w:val="24"/>
        </w:rPr>
        <w:t xml:space="preserve">ssion; self-injurious behaviour; </w:t>
      </w:r>
      <w:r w:rsidRPr="00A5769B">
        <w:rPr>
          <w:rFonts w:asciiTheme="minorHAnsi" w:hAnsiTheme="minorHAnsi" w:cstheme="minorHAnsi"/>
          <w:sz w:val="24"/>
          <w:szCs w:val="24"/>
        </w:rPr>
        <w:t>quality of life</w:t>
      </w:r>
      <w:r>
        <w:rPr>
          <w:rFonts w:asciiTheme="minorHAnsi" w:hAnsiTheme="minorHAnsi" w:cstheme="minorHAnsi"/>
          <w:sz w:val="24"/>
          <w:szCs w:val="24"/>
        </w:rPr>
        <w:t>;</w:t>
      </w:r>
      <w:r w:rsidRPr="00A5769B">
        <w:rPr>
          <w:rFonts w:asciiTheme="minorHAnsi" w:hAnsiTheme="minorHAnsi" w:cstheme="minorHAnsi"/>
          <w:sz w:val="24"/>
          <w:szCs w:val="24"/>
        </w:rPr>
        <w:t xml:space="preserve"> or adverse</w:t>
      </w:r>
      <w:r>
        <w:rPr>
          <w:rFonts w:asciiTheme="minorHAnsi" w:hAnsiTheme="minorHAnsi" w:cstheme="minorHAnsi"/>
          <w:sz w:val="24"/>
          <w:szCs w:val="24"/>
        </w:rPr>
        <w:t xml:space="preserve"> effects. Measures of behaviour had to use</w:t>
      </w:r>
      <w:r w:rsidRPr="00A5769B">
        <w:rPr>
          <w:rFonts w:asciiTheme="minorHAnsi" w:hAnsiTheme="minorHAnsi" w:cstheme="minorHAnsi"/>
          <w:sz w:val="24"/>
          <w:szCs w:val="24"/>
        </w:rPr>
        <w:t xml:space="preserve"> a </w:t>
      </w:r>
      <w:r>
        <w:rPr>
          <w:rFonts w:asciiTheme="minorHAnsi" w:hAnsiTheme="minorHAnsi" w:cstheme="minorHAnsi"/>
          <w:sz w:val="24"/>
          <w:szCs w:val="24"/>
        </w:rPr>
        <w:t>validated</w:t>
      </w:r>
      <w:r w:rsidRPr="00A5769B">
        <w:rPr>
          <w:rFonts w:asciiTheme="minorHAnsi" w:hAnsiTheme="minorHAnsi" w:cstheme="minorHAnsi"/>
          <w:sz w:val="24"/>
          <w:szCs w:val="24"/>
        </w:rPr>
        <w:t xml:space="preserve"> scale such as the Aberrant Behaviour Checklist</w:t>
      </w:r>
      <w:r>
        <w:rPr>
          <w:rFonts w:asciiTheme="minorHAnsi" w:hAnsiTheme="minorHAnsi" w:cstheme="minorHAnsi"/>
          <w:sz w:val="24"/>
          <w:szCs w:val="24"/>
        </w:rPr>
        <w:t xml:space="preserve"> (ABC).</w:t>
      </w:r>
    </w:p>
    <w:p w14:paraId="6552EA23" w14:textId="77777777" w:rsidR="00634EE1" w:rsidRPr="005A2A0F" w:rsidRDefault="00634EE1" w:rsidP="005C288B">
      <w:pPr>
        <w:pStyle w:val="Heading2"/>
        <w:jc w:val="both"/>
      </w:pPr>
      <w:bookmarkStart w:id="6" w:name="_Toc98918800"/>
      <w:r>
        <w:lastRenderedPageBreak/>
        <w:t>Data collection</w:t>
      </w:r>
      <w:bookmarkEnd w:id="6"/>
    </w:p>
    <w:p w14:paraId="38ED30BC" w14:textId="68C51A4B" w:rsidR="00634EE1" w:rsidRDefault="00366080" w:rsidP="00F07E64">
      <w:pPr>
        <w:spacing w:before="120" w:after="120" w:line="360" w:lineRule="auto"/>
        <w:rPr>
          <w:rFonts w:asciiTheme="minorHAnsi" w:hAnsiTheme="minorHAnsi" w:cstheme="minorHAnsi"/>
          <w:sz w:val="24"/>
          <w:szCs w:val="24"/>
        </w:rPr>
      </w:pPr>
      <w:r>
        <w:rPr>
          <w:rFonts w:asciiTheme="minorHAnsi" w:hAnsiTheme="minorHAnsi" w:cstheme="minorHAnsi"/>
          <w:sz w:val="24"/>
          <w:szCs w:val="24"/>
        </w:rPr>
        <w:t>Two reviewer</w:t>
      </w:r>
      <w:r w:rsidR="00634EE1" w:rsidRPr="00A5769B">
        <w:rPr>
          <w:rFonts w:asciiTheme="minorHAnsi" w:hAnsiTheme="minorHAnsi" w:cstheme="minorHAnsi"/>
          <w:sz w:val="24"/>
          <w:szCs w:val="24"/>
        </w:rPr>
        <w:t xml:space="preserve">s independently assessed </w:t>
      </w:r>
      <w:r w:rsidR="00634EE1">
        <w:rPr>
          <w:rFonts w:asciiTheme="minorHAnsi" w:hAnsiTheme="minorHAnsi" w:cstheme="minorHAnsi"/>
          <w:sz w:val="24"/>
          <w:szCs w:val="24"/>
        </w:rPr>
        <w:t>each trial</w:t>
      </w:r>
      <w:r w:rsidR="00634EE1" w:rsidRPr="00A5769B">
        <w:rPr>
          <w:rFonts w:asciiTheme="minorHAnsi" w:hAnsiTheme="minorHAnsi" w:cstheme="minorHAnsi"/>
          <w:sz w:val="24"/>
          <w:szCs w:val="24"/>
        </w:rPr>
        <w:t xml:space="preserve"> for inclusion and extracted data using standardised forms. </w:t>
      </w:r>
      <w:r w:rsidR="001A4852">
        <w:rPr>
          <w:rFonts w:asciiTheme="minorHAnsi" w:hAnsiTheme="minorHAnsi" w:cstheme="minorHAnsi"/>
          <w:sz w:val="24"/>
          <w:szCs w:val="24"/>
        </w:rPr>
        <w:t>Trial</w:t>
      </w:r>
      <w:r w:rsidR="00634EE1">
        <w:rPr>
          <w:rFonts w:asciiTheme="minorHAnsi" w:hAnsiTheme="minorHAnsi" w:cstheme="minorHAnsi"/>
          <w:sz w:val="24"/>
          <w:szCs w:val="24"/>
        </w:rPr>
        <w:t xml:space="preserve"> details, including inclusion and exclusion criteria, setting, interventions, and outcome data;</w:t>
      </w:r>
      <w:r w:rsidR="00634EE1" w:rsidRPr="00A5769B">
        <w:rPr>
          <w:rFonts w:asciiTheme="minorHAnsi" w:hAnsiTheme="minorHAnsi" w:cstheme="minorHAnsi"/>
          <w:sz w:val="24"/>
          <w:szCs w:val="24"/>
        </w:rPr>
        <w:t xml:space="preserve"> were </w:t>
      </w:r>
      <w:r w:rsidR="00634EE1">
        <w:rPr>
          <w:rFonts w:asciiTheme="minorHAnsi" w:hAnsiTheme="minorHAnsi" w:cstheme="minorHAnsi"/>
          <w:sz w:val="24"/>
          <w:szCs w:val="24"/>
        </w:rPr>
        <w:t>recorded</w:t>
      </w:r>
      <w:r w:rsidR="00634EE1" w:rsidRPr="00A5769B">
        <w:rPr>
          <w:rFonts w:asciiTheme="minorHAnsi" w:hAnsiTheme="minorHAnsi" w:cstheme="minorHAnsi"/>
          <w:sz w:val="24"/>
          <w:szCs w:val="24"/>
        </w:rPr>
        <w:t xml:space="preserve"> and </w:t>
      </w:r>
      <w:r w:rsidR="00634EE1">
        <w:rPr>
          <w:rFonts w:asciiTheme="minorHAnsi" w:hAnsiTheme="minorHAnsi" w:cstheme="minorHAnsi"/>
          <w:sz w:val="24"/>
          <w:szCs w:val="24"/>
        </w:rPr>
        <w:t>agreed</w:t>
      </w:r>
      <w:r w:rsidR="00634EE1" w:rsidRPr="00A5769B">
        <w:rPr>
          <w:rFonts w:asciiTheme="minorHAnsi" w:hAnsiTheme="minorHAnsi" w:cstheme="minorHAnsi"/>
          <w:sz w:val="24"/>
          <w:szCs w:val="24"/>
        </w:rPr>
        <w:t xml:space="preserve"> by two </w:t>
      </w:r>
      <w:r>
        <w:rPr>
          <w:rFonts w:asciiTheme="minorHAnsi" w:hAnsiTheme="minorHAnsi" w:cstheme="minorHAnsi"/>
          <w:sz w:val="24"/>
          <w:szCs w:val="24"/>
        </w:rPr>
        <w:t>reviewer</w:t>
      </w:r>
      <w:r w:rsidR="00634EE1">
        <w:rPr>
          <w:rFonts w:asciiTheme="minorHAnsi" w:hAnsiTheme="minorHAnsi" w:cstheme="minorHAnsi"/>
          <w:sz w:val="24"/>
          <w:szCs w:val="24"/>
        </w:rPr>
        <w:t>s</w:t>
      </w:r>
      <w:r w:rsidR="00634EE1" w:rsidRPr="00A5769B">
        <w:rPr>
          <w:rFonts w:asciiTheme="minorHAnsi" w:hAnsiTheme="minorHAnsi" w:cstheme="minorHAnsi"/>
          <w:sz w:val="24"/>
          <w:szCs w:val="24"/>
        </w:rPr>
        <w:t xml:space="preserve">. </w:t>
      </w:r>
      <w:r w:rsidR="00634EE1">
        <w:rPr>
          <w:rFonts w:asciiTheme="minorHAnsi" w:hAnsiTheme="minorHAnsi" w:cstheme="minorHAnsi"/>
          <w:sz w:val="24"/>
          <w:szCs w:val="24"/>
        </w:rPr>
        <w:t xml:space="preserve">Any disagreements were resolved by discussion or referral to a third </w:t>
      </w:r>
      <w:r>
        <w:rPr>
          <w:rFonts w:asciiTheme="minorHAnsi" w:hAnsiTheme="minorHAnsi" w:cstheme="minorHAnsi"/>
          <w:sz w:val="24"/>
          <w:szCs w:val="24"/>
        </w:rPr>
        <w:t>reviewer</w:t>
      </w:r>
      <w:r w:rsidR="00634EE1">
        <w:rPr>
          <w:rFonts w:asciiTheme="minorHAnsi" w:hAnsiTheme="minorHAnsi" w:cstheme="minorHAnsi"/>
          <w:sz w:val="24"/>
          <w:szCs w:val="24"/>
        </w:rPr>
        <w:t>. W</w:t>
      </w:r>
      <w:r w:rsidR="00634EE1" w:rsidRPr="00A5769B">
        <w:rPr>
          <w:rFonts w:asciiTheme="minorHAnsi" w:hAnsiTheme="minorHAnsi" w:cstheme="minorHAnsi"/>
          <w:sz w:val="24"/>
          <w:szCs w:val="24"/>
        </w:rPr>
        <w:t xml:space="preserve">here insufficient details were provided in </w:t>
      </w:r>
      <w:r w:rsidR="00634EE1">
        <w:rPr>
          <w:rFonts w:asciiTheme="minorHAnsi" w:hAnsiTheme="minorHAnsi" w:cstheme="minorHAnsi"/>
          <w:sz w:val="24"/>
          <w:szCs w:val="24"/>
        </w:rPr>
        <w:t>trial publications or registries</w:t>
      </w:r>
      <w:r w:rsidR="00634EE1" w:rsidRPr="00A5769B">
        <w:rPr>
          <w:rFonts w:asciiTheme="minorHAnsi" w:hAnsiTheme="minorHAnsi" w:cstheme="minorHAnsi"/>
          <w:sz w:val="24"/>
          <w:szCs w:val="24"/>
        </w:rPr>
        <w:t>, the contact author was emailed requesting further information. Two attempts were made to contact authors</w:t>
      </w:r>
      <w:r w:rsidR="00634EE1">
        <w:rPr>
          <w:rFonts w:asciiTheme="minorHAnsi" w:hAnsiTheme="minorHAnsi" w:cstheme="minorHAnsi"/>
          <w:sz w:val="24"/>
          <w:szCs w:val="24"/>
        </w:rPr>
        <w:t xml:space="preserve"> and if no reply was received</w:t>
      </w:r>
      <w:r w:rsidR="00634EE1" w:rsidRPr="00A5769B">
        <w:rPr>
          <w:rFonts w:asciiTheme="minorHAnsi" w:hAnsiTheme="minorHAnsi" w:cstheme="minorHAnsi"/>
          <w:sz w:val="24"/>
          <w:szCs w:val="24"/>
        </w:rPr>
        <w:t xml:space="preserve"> </w:t>
      </w:r>
      <w:r w:rsidR="00634EE1">
        <w:rPr>
          <w:rFonts w:asciiTheme="minorHAnsi" w:hAnsiTheme="minorHAnsi" w:cstheme="minorHAnsi"/>
          <w:sz w:val="24"/>
          <w:szCs w:val="24"/>
        </w:rPr>
        <w:t>this</w:t>
      </w:r>
      <w:r w:rsidR="00634EE1" w:rsidRPr="00A5769B">
        <w:rPr>
          <w:rFonts w:asciiTheme="minorHAnsi" w:hAnsiTheme="minorHAnsi" w:cstheme="minorHAnsi"/>
          <w:sz w:val="24"/>
          <w:szCs w:val="24"/>
        </w:rPr>
        <w:t xml:space="preserve"> was noted</w:t>
      </w:r>
      <w:r w:rsidR="00634EE1">
        <w:rPr>
          <w:rFonts w:asciiTheme="minorHAnsi" w:hAnsiTheme="minorHAnsi" w:cstheme="minorHAnsi"/>
          <w:sz w:val="24"/>
          <w:szCs w:val="24"/>
        </w:rPr>
        <w:t>.</w:t>
      </w:r>
    </w:p>
    <w:p w14:paraId="2BF5AC01" w14:textId="31076392" w:rsidR="00634EE1" w:rsidRDefault="00634EE1" w:rsidP="00F07E64">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When determining quality of evidence, the overall risk of bias of each trial</w:t>
      </w:r>
      <w:r>
        <w:rPr>
          <w:rFonts w:asciiTheme="minorHAnsi" w:hAnsiTheme="minorHAnsi" w:cstheme="minorHAnsi"/>
          <w:sz w:val="24"/>
          <w:szCs w:val="24"/>
        </w:rPr>
        <w:t xml:space="preserve"> was assessed independently by two of the three </w:t>
      </w:r>
      <w:r w:rsidR="00366080">
        <w:rPr>
          <w:rFonts w:asciiTheme="minorHAnsi" w:hAnsiTheme="minorHAnsi" w:cstheme="minorHAnsi"/>
          <w:sz w:val="24"/>
          <w:szCs w:val="24"/>
        </w:rPr>
        <w:t>reviewer</w:t>
      </w:r>
      <w:r>
        <w:rPr>
          <w:rFonts w:asciiTheme="minorHAnsi" w:hAnsiTheme="minorHAnsi" w:cstheme="minorHAnsi"/>
          <w:sz w:val="24"/>
          <w:szCs w:val="24"/>
        </w:rPr>
        <w:t xml:space="preserve">s and agreed by consensus or referral to a third </w:t>
      </w:r>
      <w:r w:rsidR="00366080">
        <w:rPr>
          <w:rFonts w:asciiTheme="minorHAnsi" w:hAnsiTheme="minorHAnsi" w:cstheme="minorHAnsi"/>
          <w:sz w:val="24"/>
          <w:szCs w:val="24"/>
        </w:rPr>
        <w:t>reviewer</w:t>
      </w:r>
      <w:r>
        <w:rPr>
          <w:rFonts w:asciiTheme="minorHAnsi" w:hAnsiTheme="minorHAnsi" w:cstheme="minorHAnsi"/>
          <w:sz w:val="24"/>
          <w:szCs w:val="24"/>
        </w:rPr>
        <w:t>.</w:t>
      </w:r>
      <w:r w:rsidRPr="00A5769B">
        <w:rPr>
          <w:rFonts w:asciiTheme="minorHAnsi" w:hAnsiTheme="minorHAnsi" w:cstheme="minorHAnsi"/>
          <w:sz w:val="24"/>
          <w:szCs w:val="24"/>
        </w:rPr>
        <w:t xml:space="preserve"> </w:t>
      </w:r>
      <w:r>
        <w:rPr>
          <w:rFonts w:asciiTheme="minorHAnsi" w:hAnsiTheme="minorHAnsi" w:cstheme="minorHAnsi"/>
          <w:sz w:val="24"/>
          <w:szCs w:val="24"/>
        </w:rPr>
        <w:t>Biases that were evaluated included selection and allocation bias, and measurement and performance biases including lack of blinding, selective reporting, and attrition bias.</w:t>
      </w:r>
    </w:p>
    <w:p w14:paraId="0AD46C79" w14:textId="77777777" w:rsidR="00634EE1" w:rsidRPr="008058D1" w:rsidRDefault="00634EE1" w:rsidP="005C288B">
      <w:pPr>
        <w:pStyle w:val="Heading2"/>
        <w:jc w:val="both"/>
      </w:pPr>
      <w:bookmarkStart w:id="7" w:name="_Toc98918801"/>
      <w:r w:rsidRPr="005A2A0F">
        <w:t>Data analysis</w:t>
      </w:r>
      <w:bookmarkEnd w:id="7"/>
    </w:p>
    <w:p w14:paraId="125203B9" w14:textId="53824038" w:rsidR="00634EE1" w:rsidRDefault="00634EE1" w:rsidP="00F07E64">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Continuous data were </w:t>
      </w:r>
      <w:r>
        <w:rPr>
          <w:rFonts w:asciiTheme="minorHAnsi" w:hAnsiTheme="minorHAnsi" w:cstheme="minorHAnsi"/>
          <w:sz w:val="24"/>
          <w:szCs w:val="24"/>
        </w:rPr>
        <w:t>meta-</w:t>
      </w:r>
      <w:r w:rsidRPr="00A5769B">
        <w:rPr>
          <w:rFonts w:asciiTheme="minorHAnsi" w:hAnsiTheme="minorHAnsi" w:cstheme="minorHAnsi"/>
          <w:sz w:val="24"/>
          <w:szCs w:val="24"/>
        </w:rPr>
        <w:t xml:space="preserve">analysed using Standardised Mean Difference (SMD) </w:t>
      </w:r>
      <w:r>
        <w:rPr>
          <w:rFonts w:asciiTheme="minorHAnsi" w:hAnsiTheme="minorHAnsi" w:cstheme="minorHAnsi"/>
          <w:sz w:val="24"/>
          <w:szCs w:val="24"/>
        </w:rPr>
        <w:t xml:space="preserve">and the 95% confidence interval (95% CI) </w:t>
      </w:r>
      <w:r w:rsidRPr="00A5769B">
        <w:rPr>
          <w:rFonts w:asciiTheme="minorHAnsi" w:hAnsiTheme="minorHAnsi" w:cstheme="minorHAnsi"/>
          <w:sz w:val="24"/>
          <w:szCs w:val="24"/>
        </w:rPr>
        <w:t xml:space="preserve">to account for </w:t>
      </w:r>
      <w:r>
        <w:rPr>
          <w:rFonts w:asciiTheme="minorHAnsi" w:hAnsiTheme="minorHAnsi" w:cstheme="minorHAnsi"/>
          <w:sz w:val="24"/>
          <w:szCs w:val="24"/>
        </w:rPr>
        <w:t xml:space="preserve">the use of </w:t>
      </w:r>
      <w:r w:rsidRPr="00A5769B">
        <w:rPr>
          <w:rFonts w:asciiTheme="minorHAnsi" w:hAnsiTheme="minorHAnsi" w:cstheme="minorHAnsi"/>
          <w:sz w:val="24"/>
          <w:szCs w:val="24"/>
        </w:rPr>
        <w:t xml:space="preserve">different measures </w:t>
      </w:r>
      <w:r>
        <w:rPr>
          <w:rFonts w:asciiTheme="minorHAnsi" w:hAnsiTheme="minorHAnsi" w:cstheme="minorHAnsi"/>
          <w:sz w:val="24"/>
          <w:szCs w:val="24"/>
        </w:rPr>
        <w:t>for a given outcome</w:t>
      </w:r>
      <w:r w:rsidR="003753EF">
        <w:rPr>
          <w:rFonts w:asciiTheme="minorHAnsi" w:hAnsiTheme="minorHAnsi" w:cstheme="minorHAnsi"/>
          <w:sz w:val="24"/>
          <w:szCs w:val="24"/>
        </w:rPr>
        <w:t xml:space="preserve"> such as aggression</w:t>
      </w:r>
      <w:r>
        <w:rPr>
          <w:rFonts w:asciiTheme="minorHAnsi" w:hAnsiTheme="minorHAnsi" w:cstheme="minorHAnsi"/>
          <w:sz w:val="24"/>
          <w:szCs w:val="24"/>
        </w:rPr>
        <w:t>. Results between experimental and control groups are considered different for continuous measures when the 95% CI does not include 0. Negative values indicate the measure is lower in the experimental group while positive values indicate higher values in the experimental group.</w:t>
      </w:r>
    </w:p>
    <w:p w14:paraId="6F6598A9" w14:textId="77777777" w:rsidR="00634EE1" w:rsidRPr="00A5769B" w:rsidRDefault="00634EE1" w:rsidP="00F07E64">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Dichotomous data were </w:t>
      </w:r>
      <w:r>
        <w:rPr>
          <w:rFonts w:asciiTheme="minorHAnsi" w:hAnsiTheme="minorHAnsi" w:cstheme="minorHAnsi"/>
          <w:sz w:val="24"/>
          <w:szCs w:val="24"/>
        </w:rPr>
        <w:t>meta-analysed</w:t>
      </w:r>
      <w:r w:rsidRPr="00A5769B">
        <w:rPr>
          <w:rFonts w:asciiTheme="minorHAnsi" w:hAnsiTheme="minorHAnsi" w:cstheme="minorHAnsi"/>
          <w:sz w:val="24"/>
          <w:szCs w:val="24"/>
        </w:rPr>
        <w:t xml:space="preserve"> using Relative Risk (RR) </w:t>
      </w:r>
      <w:r>
        <w:rPr>
          <w:rFonts w:asciiTheme="minorHAnsi" w:hAnsiTheme="minorHAnsi" w:cstheme="minorHAnsi"/>
          <w:sz w:val="24"/>
          <w:szCs w:val="24"/>
        </w:rPr>
        <w:t>and the 95% CI. For dichotomous data a</w:t>
      </w:r>
      <w:r w:rsidRPr="00A5769B">
        <w:rPr>
          <w:rFonts w:asciiTheme="minorHAnsi" w:hAnsiTheme="minorHAnsi" w:cstheme="minorHAnsi"/>
          <w:sz w:val="24"/>
          <w:szCs w:val="24"/>
        </w:rPr>
        <w:t xml:space="preserve"> 95% confidence interval </w:t>
      </w:r>
      <w:r>
        <w:rPr>
          <w:rFonts w:asciiTheme="minorHAnsi" w:hAnsiTheme="minorHAnsi" w:cstheme="minorHAnsi"/>
          <w:sz w:val="24"/>
          <w:szCs w:val="24"/>
        </w:rPr>
        <w:t xml:space="preserve">that </w:t>
      </w:r>
      <w:r w:rsidRPr="00A5769B">
        <w:rPr>
          <w:rFonts w:asciiTheme="minorHAnsi" w:hAnsiTheme="minorHAnsi" w:cstheme="minorHAnsi"/>
          <w:sz w:val="24"/>
          <w:szCs w:val="24"/>
        </w:rPr>
        <w:t>does not include</w:t>
      </w:r>
      <w:r>
        <w:rPr>
          <w:rFonts w:asciiTheme="minorHAnsi" w:hAnsiTheme="minorHAnsi" w:cstheme="minorHAnsi"/>
          <w:sz w:val="24"/>
          <w:szCs w:val="24"/>
        </w:rPr>
        <w:t xml:space="preserve"> 1 indicates a difference between experimental and control groups. A RR less than 1 indicates a decreased risk in the experimental group, while an RR more than 1 indicates an increased risk in the experimental group.</w:t>
      </w:r>
    </w:p>
    <w:p w14:paraId="279E7E09" w14:textId="2B82FFC7" w:rsidR="00634EE1" w:rsidRPr="00A5769B" w:rsidRDefault="00634EE1" w:rsidP="00F07E64">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Heterogeneity was also calculated to identify the whether there were high levels of variation that could be attributed to differences between </w:t>
      </w:r>
      <w:r w:rsidR="00EC202F">
        <w:rPr>
          <w:rFonts w:asciiTheme="minorHAnsi" w:hAnsiTheme="minorHAnsi" w:cstheme="minorHAnsi"/>
          <w:sz w:val="24"/>
          <w:szCs w:val="24"/>
        </w:rPr>
        <w:t>trials</w:t>
      </w:r>
      <w:r>
        <w:rPr>
          <w:rFonts w:asciiTheme="minorHAnsi" w:hAnsiTheme="minorHAnsi" w:cstheme="minorHAnsi"/>
          <w:sz w:val="24"/>
          <w:szCs w:val="24"/>
        </w:rPr>
        <w:t xml:space="preserve">, rather than by chance (Deeks </w:t>
      </w:r>
      <w:r w:rsidR="0066412C">
        <w:rPr>
          <w:rFonts w:asciiTheme="minorHAnsi" w:hAnsiTheme="minorHAnsi" w:cstheme="minorHAnsi"/>
          <w:sz w:val="24"/>
          <w:szCs w:val="24"/>
        </w:rPr>
        <w:t xml:space="preserve">et al., </w:t>
      </w:r>
      <w:r>
        <w:rPr>
          <w:rFonts w:asciiTheme="minorHAnsi" w:hAnsiTheme="minorHAnsi" w:cstheme="minorHAnsi"/>
          <w:sz w:val="24"/>
          <w:szCs w:val="24"/>
        </w:rPr>
        <w:t xml:space="preserve">2020). </w:t>
      </w:r>
    </w:p>
    <w:p w14:paraId="3B4DFD83" w14:textId="77777777" w:rsidR="00634EE1" w:rsidRDefault="00634EE1" w:rsidP="005C288B">
      <w:pPr>
        <w:pStyle w:val="Heading2"/>
        <w:jc w:val="both"/>
      </w:pPr>
      <w:bookmarkStart w:id="8" w:name="_Toc98918802"/>
      <w:r>
        <w:lastRenderedPageBreak/>
        <w:t>Inclusion criteria</w:t>
      </w:r>
      <w:bookmarkEnd w:id="8"/>
    </w:p>
    <w:p w14:paraId="3A036FD2" w14:textId="5AA62A38" w:rsidR="00634EE1" w:rsidRPr="00A5769B" w:rsidRDefault="00634EE1" w:rsidP="00F07E64">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All randomised controlled trials of </w:t>
      </w:r>
      <w:r w:rsidR="00481CD3">
        <w:rPr>
          <w:rFonts w:asciiTheme="minorHAnsi" w:hAnsiTheme="minorHAnsi" w:cstheme="minorHAnsi"/>
          <w:sz w:val="24"/>
          <w:szCs w:val="24"/>
        </w:rPr>
        <w:t>a</w:t>
      </w:r>
      <w:r>
        <w:rPr>
          <w:rFonts w:asciiTheme="minorHAnsi" w:hAnsiTheme="minorHAnsi" w:cstheme="minorHAnsi"/>
          <w:sz w:val="24"/>
          <w:szCs w:val="24"/>
        </w:rPr>
        <w:t>nticonvulsants</w:t>
      </w:r>
      <w:r w:rsidRPr="00A5769B">
        <w:rPr>
          <w:rFonts w:asciiTheme="minorHAnsi" w:hAnsiTheme="minorHAnsi" w:cstheme="minorHAnsi"/>
          <w:sz w:val="24"/>
          <w:szCs w:val="24"/>
        </w:rPr>
        <w:t xml:space="preserve"> versus placebo for people with ASD</w:t>
      </w:r>
      <w:r>
        <w:rPr>
          <w:rFonts w:asciiTheme="minorHAnsi" w:hAnsiTheme="minorHAnsi" w:cstheme="minorHAnsi"/>
          <w:sz w:val="24"/>
          <w:szCs w:val="24"/>
        </w:rPr>
        <w:t xml:space="preserve"> </w:t>
      </w:r>
      <w:r w:rsidRPr="00A5769B">
        <w:rPr>
          <w:rFonts w:asciiTheme="minorHAnsi" w:hAnsiTheme="minorHAnsi" w:cstheme="minorHAnsi"/>
          <w:sz w:val="24"/>
          <w:szCs w:val="24"/>
        </w:rPr>
        <w:t xml:space="preserve">of any age were </w:t>
      </w:r>
      <w:r>
        <w:rPr>
          <w:rFonts w:asciiTheme="minorHAnsi" w:hAnsiTheme="minorHAnsi" w:cstheme="minorHAnsi"/>
          <w:sz w:val="24"/>
          <w:szCs w:val="24"/>
        </w:rPr>
        <w:t>considered for inclusion</w:t>
      </w:r>
      <w:r w:rsidRPr="00A5769B">
        <w:rPr>
          <w:rFonts w:asciiTheme="minorHAnsi" w:hAnsiTheme="minorHAnsi" w:cstheme="minorHAnsi"/>
          <w:sz w:val="24"/>
          <w:szCs w:val="24"/>
        </w:rPr>
        <w:t xml:space="preserve"> in the review. All included trials were required to report </w:t>
      </w:r>
      <w:r>
        <w:rPr>
          <w:rFonts w:asciiTheme="minorHAnsi" w:hAnsiTheme="minorHAnsi" w:cstheme="minorHAnsi"/>
          <w:sz w:val="24"/>
          <w:szCs w:val="24"/>
        </w:rPr>
        <w:t>any one of the outcomes:</w:t>
      </w:r>
      <w:r w:rsidRPr="00A5769B">
        <w:rPr>
          <w:rFonts w:asciiTheme="minorHAnsi" w:hAnsiTheme="minorHAnsi" w:cstheme="minorHAnsi"/>
          <w:sz w:val="24"/>
          <w:szCs w:val="24"/>
        </w:rPr>
        <w:t xml:space="preserve"> irritability</w:t>
      </w:r>
      <w:r>
        <w:rPr>
          <w:rFonts w:asciiTheme="minorHAnsi" w:hAnsiTheme="minorHAnsi" w:cstheme="minorHAnsi"/>
          <w:sz w:val="24"/>
          <w:szCs w:val="24"/>
        </w:rPr>
        <w:t>;</w:t>
      </w:r>
      <w:r w:rsidRPr="00A5769B">
        <w:rPr>
          <w:rFonts w:asciiTheme="minorHAnsi" w:hAnsiTheme="minorHAnsi" w:cstheme="minorHAnsi"/>
          <w:sz w:val="24"/>
          <w:szCs w:val="24"/>
        </w:rPr>
        <w:t xml:space="preserve"> aggre</w:t>
      </w:r>
      <w:r>
        <w:rPr>
          <w:rFonts w:asciiTheme="minorHAnsi" w:hAnsiTheme="minorHAnsi" w:cstheme="minorHAnsi"/>
          <w:sz w:val="24"/>
          <w:szCs w:val="24"/>
        </w:rPr>
        <w:t xml:space="preserve">ssion; self-injurious behaviour; </w:t>
      </w:r>
      <w:r w:rsidRPr="00A5769B">
        <w:rPr>
          <w:rFonts w:asciiTheme="minorHAnsi" w:hAnsiTheme="minorHAnsi" w:cstheme="minorHAnsi"/>
          <w:sz w:val="24"/>
          <w:szCs w:val="24"/>
        </w:rPr>
        <w:t>quality of life</w:t>
      </w:r>
      <w:r>
        <w:rPr>
          <w:rFonts w:asciiTheme="minorHAnsi" w:hAnsiTheme="minorHAnsi" w:cstheme="minorHAnsi"/>
          <w:sz w:val="24"/>
          <w:szCs w:val="24"/>
        </w:rPr>
        <w:t>;</w:t>
      </w:r>
      <w:r w:rsidRPr="00A5769B">
        <w:rPr>
          <w:rFonts w:asciiTheme="minorHAnsi" w:hAnsiTheme="minorHAnsi" w:cstheme="minorHAnsi"/>
          <w:sz w:val="24"/>
          <w:szCs w:val="24"/>
        </w:rPr>
        <w:t xml:space="preserve"> or adverse</w:t>
      </w:r>
      <w:r>
        <w:rPr>
          <w:rFonts w:asciiTheme="minorHAnsi" w:hAnsiTheme="minorHAnsi" w:cstheme="minorHAnsi"/>
          <w:sz w:val="24"/>
          <w:szCs w:val="24"/>
        </w:rPr>
        <w:t xml:space="preserve"> effects. Measures of behaviour had to use</w:t>
      </w:r>
      <w:r w:rsidRPr="00A5769B">
        <w:rPr>
          <w:rFonts w:asciiTheme="minorHAnsi" w:hAnsiTheme="minorHAnsi" w:cstheme="minorHAnsi"/>
          <w:sz w:val="24"/>
          <w:szCs w:val="24"/>
        </w:rPr>
        <w:t xml:space="preserve"> a </w:t>
      </w:r>
      <w:r>
        <w:rPr>
          <w:rFonts w:asciiTheme="minorHAnsi" w:hAnsiTheme="minorHAnsi" w:cstheme="minorHAnsi"/>
          <w:sz w:val="24"/>
          <w:szCs w:val="24"/>
        </w:rPr>
        <w:t>validated</w:t>
      </w:r>
      <w:r w:rsidRPr="00A5769B">
        <w:rPr>
          <w:rFonts w:asciiTheme="minorHAnsi" w:hAnsiTheme="minorHAnsi" w:cstheme="minorHAnsi"/>
          <w:sz w:val="24"/>
          <w:szCs w:val="24"/>
        </w:rPr>
        <w:t xml:space="preserve"> scale such as the Aberrant Behaviour Checklist</w:t>
      </w:r>
      <w:r>
        <w:rPr>
          <w:rFonts w:asciiTheme="minorHAnsi" w:hAnsiTheme="minorHAnsi" w:cstheme="minorHAnsi"/>
          <w:sz w:val="24"/>
          <w:szCs w:val="24"/>
        </w:rPr>
        <w:t xml:space="preserve"> (ABC).</w:t>
      </w:r>
    </w:p>
    <w:p w14:paraId="7AD4488F" w14:textId="0A4ECB52" w:rsidR="008B1DB3" w:rsidRPr="00313097" w:rsidRDefault="008B1DB3" w:rsidP="005C288B">
      <w:pPr>
        <w:pStyle w:val="Heading1"/>
        <w:jc w:val="both"/>
      </w:pPr>
      <w:bookmarkStart w:id="9" w:name="_Toc98918803"/>
      <w:r w:rsidRPr="00313097">
        <w:t>Results</w:t>
      </w:r>
      <w:bookmarkEnd w:id="9"/>
    </w:p>
    <w:p w14:paraId="3CF08E96" w14:textId="73037A20" w:rsidR="008B1DB3" w:rsidRPr="00B9783E" w:rsidRDefault="008B1DB3" w:rsidP="005C288B">
      <w:pPr>
        <w:pStyle w:val="Heading2"/>
        <w:jc w:val="both"/>
      </w:pPr>
      <w:bookmarkStart w:id="10" w:name="_Toc98918804"/>
      <w:r w:rsidRPr="00B9783E">
        <w:t xml:space="preserve">Characteristics of included </w:t>
      </w:r>
      <w:r w:rsidR="00EC202F">
        <w:t>trials</w:t>
      </w:r>
      <w:bookmarkEnd w:id="10"/>
    </w:p>
    <w:p w14:paraId="137F92E4" w14:textId="4B07874A" w:rsidR="00C31D2B" w:rsidRPr="00C31D2B" w:rsidRDefault="007E3109" w:rsidP="00F07E64">
      <w:pPr>
        <w:spacing w:before="120" w:after="120" w:line="360" w:lineRule="auto"/>
        <w:rPr>
          <w:rFonts w:asciiTheme="minorHAnsi" w:hAnsiTheme="minorHAnsi" w:cstheme="minorHAnsi"/>
          <w:sz w:val="24"/>
          <w:szCs w:val="24"/>
        </w:rPr>
      </w:pPr>
      <w:r>
        <w:rPr>
          <w:rFonts w:asciiTheme="minorHAnsi" w:hAnsiTheme="minorHAnsi" w:cstheme="minorHAnsi"/>
          <w:sz w:val="24"/>
          <w:szCs w:val="24"/>
        </w:rPr>
        <w:t>Six</w:t>
      </w:r>
      <w:r w:rsidR="00C31D2B" w:rsidRPr="00C31D2B">
        <w:rPr>
          <w:rFonts w:asciiTheme="minorHAnsi" w:hAnsiTheme="minorHAnsi" w:cstheme="minorHAnsi"/>
          <w:sz w:val="24"/>
          <w:szCs w:val="24"/>
        </w:rPr>
        <w:t xml:space="preserve"> trials were i</w:t>
      </w:r>
      <w:r w:rsidR="006659A1">
        <w:rPr>
          <w:rFonts w:asciiTheme="minorHAnsi" w:hAnsiTheme="minorHAnsi" w:cstheme="minorHAnsi"/>
          <w:sz w:val="24"/>
          <w:szCs w:val="24"/>
        </w:rPr>
        <w:t>ncluded in the analysis with 165</w:t>
      </w:r>
      <w:r w:rsidR="00C31D2B" w:rsidRPr="00C31D2B">
        <w:rPr>
          <w:rFonts w:asciiTheme="minorHAnsi" w:hAnsiTheme="minorHAnsi" w:cstheme="minorHAnsi"/>
          <w:sz w:val="24"/>
          <w:szCs w:val="24"/>
        </w:rPr>
        <w:t xml:space="preserve"> participants. All trials included </w:t>
      </w:r>
      <w:r w:rsidR="002F023E">
        <w:rPr>
          <w:rFonts w:asciiTheme="minorHAnsi" w:hAnsiTheme="minorHAnsi" w:cstheme="minorHAnsi"/>
          <w:sz w:val="24"/>
          <w:szCs w:val="24"/>
        </w:rPr>
        <w:t xml:space="preserve">children and adolescents </w:t>
      </w:r>
      <w:r w:rsidR="00C31D2B" w:rsidRPr="00C31D2B">
        <w:rPr>
          <w:rFonts w:asciiTheme="minorHAnsi" w:hAnsiTheme="minorHAnsi" w:cstheme="minorHAnsi"/>
          <w:sz w:val="24"/>
          <w:szCs w:val="24"/>
        </w:rPr>
        <w:t xml:space="preserve">although one </w:t>
      </w:r>
      <w:r w:rsidR="001A4852">
        <w:rPr>
          <w:rFonts w:asciiTheme="minorHAnsi" w:hAnsiTheme="minorHAnsi" w:cstheme="minorHAnsi"/>
          <w:sz w:val="24"/>
          <w:szCs w:val="24"/>
        </w:rPr>
        <w:t>trial</w:t>
      </w:r>
      <w:r w:rsidR="00C31D2B" w:rsidRPr="00C31D2B">
        <w:rPr>
          <w:rFonts w:asciiTheme="minorHAnsi" w:hAnsiTheme="minorHAnsi" w:cstheme="minorHAnsi"/>
          <w:sz w:val="24"/>
          <w:szCs w:val="24"/>
        </w:rPr>
        <w:t xml:space="preserve"> </w:t>
      </w:r>
      <w:r w:rsidR="002F023E">
        <w:rPr>
          <w:rFonts w:asciiTheme="minorHAnsi" w:hAnsiTheme="minorHAnsi" w:cstheme="minorHAnsi"/>
          <w:sz w:val="24"/>
          <w:szCs w:val="24"/>
        </w:rPr>
        <w:t xml:space="preserve">also </w:t>
      </w:r>
      <w:r w:rsidR="00C31D2B" w:rsidRPr="00C31D2B">
        <w:rPr>
          <w:rFonts w:asciiTheme="minorHAnsi" w:hAnsiTheme="minorHAnsi" w:cstheme="minorHAnsi"/>
          <w:sz w:val="24"/>
          <w:szCs w:val="24"/>
        </w:rPr>
        <w:t xml:space="preserve">included adults up to 20 years, however it is unclear how many adults were involved. All trials reporting behaviours of concern or adverse effects were short-term (i.e. 3 months or less). </w:t>
      </w:r>
    </w:p>
    <w:p w14:paraId="15EC3548" w14:textId="2032EF6D" w:rsidR="008B1DB3"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Due to the small sample sizes as well as sources of bias affecting accuracy of estimates, we rated the trials as having weak quality of evidence.</w:t>
      </w:r>
    </w:p>
    <w:p w14:paraId="21C4D1D1" w14:textId="77777777" w:rsidR="004C6728" w:rsidRDefault="004C6728" w:rsidP="005C288B">
      <w:pPr>
        <w:pStyle w:val="Heading2"/>
        <w:jc w:val="both"/>
      </w:pPr>
      <w:bookmarkStart w:id="11" w:name="_Toc98918805"/>
      <w:r>
        <w:t>Behaviours of concern</w:t>
      </w:r>
      <w:bookmarkEnd w:id="11"/>
    </w:p>
    <w:p w14:paraId="16B1FD6B" w14:textId="77777777" w:rsidR="008B1DB3" w:rsidRPr="004C6728" w:rsidRDefault="008B1DB3" w:rsidP="005C288B">
      <w:pPr>
        <w:pStyle w:val="Heading3"/>
        <w:jc w:val="both"/>
        <w:rPr>
          <w:rStyle w:val="Heading4Char"/>
          <w:i w:val="0"/>
          <w:iCs w:val="0"/>
        </w:rPr>
      </w:pPr>
      <w:r w:rsidRPr="004C6728">
        <w:rPr>
          <w:rStyle w:val="Heading4Char"/>
          <w:i w:val="0"/>
          <w:iCs w:val="0"/>
        </w:rPr>
        <w:t>Irritability</w:t>
      </w:r>
    </w:p>
    <w:p w14:paraId="6CDF6C57" w14:textId="77777777" w:rsidR="00C31D2B" w:rsidRPr="00C31D2B"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 xml:space="preserve">Three trials involving 97 participants provided data for the outcome of irritability. All trials used the ABC-Irritability subscale to measure irritability. </w:t>
      </w:r>
    </w:p>
    <w:p w14:paraId="54B3EC61" w14:textId="13E059EE" w:rsidR="00DC3AFC" w:rsidRPr="00DC3AFC"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 xml:space="preserve">There was no evidence of an effect </w:t>
      </w:r>
      <w:r w:rsidR="0034143D">
        <w:rPr>
          <w:rFonts w:asciiTheme="minorHAnsi" w:hAnsiTheme="minorHAnsi" w:cstheme="minorHAnsi"/>
          <w:sz w:val="24"/>
          <w:szCs w:val="24"/>
        </w:rPr>
        <w:t>on irritability (SMD of -0.67, 95% CI -1.93 to 0.59</w:t>
      </w:r>
      <w:r w:rsidR="001167BC">
        <w:rPr>
          <w:rFonts w:asciiTheme="minorHAnsi" w:hAnsiTheme="minorHAnsi" w:cstheme="minorHAnsi"/>
          <w:sz w:val="24"/>
          <w:szCs w:val="24"/>
        </w:rPr>
        <w:t xml:space="preserve">, </w:t>
      </w:r>
      <w:r w:rsidR="001167BC">
        <w:t>I</w:t>
      </w:r>
      <w:r w:rsidR="001167BC">
        <w:rPr>
          <w:vertAlign w:val="superscript"/>
        </w:rPr>
        <w:t>2</w:t>
      </w:r>
      <w:r w:rsidR="001167BC">
        <w:t xml:space="preserve"> = 88%</w:t>
      </w:r>
      <w:r w:rsidRPr="00C31D2B">
        <w:rPr>
          <w:rFonts w:asciiTheme="minorHAnsi" w:hAnsiTheme="minorHAnsi" w:cstheme="minorHAnsi"/>
          <w:sz w:val="24"/>
          <w:szCs w:val="24"/>
        </w:rPr>
        <w:t>) when those receiving anticonvulsants were compared to placebo</w:t>
      </w:r>
      <w:r w:rsidR="00DC3AFC">
        <w:rPr>
          <w:rFonts w:asciiTheme="minorHAnsi" w:hAnsiTheme="minorHAnsi" w:cstheme="minorHAnsi"/>
          <w:sz w:val="24"/>
          <w:szCs w:val="24"/>
        </w:rPr>
        <w:t xml:space="preserve">. </w:t>
      </w:r>
    </w:p>
    <w:p w14:paraId="50BE7D6B" w14:textId="48224F8E" w:rsidR="008B1DB3" w:rsidRPr="004C6728" w:rsidRDefault="00DC3AFC" w:rsidP="005C288B">
      <w:pPr>
        <w:pStyle w:val="Heading3"/>
        <w:jc w:val="both"/>
      </w:pPr>
      <w:r>
        <w:rPr>
          <w:rStyle w:val="Heading4Char"/>
          <w:i w:val="0"/>
          <w:iCs w:val="0"/>
        </w:rPr>
        <w:t>Aggression</w:t>
      </w:r>
    </w:p>
    <w:p w14:paraId="09D76D9C" w14:textId="7F256801" w:rsidR="008B1DB3" w:rsidRPr="00A5769B"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Two trials involving 57 participants provided data for the outcome of aggression. There was no evidence of an effect on aggression when those receiving anticonvulsants were compar</w:t>
      </w:r>
      <w:r w:rsidR="00801840">
        <w:rPr>
          <w:rFonts w:asciiTheme="minorHAnsi" w:hAnsiTheme="minorHAnsi" w:cstheme="minorHAnsi"/>
          <w:sz w:val="24"/>
          <w:szCs w:val="24"/>
        </w:rPr>
        <w:t>ed to placebo (SMD -0.18, 95% CI -0.71 to 0.35</w:t>
      </w:r>
      <w:r w:rsidR="001167BC">
        <w:rPr>
          <w:rFonts w:asciiTheme="minorHAnsi" w:hAnsiTheme="minorHAnsi" w:cstheme="minorHAnsi"/>
          <w:sz w:val="24"/>
          <w:szCs w:val="24"/>
        </w:rPr>
        <w:t xml:space="preserve">, </w:t>
      </w:r>
      <w:r w:rsidR="001167BC">
        <w:t>I</w:t>
      </w:r>
      <w:r w:rsidR="001167BC">
        <w:rPr>
          <w:vertAlign w:val="superscript"/>
        </w:rPr>
        <w:t>2</w:t>
      </w:r>
      <w:r w:rsidR="001167BC">
        <w:t xml:space="preserve"> = 0%</w:t>
      </w:r>
      <w:r w:rsidRPr="00C31D2B">
        <w:rPr>
          <w:rFonts w:asciiTheme="minorHAnsi" w:hAnsiTheme="minorHAnsi" w:cstheme="minorHAnsi"/>
          <w:sz w:val="24"/>
          <w:szCs w:val="24"/>
        </w:rPr>
        <w:t>).</w:t>
      </w:r>
    </w:p>
    <w:p w14:paraId="2894BB03" w14:textId="000E6DFE" w:rsidR="008B1DB3" w:rsidRPr="00A5769B" w:rsidRDefault="00DC3AFC" w:rsidP="005C288B">
      <w:pPr>
        <w:pStyle w:val="Heading3"/>
        <w:jc w:val="both"/>
      </w:pPr>
      <w:r>
        <w:lastRenderedPageBreak/>
        <w:t>Self-injurious behaviour</w:t>
      </w:r>
    </w:p>
    <w:p w14:paraId="6CD7248D" w14:textId="2BFB4375" w:rsidR="008B1DB3" w:rsidRPr="00A5769B"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No included trials reported self-injurious behaviour.</w:t>
      </w:r>
    </w:p>
    <w:p w14:paraId="14A2137C" w14:textId="1744B543" w:rsidR="008B1DB3" w:rsidRPr="00836BD7" w:rsidRDefault="00DC3AFC" w:rsidP="005C288B">
      <w:pPr>
        <w:pStyle w:val="Heading3"/>
        <w:jc w:val="both"/>
      </w:pPr>
      <w:r>
        <w:t>Quality of life</w:t>
      </w:r>
    </w:p>
    <w:p w14:paraId="28D24301" w14:textId="23BDC4B4" w:rsidR="008B1DB3" w:rsidRPr="00A5769B"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No included trials reported quality of life.</w:t>
      </w:r>
    </w:p>
    <w:p w14:paraId="245C4DF0" w14:textId="77777777" w:rsidR="008B1DB3" w:rsidRPr="00A5769B" w:rsidRDefault="008B1DB3" w:rsidP="005C288B">
      <w:pPr>
        <w:pStyle w:val="Heading2"/>
        <w:jc w:val="both"/>
      </w:pPr>
      <w:bookmarkStart w:id="12" w:name="_Toc98918806"/>
      <w:r>
        <w:t>Adverse e</w:t>
      </w:r>
      <w:r w:rsidRPr="00A5769B">
        <w:t>ffects</w:t>
      </w:r>
      <w:bookmarkEnd w:id="12"/>
    </w:p>
    <w:p w14:paraId="0426C10A" w14:textId="2AAF5560" w:rsidR="008B1DB3" w:rsidRPr="004D227F" w:rsidRDefault="00C31D2B" w:rsidP="00F07E64">
      <w:pPr>
        <w:spacing w:before="120" w:after="120" w:line="360" w:lineRule="auto"/>
        <w:rPr>
          <w:rFonts w:asciiTheme="minorHAnsi" w:hAnsiTheme="minorHAnsi" w:cstheme="minorHAnsi"/>
          <w:b/>
          <w:sz w:val="24"/>
          <w:szCs w:val="24"/>
        </w:rPr>
      </w:pPr>
      <w:r w:rsidRPr="00C31D2B">
        <w:rPr>
          <w:rFonts w:asciiTheme="minorHAnsi" w:hAnsiTheme="minorHAnsi" w:cstheme="minorHAnsi"/>
          <w:sz w:val="24"/>
          <w:szCs w:val="24"/>
        </w:rPr>
        <w:t>The types of adverse effects that were reported included cardiovascular, gastrointestinal, immune, metabolic, musculoskeletal, neurological, psychological, respiratory, skin, and urinary effects.</w:t>
      </w:r>
      <w:r w:rsidR="004D227F">
        <w:rPr>
          <w:rFonts w:asciiTheme="minorHAnsi" w:hAnsiTheme="minorHAnsi" w:cstheme="minorHAnsi"/>
          <w:sz w:val="24"/>
          <w:szCs w:val="24"/>
        </w:rPr>
        <w:t xml:space="preserve"> </w:t>
      </w:r>
      <w:r w:rsidR="00D90488">
        <w:rPr>
          <w:rFonts w:asciiTheme="minorHAnsi" w:hAnsiTheme="minorHAnsi" w:cstheme="minorHAnsi"/>
          <w:sz w:val="24"/>
          <w:szCs w:val="24"/>
        </w:rPr>
        <w:t xml:space="preserve">A systematic </w:t>
      </w:r>
      <w:r w:rsidR="009C138B">
        <w:rPr>
          <w:rFonts w:asciiTheme="minorHAnsi" w:hAnsiTheme="minorHAnsi" w:cstheme="minorHAnsi"/>
          <w:sz w:val="24"/>
          <w:szCs w:val="24"/>
        </w:rPr>
        <w:t>review reported</w:t>
      </w:r>
      <w:r w:rsidR="00D90488">
        <w:rPr>
          <w:rFonts w:asciiTheme="minorHAnsi" w:hAnsiTheme="minorHAnsi" w:cstheme="minorHAnsi"/>
          <w:sz w:val="24"/>
          <w:szCs w:val="24"/>
        </w:rPr>
        <w:t xml:space="preserve"> the adverse effects </w:t>
      </w:r>
      <w:r w:rsidR="009C138B">
        <w:rPr>
          <w:rFonts w:asciiTheme="minorHAnsi" w:hAnsiTheme="minorHAnsi" w:cstheme="minorHAnsi"/>
          <w:sz w:val="24"/>
          <w:szCs w:val="24"/>
        </w:rPr>
        <w:t xml:space="preserve">associated with different anticonvulsants among people with epilepsy </w:t>
      </w:r>
      <w:r w:rsidR="00F63645">
        <w:rPr>
          <w:rFonts w:asciiTheme="minorHAnsi" w:hAnsiTheme="minorHAnsi" w:cstheme="minorHAnsi"/>
          <w:sz w:val="24"/>
          <w:szCs w:val="24"/>
        </w:rPr>
        <w:t>(Costa</w:t>
      </w:r>
      <w:r w:rsidR="0066412C">
        <w:rPr>
          <w:rFonts w:asciiTheme="minorHAnsi" w:hAnsiTheme="minorHAnsi" w:cstheme="minorHAnsi"/>
          <w:sz w:val="24"/>
          <w:szCs w:val="24"/>
        </w:rPr>
        <w:t xml:space="preserve"> et al.,</w:t>
      </w:r>
      <w:r w:rsidR="00F63645">
        <w:rPr>
          <w:rFonts w:asciiTheme="minorHAnsi" w:hAnsiTheme="minorHAnsi" w:cstheme="minorHAnsi"/>
          <w:sz w:val="24"/>
          <w:szCs w:val="24"/>
        </w:rPr>
        <w:t xml:space="preserve"> 2011)</w:t>
      </w:r>
      <w:r w:rsidR="009C138B">
        <w:rPr>
          <w:rFonts w:asciiTheme="minorHAnsi" w:hAnsiTheme="minorHAnsi" w:cstheme="minorHAnsi"/>
          <w:sz w:val="24"/>
          <w:szCs w:val="24"/>
        </w:rPr>
        <w:t>. It was reported</w:t>
      </w:r>
      <w:r w:rsidR="00D90488">
        <w:rPr>
          <w:rFonts w:asciiTheme="minorHAnsi" w:hAnsiTheme="minorHAnsi" w:cstheme="minorHAnsi"/>
          <w:sz w:val="24"/>
          <w:szCs w:val="24"/>
        </w:rPr>
        <w:t xml:space="preserve"> that those in the </w:t>
      </w:r>
      <w:r w:rsidR="005046E0">
        <w:rPr>
          <w:rFonts w:asciiTheme="minorHAnsi" w:hAnsiTheme="minorHAnsi" w:cstheme="minorHAnsi"/>
          <w:sz w:val="24"/>
          <w:szCs w:val="24"/>
        </w:rPr>
        <w:t>t</w:t>
      </w:r>
      <w:r w:rsidR="007204FD">
        <w:rPr>
          <w:rFonts w:asciiTheme="minorHAnsi" w:hAnsiTheme="minorHAnsi" w:cstheme="minorHAnsi"/>
          <w:sz w:val="24"/>
          <w:szCs w:val="24"/>
        </w:rPr>
        <w:t>opiramate group had an almost 3</w:t>
      </w:r>
      <w:r w:rsidR="00D90488">
        <w:rPr>
          <w:rFonts w:asciiTheme="minorHAnsi" w:hAnsiTheme="minorHAnsi" w:cstheme="minorHAnsi"/>
          <w:sz w:val="24"/>
          <w:szCs w:val="24"/>
        </w:rPr>
        <w:t>-fold increased risk of fatigue compared to those on placebo</w:t>
      </w:r>
      <w:r w:rsidR="00CB39B8">
        <w:rPr>
          <w:rFonts w:asciiTheme="minorHAnsi" w:hAnsiTheme="minorHAnsi" w:cstheme="minorHAnsi"/>
          <w:sz w:val="24"/>
          <w:szCs w:val="24"/>
        </w:rPr>
        <w:t xml:space="preserve"> or other anticonvulsant</w:t>
      </w:r>
      <w:r w:rsidR="007204FD">
        <w:rPr>
          <w:rFonts w:asciiTheme="minorHAnsi" w:hAnsiTheme="minorHAnsi" w:cstheme="minorHAnsi"/>
          <w:sz w:val="24"/>
          <w:szCs w:val="24"/>
        </w:rPr>
        <w:t xml:space="preserve"> (8 trials, 1092 participants, Odds Ratio 2.74, 95% CI 1.81 to 4.14)</w:t>
      </w:r>
      <w:r w:rsidR="00CB39B8">
        <w:rPr>
          <w:rFonts w:asciiTheme="minorHAnsi" w:hAnsiTheme="minorHAnsi" w:cstheme="minorHAnsi"/>
          <w:sz w:val="24"/>
          <w:szCs w:val="24"/>
        </w:rPr>
        <w:t xml:space="preserve">. </w:t>
      </w:r>
      <w:r w:rsidR="007204FD">
        <w:rPr>
          <w:rFonts w:asciiTheme="minorHAnsi" w:hAnsiTheme="minorHAnsi" w:cstheme="minorHAnsi"/>
          <w:sz w:val="24"/>
          <w:szCs w:val="24"/>
        </w:rPr>
        <w:t>There were no differences between the</w:t>
      </w:r>
      <w:r w:rsidR="005046E0">
        <w:rPr>
          <w:rFonts w:asciiTheme="minorHAnsi" w:hAnsiTheme="minorHAnsi" w:cstheme="minorHAnsi"/>
          <w:sz w:val="24"/>
          <w:szCs w:val="24"/>
        </w:rPr>
        <w:t xml:space="preserve"> levetiracetam and l</w:t>
      </w:r>
      <w:r w:rsidR="00CB39B8">
        <w:rPr>
          <w:rFonts w:asciiTheme="minorHAnsi" w:hAnsiTheme="minorHAnsi" w:cstheme="minorHAnsi"/>
          <w:sz w:val="24"/>
          <w:szCs w:val="24"/>
        </w:rPr>
        <w:t>amotrigine</w:t>
      </w:r>
      <w:r w:rsidR="00730993">
        <w:rPr>
          <w:rFonts w:asciiTheme="minorHAnsi" w:hAnsiTheme="minorHAnsi" w:cstheme="minorHAnsi"/>
          <w:sz w:val="24"/>
          <w:szCs w:val="24"/>
        </w:rPr>
        <w:t xml:space="preserve"> </w:t>
      </w:r>
      <w:r w:rsidR="007204FD">
        <w:rPr>
          <w:rFonts w:asciiTheme="minorHAnsi" w:hAnsiTheme="minorHAnsi" w:cstheme="minorHAnsi"/>
          <w:sz w:val="24"/>
          <w:szCs w:val="24"/>
        </w:rPr>
        <w:t xml:space="preserve">groups compared to placebo for any reported </w:t>
      </w:r>
      <w:r w:rsidR="00CB39B8">
        <w:rPr>
          <w:rFonts w:asciiTheme="minorHAnsi" w:hAnsiTheme="minorHAnsi" w:cstheme="minorHAnsi"/>
          <w:sz w:val="24"/>
          <w:szCs w:val="24"/>
        </w:rPr>
        <w:t xml:space="preserve">adverse effects. </w:t>
      </w:r>
      <w:r w:rsidR="005046E0">
        <w:rPr>
          <w:rFonts w:asciiTheme="minorHAnsi" w:hAnsiTheme="minorHAnsi" w:cstheme="minorHAnsi"/>
          <w:sz w:val="24"/>
          <w:szCs w:val="24"/>
        </w:rPr>
        <w:t>D</w:t>
      </w:r>
      <w:r w:rsidR="00730993" w:rsidRPr="00276170">
        <w:rPr>
          <w:rFonts w:asciiTheme="minorHAnsi" w:hAnsiTheme="minorHAnsi" w:cstheme="minorHAnsi"/>
          <w:sz w:val="24"/>
          <w:szCs w:val="24"/>
        </w:rPr>
        <w:t>ivalproex sodium</w:t>
      </w:r>
      <w:r w:rsidR="005046E0">
        <w:rPr>
          <w:rFonts w:asciiTheme="minorHAnsi" w:hAnsiTheme="minorHAnsi" w:cstheme="minorHAnsi"/>
          <w:sz w:val="24"/>
          <w:szCs w:val="24"/>
        </w:rPr>
        <w:t xml:space="preserve"> and v</w:t>
      </w:r>
      <w:r w:rsidR="00730993">
        <w:rPr>
          <w:rFonts w:asciiTheme="minorHAnsi" w:hAnsiTheme="minorHAnsi" w:cstheme="minorHAnsi"/>
          <w:sz w:val="24"/>
          <w:szCs w:val="24"/>
        </w:rPr>
        <w:t>alproate were not included in the Costa</w:t>
      </w:r>
      <w:r w:rsidR="0066412C">
        <w:rPr>
          <w:rFonts w:asciiTheme="minorHAnsi" w:hAnsiTheme="minorHAnsi" w:cstheme="minorHAnsi"/>
          <w:sz w:val="24"/>
          <w:szCs w:val="24"/>
        </w:rPr>
        <w:t xml:space="preserve"> et al.</w:t>
      </w:r>
      <w:r w:rsidR="00730993">
        <w:rPr>
          <w:rFonts w:asciiTheme="minorHAnsi" w:hAnsiTheme="minorHAnsi" w:cstheme="minorHAnsi"/>
          <w:sz w:val="24"/>
          <w:szCs w:val="24"/>
        </w:rPr>
        <w:t xml:space="preserve"> </w:t>
      </w:r>
      <w:r w:rsidR="0066412C">
        <w:rPr>
          <w:rFonts w:asciiTheme="minorHAnsi" w:hAnsiTheme="minorHAnsi" w:cstheme="minorHAnsi"/>
          <w:sz w:val="24"/>
          <w:szCs w:val="24"/>
        </w:rPr>
        <w:t>(</w:t>
      </w:r>
      <w:r w:rsidR="00730993">
        <w:rPr>
          <w:rFonts w:asciiTheme="minorHAnsi" w:hAnsiTheme="minorHAnsi" w:cstheme="minorHAnsi"/>
          <w:sz w:val="24"/>
          <w:szCs w:val="24"/>
        </w:rPr>
        <w:t>2011</w:t>
      </w:r>
      <w:r w:rsidR="0066412C">
        <w:rPr>
          <w:rFonts w:asciiTheme="minorHAnsi" w:hAnsiTheme="minorHAnsi" w:cstheme="minorHAnsi"/>
          <w:sz w:val="24"/>
          <w:szCs w:val="24"/>
        </w:rPr>
        <w:t>)</w:t>
      </w:r>
      <w:r w:rsidR="00730993">
        <w:rPr>
          <w:rFonts w:asciiTheme="minorHAnsi" w:hAnsiTheme="minorHAnsi" w:cstheme="minorHAnsi"/>
          <w:sz w:val="24"/>
          <w:szCs w:val="24"/>
        </w:rPr>
        <w:t xml:space="preserve"> systematic review. </w:t>
      </w:r>
    </w:p>
    <w:p w14:paraId="5DC84FBB" w14:textId="1AE8C19E" w:rsidR="008B1DB3" w:rsidRPr="00A5769B" w:rsidRDefault="00C31D2B" w:rsidP="005C288B">
      <w:pPr>
        <w:pStyle w:val="Heading3"/>
        <w:jc w:val="both"/>
      </w:pPr>
      <w:r>
        <w:t>Metabolic</w:t>
      </w:r>
      <w:r w:rsidR="008B1DB3" w:rsidRPr="00A5769B">
        <w:t xml:space="preserve"> adverse effects</w:t>
      </w:r>
    </w:p>
    <w:p w14:paraId="68A7B47D" w14:textId="08BBACC1" w:rsidR="008B1DB3" w:rsidRPr="00C32BC2" w:rsidRDefault="00C31D2B" w:rsidP="005C288B">
      <w:pPr>
        <w:pStyle w:val="Heading4"/>
        <w:jc w:val="both"/>
      </w:pPr>
      <w:r w:rsidRPr="00C31D2B">
        <w:t>Decreased appetite</w:t>
      </w:r>
    </w:p>
    <w:p w14:paraId="2F9C5692" w14:textId="563DB5E0" w:rsidR="00C31D2B" w:rsidRPr="00A5769B" w:rsidRDefault="00C31D2B" w:rsidP="00F07E64">
      <w:pPr>
        <w:spacing w:before="120" w:after="120" w:line="360" w:lineRule="auto"/>
        <w:rPr>
          <w:rFonts w:asciiTheme="minorHAnsi" w:hAnsiTheme="minorHAnsi" w:cstheme="minorHAnsi"/>
          <w:sz w:val="24"/>
          <w:szCs w:val="24"/>
        </w:rPr>
      </w:pPr>
      <w:r w:rsidRPr="00C31D2B">
        <w:rPr>
          <w:rFonts w:asciiTheme="minorHAnsi" w:eastAsia="Times New Roman" w:hAnsiTheme="minorHAnsi" w:cstheme="minorHAnsi"/>
          <w:sz w:val="24"/>
          <w:szCs w:val="24"/>
          <w:lang w:eastAsia="en-AU"/>
        </w:rPr>
        <w:t xml:space="preserve">Anticonvulsants were associated with an almost 5.5-fold increase </w:t>
      </w:r>
      <w:r w:rsidR="006659A1">
        <w:rPr>
          <w:rFonts w:asciiTheme="minorHAnsi" w:eastAsia="Times New Roman" w:hAnsiTheme="minorHAnsi" w:cstheme="minorHAnsi"/>
          <w:sz w:val="24"/>
          <w:szCs w:val="24"/>
          <w:lang w:eastAsia="en-AU"/>
        </w:rPr>
        <w:t>in risk of decreased appetite (two</w:t>
      </w:r>
      <w:r w:rsidRPr="00C31D2B">
        <w:rPr>
          <w:rFonts w:asciiTheme="minorHAnsi" w:eastAsia="Times New Roman" w:hAnsiTheme="minorHAnsi" w:cstheme="minorHAnsi"/>
          <w:sz w:val="24"/>
          <w:szCs w:val="24"/>
          <w:lang w:eastAsia="en-AU"/>
        </w:rPr>
        <w:t xml:space="preserve"> trials, 60 participants, RR 5.45, 95% CI 1.02 to 29.23).</w:t>
      </w:r>
    </w:p>
    <w:p w14:paraId="5974C4B6" w14:textId="0EB8E66B" w:rsidR="008B1DB3" w:rsidRPr="00C31D2B" w:rsidRDefault="00C31D2B" w:rsidP="005C288B">
      <w:pPr>
        <w:pStyle w:val="Heading3"/>
        <w:jc w:val="both"/>
        <w:rPr>
          <w:rFonts w:eastAsia="Times New Roman"/>
          <w:lang w:eastAsia="en-AU"/>
        </w:rPr>
      </w:pPr>
      <w:r>
        <w:rPr>
          <w:rFonts w:eastAsia="Times New Roman"/>
          <w:lang w:eastAsia="en-AU"/>
        </w:rPr>
        <w:t>Other</w:t>
      </w:r>
      <w:r w:rsidR="008B1DB3" w:rsidRPr="00A5769B">
        <w:rPr>
          <w:rFonts w:eastAsia="Times New Roman"/>
          <w:lang w:eastAsia="en-AU"/>
        </w:rPr>
        <w:t xml:space="preserve"> adverse effects</w:t>
      </w:r>
    </w:p>
    <w:p w14:paraId="6FAB608B" w14:textId="3E909B50" w:rsidR="008B1DB3" w:rsidRDefault="00C31D2B" w:rsidP="00F07E64">
      <w:pPr>
        <w:spacing w:before="120" w:after="120" w:line="360" w:lineRule="auto"/>
        <w:rPr>
          <w:rFonts w:asciiTheme="minorHAnsi" w:eastAsia="Times New Roman" w:hAnsiTheme="minorHAnsi" w:cstheme="minorHAnsi"/>
          <w:sz w:val="24"/>
          <w:szCs w:val="24"/>
          <w:lang w:eastAsia="en-AU"/>
        </w:rPr>
      </w:pPr>
      <w:r w:rsidRPr="00C31D2B">
        <w:rPr>
          <w:rFonts w:asciiTheme="minorHAnsi" w:eastAsia="Times New Roman" w:hAnsiTheme="minorHAnsi" w:cstheme="minorHAnsi"/>
          <w:sz w:val="24"/>
          <w:szCs w:val="24"/>
          <w:lang w:eastAsia="en-AU"/>
        </w:rPr>
        <w:t>There were no differences between the anticonvulsants and placebo groups in the rates of reported cardiovascular, gastrointestinal, immune, musculoskeletal, neurological, psychological, respiratory, skin, or urinary adverse effects.</w:t>
      </w:r>
    </w:p>
    <w:p w14:paraId="2E87C48C" w14:textId="77777777" w:rsidR="006102E5" w:rsidRPr="00A5769B" w:rsidRDefault="006102E5" w:rsidP="005C288B">
      <w:pPr>
        <w:pStyle w:val="Heading2"/>
        <w:jc w:val="both"/>
      </w:pPr>
      <w:bookmarkStart w:id="13" w:name="_Toc98918807"/>
      <w:r>
        <w:t>Risk of Bias</w:t>
      </w:r>
      <w:bookmarkEnd w:id="13"/>
    </w:p>
    <w:p w14:paraId="596951EE" w14:textId="3AA41793" w:rsidR="006102E5" w:rsidRDefault="004F1481" w:rsidP="005046E0">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Due to the </w:t>
      </w:r>
      <w:r w:rsidR="006102E5" w:rsidRPr="00A5769B">
        <w:rPr>
          <w:rFonts w:asciiTheme="minorHAnsi" w:hAnsiTheme="minorHAnsi" w:cstheme="minorHAnsi"/>
          <w:sz w:val="24"/>
          <w:szCs w:val="24"/>
        </w:rPr>
        <w:t xml:space="preserve">small </w:t>
      </w:r>
      <w:r>
        <w:rPr>
          <w:rFonts w:asciiTheme="minorHAnsi" w:hAnsiTheme="minorHAnsi" w:cstheme="minorHAnsi"/>
          <w:sz w:val="24"/>
          <w:szCs w:val="24"/>
        </w:rPr>
        <w:t xml:space="preserve">number of identified </w:t>
      </w:r>
      <w:r w:rsidR="00E96F12">
        <w:rPr>
          <w:rFonts w:asciiTheme="minorHAnsi" w:hAnsiTheme="minorHAnsi" w:cstheme="minorHAnsi"/>
          <w:sz w:val="24"/>
          <w:szCs w:val="24"/>
        </w:rPr>
        <w:t xml:space="preserve">trials, </w:t>
      </w:r>
      <w:r>
        <w:rPr>
          <w:rFonts w:asciiTheme="minorHAnsi" w:hAnsiTheme="minorHAnsi" w:cstheme="minorHAnsi"/>
          <w:sz w:val="24"/>
          <w:szCs w:val="24"/>
        </w:rPr>
        <w:t xml:space="preserve">overall </w:t>
      </w:r>
      <w:r w:rsidR="00E96F12">
        <w:rPr>
          <w:rFonts w:asciiTheme="minorHAnsi" w:hAnsiTheme="minorHAnsi" w:cstheme="minorHAnsi"/>
          <w:sz w:val="24"/>
          <w:szCs w:val="24"/>
        </w:rPr>
        <w:t>low</w:t>
      </w:r>
      <w:r>
        <w:rPr>
          <w:rFonts w:asciiTheme="minorHAnsi" w:hAnsiTheme="minorHAnsi" w:cstheme="minorHAnsi"/>
          <w:sz w:val="24"/>
          <w:szCs w:val="24"/>
        </w:rPr>
        <w:t xml:space="preserve"> number of participants</w:t>
      </w:r>
      <w:r w:rsidR="00E96F12">
        <w:rPr>
          <w:rFonts w:asciiTheme="minorHAnsi" w:hAnsiTheme="minorHAnsi" w:cstheme="minorHAnsi"/>
          <w:sz w:val="24"/>
          <w:szCs w:val="24"/>
        </w:rPr>
        <w:t>,</w:t>
      </w:r>
      <w:r w:rsidR="006102E5" w:rsidRPr="00A5769B">
        <w:rPr>
          <w:rFonts w:asciiTheme="minorHAnsi" w:hAnsiTheme="minorHAnsi" w:cstheme="minorHAnsi"/>
          <w:sz w:val="24"/>
          <w:szCs w:val="24"/>
        </w:rPr>
        <w:t xml:space="preserve"> </w:t>
      </w:r>
      <w:r w:rsidR="00E96F12">
        <w:rPr>
          <w:rFonts w:asciiTheme="minorHAnsi" w:hAnsiTheme="minorHAnsi" w:cstheme="minorHAnsi"/>
          <w:sz w:val="24"/>
          <w:szCs w:val="24"/>
        </w:rPr>
        <w:t xml:space="preserve">and potential biases in included trials, </w:t>
      </w:r>
      <w:r w:rsidR="006102E5">
        <w:rPr>
          <w:rFonts w:asciiTheme="minorHAnsi" w:hAnsiTheme="minorHAnsi" w:cstheme="minorHAnsi"/>
          <w:sz w:val="24"/>
          <w:szCs w:val="24"/>
        </w:rPr>
        <w:t xml:space="preserve">we rated </w:t>
      </w:r>
      <w:r w:rsidR="007E3109">
        <w:rPr>
          <w:rFonts w:asciiTheme="minorHAnsi" w:hAnsiTheme="minorHAnsi" w:cstheme="minorHAnsi"/>
          <w:sz w:val="24"/>
          <w:szCs w:val="24"/>
        </w:rPr>
        <w:t xml:space="preserve">the </w:t>
      </w:r>
      <w:r w:rsidR="00E96F12">
        <w:rPr>
          <w:rFonts w:asciiTheme="minorHAnsi" w:hAnsiTheme="minorHAnsi" w:cstheme="minorHAnsi"/>
          <w:sz w:val="24"/>
          <w:szCs w:val="24"/>
        </w:rPr>
        <w:t xml:space="preserve">evidence for the benefits and harms of </w:t>
      </w:r>
      <w:r w:rsidR="00E96F12">
        <w:rPr>
          <w:rFonts w:asciiTheme="minorHAnsi" w:hAnsiTheme="minorHAnsi" w:cstheme="minorHAnsi"/>
          <w:sz w:val="24"/>
          <w:szCs w:val="24"/>
        </w:rPr>
        <w:lastRenderedPageBreak/>
        <w:t>anticonvulsants as low quality</w:t>
      </w:r>
      <w:r w:rsidR="006102E5">
        <w:rPr>
          <w:rFonts w:asciiTheme="minorHAnsi" w:hAnsiTheme="minorHAnsi" w:cstheme="minorHAnsi"/>
          <w:sz w:val="24"/>
          <w:szCs w:val="24"/>
        </w:rPr>
        <w:t>.</w:t>
      </w:r>
      <w:r w:rsidR="009E3E4B">
        <w:rPr>
          <w:rFonts w:asciiTheme="minorHAnsi" w:hAnsiTheme="minorHAnsi" w:cstheme="minorHAnsi"/>
          <w:sz w:val="24"/>
          <w:szCs w:val="24"/>
        </w:rPr>
        <w:t xml:space="preserve"> </w:t>
      </w:r>
      <w:r w:rsidR="00E96F12">
        <w:rPr>
          <w:rFonts w:asciiTheme="minorHAnsi" w:hAnsiTheme="minorHAnsi" w:cstheme="minorHAnsi"/>
          <w:sz w:val="24"/>
          <w:szCs w:val="24"/>
        </w:rPr>
        <w:t>P</w:t>
      </w:r>
      <w:r w:rsidR="00FB7397">
        <w:rPr>
          <w:rFonts w:asciiTheme="minorHAnsi" w:hAnsiTheme="minorHAnsi" w:cstheme="minorHAnsi"/>
          <w:sz w:val="24"/>
          <w:szCs w:val="24"/>
        </w:rPr>
        <w:t xml:space="preserve">otential biases in </w:t>
      </w:r>
      <w:r w:rsidR="001A4852">
        <w:rPr>
          <w:rFonts w:asciiTheme="minorHAnsi" w:hAnsiTheme="minorHAnsi" w:cstheme="minorHAnsi"/>
          <w:sz w:val="24"/>
          <w:szCs w:val="24"/>
        </w:rPr>
        <w:t>trial</w:t>
      </w:r>
      <w:r w:rsidR="00825A4E">
        <w:rPr>
          <w:rFonts w:asciiTheme="minorHAnsi" w:hAnsiTheme="minorHAnsi" w:cstheme="minorHAnsi"/>
          <w:sz w:val="24"/>
          <w:szCs w:val="24"/>
        </w:rPr>
        <w:t xml:space="preserve"> design</w:t>
      </w:r>
      <w:r w:rsidR="00FB7397">
        <w:rPr>
          <w:rFonts w:asciiTheme="minorHAnsi" w:hAnsiTheme="minorHAnsi" w:cstheme="minorHAnsi"/>
          <w:sz w:val="24"/>
          <w:szCs w:val="24"/>
        </w:rPr>
        <w:t xml:space="preserve"> </w:t>
      </w:r>
      <w:r w:rsidR="00E96F12">
        <w:rPr>
          <w:rFonts w:asciiTheme="minorHAnsi" w:hAnsiTheme="minorHAnsi" w:cstheme="minorHAnsi"/>
          <w:sz w:val="24"/>
          <w:szCs w:val="24"/>
        </w:rPr>
        <w:t>included methods of</w:t>
      </w:r>
      <w:r w:rsidR="00825A4E">
        <w:rPr>
          <w:rFonts w:asciiTheme="minorHAnsi" w:hAnsiTheme="minorHAnsi" w:cstheme="minorHAnsi"/>
          <w:sz w:val="24"/>
          <w:szCs w:val="24"/>
        </w:rPr>
        <w:t xml:space="preserve"> randomisation, awareness of group allocation</w:t>
      </w:r>
      <w:r w:rsidR="008A57FD">
        <w:rPr>
          <w:rFonts w:asciiTheme="minorHAnsi" w:hAnsiTheme="minorHAnsi" w:cstheme="minorHAnsi"/>
          <w:sz w:val="24"/>
          <w:szCs w:val="24"/>
        </w:rPr>
        <w:t xml:space="preserve"> (blinding), reporting bias</w:t>
      </w:r>
      <w:r w:rsidR="00E96F12">
        <w:rPr>
          <w:rFonts w:asciiTheme="minorHAnsi" w:hAnsiTheme="minorHAnsi" w:cstheme="minorHAnsi"/>
          <w:sz w:val="24"/>
          <w:szCs w:val="24"/>
        </w:rPr>
        <w:t>,</w:t>
      </w:r>
      <w:r w:rsidR="00825A4E">
        <w:rPr>
          <w:rFonts w:asciiTheme="minorHAnsi" w:hAnsiTheme="minorHAnsi" w:cstheme="minorHAnsi"/>
          <w:sz w:val="24"/>
          <w:szCs w:val="24"/>
        </w:rPr>
        <w:t xml:space="preserve"> and </w:t>
      </w:r>
      <w:r w:rsidR="008722B9">
        <w:rPr>
          <w:rFonts w:asciiTheme="minorHAnsi" w:hAnsiTheme="minorHAnsi" w:cstheme="minorHAnsi"/>
          <w:sz w:val="24"/>
          <w:szCs w:val="24"/>
        </w:rPr>
        <w:t xml:space="preserve">external </w:t>
      </w:r>
      <w:r w:rsidR="00825A4E">
        <w:rPr>
          <w:rFonts w:asciiTheme="minorHAnsi" w:hAnsiTheme="minorHAnsi" w:cstheme="minorHAnsi"/>
          <w:sz w:val="24"/>
          <w:szCs w:val="24"/>
        </w:rPr>
        <w:t>fundin</w:t>
      </w:r>
      <w:r w:rsidR="00E96F12">
        <w:rPr>
          <w:rFonts w:asciiTheme="minorHAnsi" w:hAnsiTheme="minorHAnsi" w:cstheme="minorHAnsi"/>
          <w:sz w:val="24"/>
          <w:szCs w:val="24"/>
        </w:rPr>
        <w:t>g.</w:t>
      </w:r>
    </w:p>
    <w:p w14:paraId="44293B44" w14:textId="77777777" w:rsidR="005046E0" w:rsidRPr="00A5769B" w:rsidRDefault="005046E0" w:rsidP="005046E0">
      <w:pPr>
        <w:spacing w:before="120" w:after="120" w:line="360" w:lineRule="auto"/>
        <w:rPr>
          <w:rFonts w:asciiTheme="minorHAnsi" w:hAnsiTheme="minorHAnsi" w:cstheme="minorHAnsi"/>
          <w:sz w:val="24"/>
          <w:szCs w:val="24"/>
        </w:rPr>
      </w:pPr>
    </w:p>
    <w:p w14:paraId="27A1A4CE" w14:textId="77777777" w:rsidR="008B1DB3" w:rsidRPr="00E24CDE" w:rsidRDefault="008B1DB3" w:rsidP="005C288B">
      <w:pPr>
        <w:pStyle w:val="Heading2"/>
        <w:spacing w:before="120" w:after="120" w:line="360" w:lineRule="auto"/>
        <w:jc w:val="both"/>
        <w:rPr>
          <w:rFonts w:asciiTheme="minorHAnsi" w:hAnsiTheme="minorHAnsi" w:cstheme="minorHAnsi"/>
        </w:rPr>
      </w:pPr>
      <w:bookmarkStart w:id="14" w:name="_Toc98918808"/>
      <w:r w:rsidRPr="00A5769B">
        <w:rPr>
          <w:rFonts w:asciiTheme="minorHAnsi" w:hAnsiTheme="minorHAnsi" w:cstheme="minorHAnsi"/>
        </w:rPr>
        <w:t>Discussion</w:t>
      </w:r>
      <w:bookmarkEnd w:id="14"/>
    </w:p>
    <w:p w14:paraId="53F1F445" w14:textId="3386B5FC" w:rsidR="008B1DB3"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 xml:space="preserve">There is low-level evidence that anticonvulsants </w:t>
      </w:r>
      <w:r w:rsidR="00E96F12">
        <w:rPr>
          <w:rFonts w:asciiTheme="minorHAnsi" w:hAnsiTheme="minorHAnsi" w:cstheme="minorHAnsi"/>
          <w:sz w:val="24"/>
          <w:szCs w:val="24"/>
        </w:rPr>
        <w:t>had no effect on irritability</w:t>
      </w:r>
      <w:r w:rsidRPr="00C31D2B">
        <w:rPr>
          <w:rFonts w:asciiTheme="minorHAnsi" w:hAnsiTheme="minorHAnsi" w:cstheme="minorHAnsi"/>
          <w:sz w:val="24"/>
          <w:szCs w:val="24"/>
        </w:rPr>
        <w:t xml:space="preserve"> </w:t>
      </w:r>
      <w:r w:rsidR="00E96F12">
        <w:rPr>
          <w:rFonts w:asciiTheme="minorHAnsi" w:hAnsiTheme="minorHAnsi" w:cstheme="minorHAnsi"/>
          <w:sz w:val="24"/>
          <w:szCs w:val="24"/>
        </w:rPr>
        <w:t xml:space="preserve">and aggression </w:t>
      </w:r>
      <w:r w:rsidRPr="00C31D2B">
        <w:rPr>
          <w:rFonts w:asciiTheme="minorHAnsi" w:hAnsiTheme="minorHAnsi" w:cstheme="minorHAnsi"/>
          <w:sz w:val="24"/>
          <w:szCs w:val="24"/>
        </w:rPr>
        <w:t xml:space="preserve">in people with autism. The evidence is limited by the small number of included </w:t>
      </w:r>
      <w:r w:rsidR="00EC202F">
        <w:rPr>
          <w:rFonts w:asciiTheme="minorHAnsi" w:hAnsiTheme="minorHAnsi" w:cstheme="minorHAnsi"/>
          <w:sz w:val="24"/>
          <w:szCs w:val="24"/>
        </w:rPr>
        <w:t>trials</w:t>
      </w:r>
      <w:r w:rsidRPr="00C31D2B">
        <w:rPr>
          <w:rFonts w:asciiTheme="minorHAnsi" w:hAnsiTheme="minorHAnsi" w:cstheme="minorHAnsi"/>
          <w:sz w:val="24"/>
          <w:szCs w:val="24"/>
        </w:rPr>
        <w:t xml:space="preserve"> and the relatively small sample sizes. Apart from decreased appetite</w:t>
      </w:r>
      <w:r w:rsidR="00AB20C4">
        <w:rPr>
          <w:rFonts w:asciiTheme="minorHAnsi" w:hAnsiTheme="minorHAnsi" w:cstheme="minorHAnsi"/>
          <w:sz w:val="24"/>
          <w:szCs w:val="24"/>
        </w:rPr>
        <w:t>,</w:t>
      </w:r>
      <w:r w:rsidRPr="00C31D2B">
        <w:rPr>
          <w:rFonts w:asciiTheme="minorHAnsi" w:hAnsiTheme="minorHAnsi" w:cstheme="minorHAnsi"/>
          <w:sz w:val="24"/>
          <w:szCs w:val="24"/>
        </w:rPr>
        <w:t xml:space="preserve"> there were no associated adverse </w:t>
      </w:r>
      <w:r w:rsidR="0073276D">
        <w:rPr>
          <w:rFonts w:asciiTheme="minorHAnsi" w:hAnsiTheme="minorHAnsi" w:cstheme="minorHAnsi"/>
          <w:sz w:val="24"/>
          <w:szCs w:val="24"/>
        </w:rPr>
        <w:t xml:space="preserve">effects </w:t>
      </w:r>
      <w:r w:rsidRPr="00C31D2B">
        <w:rPr>
          <w:rFonts w:asciiTheme="minorHAnsi" w:hAnsiTheme="minorHAnsi" w:cstheme="minorHAnsi"/>
          <w:sz w:val="24"/>
          <w:szCs w:val="24"/>
        </w:rPr>
        <w:t>and because all trials were sh</w:t>
      </w:r>
      <w:r w:rsidR="00AB20C4">
        <w:rPr>
          <w:rFonts w:asciiTheme="minorHAnsi" w:hAnsiTheme="minorHAnsi" w:cstheme="minorHAnsi"/>
          <w:sz w:val="24"/>
          <w:szCs w:val="24"/>
        </w:rPr>
        <w:t>ort-term it is unclear if this adverse effect</w:t>
      </w:r>
      <w:r w:rsidRPr="00C31D2B">
        <w:rPr>
          <w:rFonts w:asciiTheme="minorHAnsi" w:hAnsiTheme="minorHAnsi" w:cstheme="minorHAnsi"/>
          <w:sz w:val="24"/>
          <w:szCs w:val="24"/>
        </w:rPr>
        <w:t xml:space="preserve"> would be observed beyond three months.</w:t>
      </w:r>
      <w:r w:rsidR="0073276D">
        <w:rPr>
          <w:rFonts w:asciiTheme="minorHAnsi" w:hAnsiTheme="minorHAnsi" w:cstheme="minorHAnsi"/>
          <w:sz w:val="24"/>
          <w:szCs w:val="24"/>
        </w:rPr>
        <w:t xml:space="preserve"> </w:t>
      </w:r>
    </w:p>
    <w:p w14:paraId="1142AEB0" w14:textId="6EFC1F96" w:rsidR="00C10535" w:rsidRDefault="00C10535" w:rsidP="00C10535">
      <w:pPr>
        <w:spacing w:before="120" w:after="120" w:line="360" w:lineRule="auto"/>
        <w:rPr>
          <w:rFonts w:asciiTheme="minorHAnsi" w:hAnsiTheme="minorHAnsi" w:cstheme="minorHAnsi"/>
          <w:sz w:val="24"/>
          <w:szCs w:val="24"/>
        </w:rPr>
      </w:pPr>
      <w:r>
        <w:rPr>
          <w:rFonts w:asciiTheme="minorHAnsi" w:hAnsiTheme="minorHAnsi" w:cstheme="minorHAnsi"/>
          <w:sz w:val="24"/>
          <w:szCs w:val="24"/>
        </w:rPr>
        <w:t>We are not able to make any conclusions about the benefits and harms of anticonvulsant medication use in adults with ASD as the clear majority of participants in these trials were under the age of 18.</w:t>
      </w:r>
    </w:p>
    <w:p w14:paraId="0434D06A" w14:textId="7DE5C391" w:rsidR="008B1DB3" w:rsidRPr="00A5769B" w:rsidRDefault="008B1DB3" w:rsidP="005C288B">
      <w:pPr>
        <w:pStyle w:val="Heading3"/>
        <w:spacing w:before="120" w:after="120" w:line="360" w:lineRule="auto"/>
        <w:jc w:val="both"/>
        <w:rPr>
          <w:rFonts w:asciiTheme="minorHAnsi" w:hAnsiTheme="minorHAnsi" w:cstheme="minorHAnsi"/>
        </w:rPr>
      </w:pPr>
      <w:r w:rsidRPr="00A5769B">
        <w:rPr>
          <w:rFonts w:asciiTheme="minorHAnsi" w:hAnsiTheme="minorHAnsi" w:cstheme="minorHAnsi"/>
        </w:rPr>
        <w:t>Implications for Research</w:t>
      </w:r>
    </w:p>
    <w:p w14:paraId="792C21B6" w14:textId="69D75104" w:rsidR="008B1DB3" w:rsidRDefault="00E96F12" w:rsidP="00F07E64">
      <w:pPr>
        <w:spacing w:before="120" w:after="120" w:line="360" w:lineRule="auto"/>
        <w:rPr>
          <w:rFonts w:asciiTheme="minorHAnsi" w:hAnsiTheme="minorHAnsi" w:cstheme="minorHAnsi"/>
          <w:sz w:val="24"/>
          <w:szCs w:val="24"/>
        </w:rPr>
      </w:pPr>
      <w:r>
        <w:rPr>
          <w:rFonts w:asciiTheme="minorHAnsi" w:hAnsiTheme="minorHAnsi" w:cstheme="minorHAnsi"/>
          <w:sz w:val="24"/>
          <w:szCs w:val="24"/>
        </w:rPr>
        <w:t>In this review, there were only a few identified trials of anticonvulsants, which also had potential biases. Therefore, there is a need for high quality trials of the effectiveness of anticonvulsants on behaviours of concern in people with autism. As</w:t>
      </w:r>
      <w:r w:rsidR="00084BB5">
        <w:rPr>
          <w:rFonts w:asciiTheme="minorHAnsi" w:hAnsiTheme="minorHAnsi" w:cstheme="minorHAnsi"/>
          <w:sz w:val="24"/>
          <w:szCs w:val="24"/>
        </w:rPr>
        <w:t xml:space="preserve"> the maximum length of identified trials was three months, trials which evaluate the long-term </w:t>
      </w:r>
      <w:r w:rsidR="00C31D2B" w:rsidRPr="00C31D2B">
        <w:rPr>
          <w:rFonts w:asciiTheme="minorHAnsi" w:hAnsiTheme="minorHAnsi" w:cstheme="minorHAnsi"/>
          <w:sz w:val="24"/>
          <w:szCs w:val="24"/>
        </w:rPr>
        <w:t xml:space="preserve">effectiveness </w:t>
      </w:r>
      <w:r w:rsidR="00084BB5">
        <w:rPr>
          <w:rFonts w:asciiTheme="minorHAnsi" w:hAnsiTheme="minorHAnsi" w:cstheme="minorHAnsi"/>
          <w:sz w:val="24"/>
          <w:szCs w:val="24"/>
        </w:rPr>
        <w:t xml:space="preserve">of anticonvulsants </w:t>
      </w:r>
      <w:r w:rsidR="00C31D2B" w:rsidRPr="00C31D2B">
        <w:rPr>
          <w:rFonts w:asciiTheme="minorHAnsi" w:hAnsiTheme="minorHAnsi" w:cstheme="minorHAnsi"/>
          <w:sz w:val="24"/>
          <w:szCs w:val="24"/>
        </w:rPr>
        <w:t>and</w:t>
      </w:r>
      <w:r w:rsidR="00084BB5">
        <w:rPr>
          <w:rFonts w:asciiTheme="minorHAnsi" w:hAnsiTheme="minorHAnsi" w:cstheme="minorHAnsi"/>
          <w:sz w:val="24"/>
          <w:szCs w:val="24"/>
        </w:rPr>
        <w:t xml:space="preserve"> associated</w:t>
      </w:r>
      <w:r w:rsidR="00C31D2B" w:rsidRPr="00C31D2B">
        <w:rPr>
          <w:rFonts w:asciiTheme="minorHAnsi" w:hAnsiTheme="minorHAnsi" w:cstheme="minorHAnsi"/>
          <w:sz w:val="24"/>
          <w:szCs w:val="24"/>
        </w:rPr>
        <w:t xml:space="preserve"> adverse effects </w:t>
      </w:r>
      <w:r w:rsidR="00084BB5">
        <w:rPr>
          <w:rFonts w:asciiTheme="minorHAnsi" w:hAnsiTheme="minorHAnsi" w:cstheme="minorHAnsi"/>
          <w:sz w:val="24"/>
          <w:szCs w:val="24"/>
        </w:rPr>
        <w:t>are also required.</w:t>
      </w:r>
    </w:p>
    <w:p w14:paraId="2D162D97" w14:textId="77777777" w:rsidR="008B1DB3" w:rsidRPr="00A5769B" w:rsidRDefault="008B1DB3" w:rsidP="005C288B">
      <w:pPr>
        <w:pStyle w:val="Heading3"/>
        <w:spacing w:before="120" w:after="120" w:line="360" w:lineRule="auto"/>
        <w:jc w:val="both"/>
        <w:rPr>
          <w:rFonts w:asciiTheme="minorHAnsi" w:hAnsiTheme="minorHAnsi" w:cstheme="minorHAnsi"/>
        </w:rPr>
      </w:pPr>
      <w:r w:rsidRPr="00A5769B">
        <w:rPr>
          <w:rFonts w:asciiTheme="minorHAnsi" w:hAnsiTheme="minorHAnsi" w:cstheme="minorHAnsi"/>
        </w:rPr>
        <w:t xml:space="preserve">Implications for </w:t>
      </w:r>
      <w:r w:rsidR="004C6728">
        <w:rPr>
          <w:rFonts w:asciiTheme="minorHAnsi" w:hAnsiTheme="minorHAnsi" w:cstheme="minorHAnsi"/>
        </w:rPr>
        <w:t>p</w:t>
      </w:r>
      <w:r w:rsidRPr="00A5769B">
        <w:rPr>
          <w:rFonts w:asciiTheme="minorHAnsi" w:hAnsiTheme="minorHAnsi" w:cstheme="minorHAnsi"/>
        </w:rPr>
        <w:t>ractice</w:t>
      </w:r>
    </w:p>
    <w:p w14:paraId="229E2B4B" w14:textId="5D748889" w:rsidR="004C6728" w:rsidRDefault="00C31D2B" w:rsidP="00F07E64">
      <w:pPr>
        <w:spacing w:before="120" w:after="120" w:line="360" w:lineRule="auto"/>
        <w:rPr>
          <w:rFonts w:asciiTheme="minorHAnsi" w:hAnsiTheme="minorHAnsi" w:cstheme="minorHAnsi"/>
          <w:sz w:val="24"/>
          <w:szCs w:val="24"/>
        </w:rPr>
      </w:pPr>
      <w:r w:rsidRPr="00C31D2B">
        <w:rPr>
          <w:rFonts w:asciiTheme="minorHAnsi" w:hAnsiTheme="minorHAnsi" w:cstheme="minorHAnsi"/>
          <w:sz w:val="24"/>
          <w:szCs w:val="24"/>
        </w:rPr>
        <w:t xml:space="preserve">Based on data from all identified trials that compared anticonvulsants to placebo, anticonvulsants do not appear to reduce behaviours of concern. </w:t>
      </w:r>
      <w:r w:rsidR="00084BB5">
        <w:rPr>
          <w:rFonts w:asciiTheme="minorHAnsi" w:hAnsiTheme="minorHAnsi" w:cstheme="minorHAnsi"/>
          <w:sz w:val="24"/>
          <w:szCs w:val="24"/>
        </w:rPr>
        <w:t>A</w:t>
      </w:r>
      <w:r w:rsidRPr="00C31D2B">
        <w:rPr>
          <w:rFonts w:asciiTheme="minorHAnsi" w:hAnsiTheme="minorHAnsi" w:cstheme="minorHAnsi"/>
          <w:sz w:val="24"/>
          <w:szCs w:val="24"/>
        </w:rPr>
        <w:t>nticonvulsants were associated</w:t>
      </w:r>
      <w:r w:rsidR="00084BB5">
        <w:rPr>
          <w:rFonts w:asciiTheme="minorHAnsi" w:hAnsiTheme="minorHAnsi" w:cstheme="minorHAnsi"/>
          <w:sz w:val="24"/>
          <w:szCs w:val="24"/>
        </w:rPr>
        <w:t xml:space="preserve"> with minimal adverse effects; h</w:t>
      </w:r>
      <w:r w:rsidRPr="00C31D2B">
        <w:rPr>
          <w:rFonts w:asciiTheme="minorHAnsi" w:hAnsiTheme="minorHAnsi" w:cstheme="minorHAnsi"/>
          <w:sz w:val="24"/>
          <w:szCs w:val="24"/>
        </w:rPr>
        <w:t xml:space="preserve">owever, </w:t>
      </w:r>
      <w:r w:rsidR="00084BB5">
        <w:rPr>
          <w:rFonts w:asciiTheme="minorHAnsi" w:hAnsiTheme="minorHAnsi" w:cstheme="minorHAnsi"/>
          <w:sz w:val="24"/>
          <w:szCs w:val="24"/>
        </w:rPr>
        <w:t>as</w:t>
      </w:r>
      <w:r w:rsidRPr="00C31D2B">
        <w:rPr>
          <w:rFonts w:asciiTheme="minorHAnsi" w:hAnsiTheme="minorHAnsi" w:cstheme="minorHAnsi"/>
          <w:sz w:val="24"/>
          <w:szCs w:val="24"/>
        </w:rPr>
        <w:t xml:space="preserve"> all trials were </w:t>
      </w:r>
      <w:r w:rsidR="00084BB5">
        <w:rPr>
          <w:rFonts w:asciiTheme="minorHAnsi" w:hAnsiTheme="minorHAnsi" w:cstheme="minorHAnsi"/>
          <w:sz w:val="24"/>
          <w:szCs w:val="24"/>
        </w:rPr>
        <w:t>short-term</w:t>
      </w:r>
      <w:r w:rsidRPr="00C31D2B">
        <w:rPr>
          <w:rFonts w:asciiTheme="minorHAnsi" w:hAnsiTheme="minorHAnsi" w:cstheme="minorHAnsi"/>
          <w:sz w:val="24"/>
          <w:szCs w:val="24"/>
        </w:rPr>
        <w:t xml:space="preserve">, it remains unclear </w:t>
      </w:r>
      <w:r w:rsidR="00084BB5">
        <w:rPr>
          <w:rFonts w:asciiTheme="minorHAnsi" w:hAnsiTheme="minorHAnsi" w:cstheme="minorHAnsi"/>
          <w:sz w:val="24"/>
          <w:szCs w:val="24"/>
        </w:rPr>
        <w:t xml:space="preserve">whether these </w:t>
      </w:r>
      <w:r w:rsidRPr="00C31D2B">
        <w:rPr>
          <w:rFonts w:asciiTheme="minorHAnsi" w:hAnsiTheme="minorHAnsi" w:cstheme="minorHAnsi"/>
          <w:sz w:val="24"/>
          <w:szCs w:val="24"/>
        </w:rPr>
        <w:t xml:space="preserve">adverse effects occur beyond </w:t>
      </w:r>
      <w:r w:rsidR="00084BB5">
        <w:rPr>
          <w:rFonts w:asciiTheme="minorHAnsi" w:hAnsiTheme="minorHAnsi" w:cstheme="minorHAnsi"/>
          <w:sz w:val="24"/>
          <w:szCs w:val="24"/>
        </w:rPr>
        <w:t>3 months</w:t>
      </w:r>
      <w:r w:rsidRPr="00C31D2B">
        <w:rPr>
          <w:rFonts w:asciiTheme="minorHAnsi" w:hAnsiTheme="minorHAnsi" w:cstheme="minorHAnsi"/>
          <w:sz w:val="24"/>
          <w:szCs w:val="24"/>
        </w:rPr>
        <w:t>.</w:t>
      </w:r>
    </w:p>
    <w:p w14:paraId="50DE954F" w14:textId="01780563" w:rsidR="00251B30" w:rsidRDefault="00FB7397" w:rsidP="00084BB5">
      <w:pPr>
        <w:spacing w:before="120" w:after="120" w:line="360" w:lineRule="auto"/>
        <w:rPr>
          <w:rFonts w:asciiTheme="minorHAnsi" w:hAnsiTheme="minorHAnsi" w:cstheme="minorHAnsi"/>
          <w:sz w:val="24"/>
          <w:szCs w:val="24"/>
        </w:rPr>
      </w:pPr>
      <w:r>
        <w:rPr>
          <w:rFonts w:asciiTheme="minorHAnsi" w:hAnsiTheme="minorHAnsi" w:cstheme="minorHAnsi"/>
          <w:sz w:val="24"/>
          <w:szCs w:val="24"/>
        </w:rPr>
        <w:t>B</w:t>
      </w:r>
      <w:r w:rsidR="00251B30">
        <w:rPr>
          <w:rFonts w:asciiTheme="minorHAnsi" w:hAnsiTheme="minorHAnsi" w:cstheme="minorHAnsi"/>
          <w:sz w:val="24"/>
          <w:szCs w:val="24"/>
        </w:rPr>
        <w:t xml:space="preserve">efore considering medications to manage a person’s behaviour of concern, a comprehensive </w:t>
      </w:r>
      <w:r>
        <w:rPr>
          <w:rFonts w:asciiTheme="minorHAnsi" w:hAnsiTheme="minorHAnsi" w:cstheme="minorHAnsi"/>
          <w:sz w:val="24"/>
          <w:szCs w:val="24"/>
        </w:rPr>
        <w:t xml:space="preserve">health </w:t>
      </w:r>
      <w:r w:rsidR="00251B30">
        <w:rPr>
          <w:rFonts w:asciiTheme="minorHAnsi" w:hAnsiTheme="minorHAnsi" w:cstheme="minorHAnsi"/>
          <w:sz w:val="24"/>
          <w:szCs w:val="24"/>
        </w:rPr>
        <w:t>assessment to gain a functional understa</w:t>
      </w:r>
      <w:r w:rsidR="005C2A8F">
        <w:rPr>
          <w:rFonts w:asciiTheme="minorHAnsi" w:hAnsiTheme="minorHAnsi" w:cstheme="minorHAnsi"/>
          <w:sz w:val="24"/>
          <w:szCs w:val="24"/>
        </w:rPr>
        <w:t>nding of their behaviours can</w:t>
      </w:r>
      <w:r w:rsidR="00251B30">
        <w:rPr>
          <w:rFonts w:asciiTheme="minorHAnsi" w:hAnsiTheme="minorHAnsi" w:cstheme="minorHAnsi"/>
          <w:sz w:val="24"/>
          <w:szCs w:val="24"/>
        </w:rPr>
        <w:t xml:space="preserve"> be undertaken and non-pharmacological interventions</w:t>
      </w:r>
      <w:r>
        <w:rPr>
          <w:rFonts w:asciiTheme="minorHAnsi" w:hAnsiTheme="minorHAnsi" w:cstheme="minorHAnsi"/>
          <w:sz w:val="24"/>
          <w:szCs w:val="24"/>
        </w:rPr>
        <w:t xml:space="preserve"> such as Positive Behaviour Support </w:t>
      </w:r>
      <w:r w:rsidR="007A7719">
        <w:rPr>
          <w:rFonts w:asciiTheme="minorHAnsi" w:hAnsiTheme="minorHAnsi" w:cstheme="minorHAnsi"/>
          <w:sz w:val="24"/>
          <w:szCs w:val="24"/>
        </w:rPr>
        <w:t xml:space="preserve">trialled </w:t>
      </w:r>
      <w:r w:rsidR="007A7719" w:rsidRPr="00871CAA">
        <w:rPr>
          <w:rFonts w:asciiTheme="minorHAnsi" w:hAnsiTheme="minorHAnsi" w:cstheme="minorHAnsi"/>
          <w:sz w:val="24"/>
          <w:szCs w:val="24"/>
        </w:rPr>
        <w:t>(</w:t>
      </w:r>
      <w:r w:rsidR="00871CAA" w:rsidRPr="00871CAA">
        <w:rPr>
          <w:rFonts w:asciiTheme="minorHAnsi" w:hAnsiTheme="minorHAnsi" w:cstheme="minorHAnsi"/>
          <w:sz w:val="24"/>
          <w:szCs w:val="24"/>
        </w:rPr>
        <w:t>National Institute for Health and Care Excellence,</w:t>
      </w:r>
      <w:r w:rsidR="00871CAA">
        <w:rPr>
          <w:rFonts w:asciiTheme="minorHAnsi" w:hAnsiTheme="minorHAnsi" w:cstheme="minorHAnsi"/>
        </w:rPr>
        <w:t xml:space="preserve"> </w:t>
      </w:r>
      <w:r w:rsidR="007A7719">
        <w:rPr>
          <w:rFonts w:asciiTheme="minorHAnsi" w:hAnsiTheme="minorHAnsi" w:cstheme="minorHAnsi"/>
          <w:sz w:val="24"/>
          <w:szCs w:val="24"/>
        </w:rPr>
        <w:t>2015).</w:t>
      </w:r>
    </w:p>
    <w:p w14:paraId="2FAB4F45" w14:textId="3CA01BDC" w:rsidR="00FB7397" w:rsidRDefault="00FB7397" w:rsidP="00084BB5">
      <w:pPr>
        <w:spacing w:before="120" w:after="120" w:line="360" w:lineRule="auto"/>
        <w:rPr>
          <w:rFonts w:asciiTheme="minorHAnsi" w:hAnsiTheme="minorHAnsi" w:cstheme="minorHAnsi"/>
          <w:sz w:val="24"/>
          <w:szCs w:val="24"/>
        </w:rPr>
      </w:pPr>
      <w:r w:rsidRPr="00120DE9">
        <w:rPr>
          <w:rFonts w:asciiTheme="minorHAnsi" w:hAnsiTheme="minorHAnsi" w:cstheme="minorHAnsi"/>
          <w:sz w:val="24"/>
          <w:szCs w:val="24"/>
        </w:rPr>
        <w:lastRenderedPageBreak/>
        <w:t xml:space="preserve">If </w:t>
      </w:r>
      <w:r w:rsidRPr="005A6068">
        <w:rPr>
          <w:rFonts w:asciiTheme="minorHAnsi" w:hAnsiTheme="minorHAnsi" w:cstheme="minorHAnsi"/>
          <w:sz w:val="24"/>
          <w:szCs w:val="24"/>
        </w:rPr>
        <w:t xml:space="preserve">Positive Behaviour Support </w:t>
      </w:r>
      <w:r w:rsidRPr="00FB7397">
        <w:rPr>
          <w:rFonts w:asciiTheme="minorHAnsi" w:hAnsiTheme="minorHAnsi" w:cstheme="minorHAnsi"/>
          <w:sz w:val="24"/>
          <w:szCs w:val="24"/>
        </w:rPr>
        <w:t>strategies</w:t>
      </w:r>
      <w:r w:rsidRPr="00120DE9">
        <w:rPr>
          <w:rFonts w:asciiTheme="minorHAnsi" w:hAnsiTheme="minorHAnsi" w:cstheme="minorHAnsi"/>
          <w:sz w:val="24"/>
          <w:szCs w:val="24"/>
        </w:rPr>
        <w:t xml:space="preserve"> are not effective, a qualified medical practitioner should be consulted </w:t>
      </w:r>
      <w:r>
        <w:rPr>
          <w:rFonts w:asciiTheme="minorHAnsi" w:hAnsiTheme="minorHAnsi" w:cstheme="minorHAnsi"/>
          <w:sz w:val="24"/>
          <w:szCs w:val="24"/>
        </w:rPr>
        <w:t xml:space="preserve">so that the </w:t>
      </w:r>
      <w:r w:rsidRPr="006579AA">
        <w:rPr>
          <w:rFonts w:asciiTheme="minorHAnsi" w:hAnsiTheme="minorHAnsi" w:cstheme="minorHAnsi"/>
          <w:sz w:val="24"/>
          <w:szCs w:val="24"/>
        </w:rPr>
        <w:t xml:space="preserve">risks and benefits </w:t>
      </w:r>
      <w:r>
        <w:rPr>
          <w:rFonts w:asciiTheme="minorHAnsi" w:hAnsiTheme="minorHAnsi" w:cstheme="minorHAnsi"/>
          <w:sz w:val="24"/>
          <w:szCs w:val="24"/>
        </w:rPr>
        <w:t>associated with anticonvulsant medications can be discussed with the person and other support persons such a family members</w:t>
      </w:r>
      <w:r w:rsidRPr="00120DE9">
        <w:rPr>
          <w:rFonts w:asciiTheme="minorHAnsi" w:hAnsiTheme="minorHAnsi" w:cstheme="minorHAnsi"/>
          <w:sz w:val="24"/>
          <w:szCs w:val="24"/>
        </w:rPr>
        <w:t>.</w:t>
      </w:r>
    </w:p>
    <w:p w14:paraId="276D3FC3" w14:textId="37F4A198" w:rsidR="00FB7397" w:rsidRPr="00120DE9" w:rsidRDefault="00FB7397" w:rsidP="00084BB5">
      <w:pPr>
        <w:spacing w:before="120" w:after="120" w:line="360" w:lineRule="auto"/>
        <w:rPr>
          <w:rFonts w:asciiTheme="minorHAnsi" w:hAnsiTheme="minorHAnsi" w:cstheme="minorHAnsi"/>
          <w:sz w:val="24"/>
          <w:szCs w:val="24"/>
        </w:rPr>
      </w:pPr>
      <w:r w:rsidRPr="00120DE9">
        <w:rPr>
          <w:rFonts w:asciiTheme="minorHAnsi" w:hAnsiTheme="minorHAnsi" w:cstheme="minorHAnsi"/>
          <w:sz w:val="24"/>
          <w:szCs w:val="24"/>
        </w:rPr>
        <w:t>If partici</w:t>
      </w:r>
      <w:r>
        <w:rPr>
          <w:rFonts w:asciiTheme="minorHAnsi" w:hAnsiTheme="minorHAnsi" w:cstheme="minorHAnsi"/>
          <w:sz w:val="24"/>
          <w:szCs w:val="24"/>
        </w:rPr>
        <w:t xml:space="preserve">pants are receiving anticonvulsants </w:t>
      </w:r>
      <w:r w:rsidRPr="00120DE9">
        <w:rPr>
          <w:rFonts w:asciiTheme="minorHAnsi" w:hAnsiTheme="minorHAnsi" w:cstheme="minorHAnsi"/>
          <w:sz w:val="24"/>
          <w:szCs w:val="24"/>
        </w:rPr>
        <w:t xml:space="preserve">to manage behaviours of concern, </w:t>
      </w:r>
      <w:r w:rsidR="005C2A8F" w:rsidRPr="005C2A8F">
        <w:rPr>
          <w:rFonts w:asciiTheme="minorHAnsi" w:hAnsiTheme="minorHAnsi" w:cstheme="minorHAnsi"/>
          <w:sz w:val="24"/>
          <w:szCs w:val="24"/>
        </w:rPr>
        <w:t>providers can support them to ensure they are</w:t>
      </w:r>
      <w:r w:rsidRPr="00120DE9">
        <w:rPr>
          <w:rFonts w:asciiTheme="minorHAnsi" w:hAnsiTheme="minorHAnsi" w:cstheme="minorHAnsi"/>
          <w:sz w:val="24"/>
          <w:szCs w:val="24"/>
        </w:rPr>
        <w:t xml:space="preserve"> regularly reviewed by a qua</w:t>
      </w:r>
      <w:r w:rsidR="00084BB5">
        <w:rPr>
          <w:rFonts w:asciiTheme="minorHAnsi" w:hAnsiTheme="minorHAnsi" w:cstheme="minorHAnsi"/>
          <w:sz w:val="24"/>
          <w:szCs w:val="24"/>
        </w:rPr>
        <w:t>lified medical practitioner.</w:t>
      </w:r>
    </w:p>
    <w:p w14:paraId="6559ADA6" w14:textId="7C2A010A" w:rsidR="00690F7F" w:rsidRDefault="00690F7F">
      <w:pPr>
        <w:spacing w:before="120" w:after="120" w:line="240" w:lineRule="auto"/>
        <w:rPr>
          <w:rFonts w:asciiTheme="minorHAnsi" w:hAnsiTheme="minorHAnsi" w:cstheme="minorHAnsi"/>
          <w:sz w:val="24"/>
          <w:szCs w:val="24"/>
        </w:rPr>
      </w:pPr>
      <w:r>
        <w:rPr>
          <w:rFonts w:asciiTheme="minorHAnsi" w:hAnsiTheme="minorHAnsi" w:cstheme="minorHAnsi"/>
          <w:sz w:val="24"/>
          <w:szCs w:val="24"/>
        </w:rPr>
        <w:br w:type="page"/>
      </w:r>
    </w:p>
    <w:p w14:paraId="28EF99D7" w14:textId="7DEBA9E5" w:rsidR="008B1DB3" w:rsidRPr="007A11D6" w:rsidRDefault="008B1DB3" w:rsidP="00084BB5">
      <w:pPr>
        <w:pStyle w:val="Heading1"/>
      </w:pPr>
      <w:bookmarkStart w:id="15" w:name="_Toc98918809"/>
      <w:r w:rsidRPr="007A11D6">
        <w:lastRenderedPageBreak/>
        <w:t>References</w:t>
      </w:r>
      <w:bookmarkEnd w:id="15"/>
    </w:p>
    <w:p w14:paraId="4D75593E" w14:textId="6352B618" w:rsidR="00C31D2B" w:rsidRPr="0024331F" w:rsidRDefault="00C31D2B"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American Psychiatric Association </w:t>
      </w:r>
      <w:r w:rsidR="00B45600" w:rsidRPr="0024331F">
        <w:rPr>
          <w:rFonts w:asciiTheme="minorHAnsi" w:hAnsiTheme="minorHAnsi" w:cstheme="minorHAnsi"/>
          <w:sz w:val="24"/>
          <w:szCs w:val="24"/>
        </w:rPr>
        <w:t>(APA)</w:t>
      </w:r>
      <w:r w:rsidR="00256DA6" w:rsidRPr="0024331F">
        <w:rPr>
          <w:rFonts w:asciiTheme="minorHAnsi" w:hAnsiTheme="minorHAnsi" w:cstheme="minorHAnsi"/>
          <w:sz w:val="24"/>
          <w:szCs w:val="24"/>
        </w:rPr>
        <w:t>.</w:t>
      </w:r>
      <w:r w:rsidR="00B45600" w:rsidRPr="0024331F">
        <w:rPr>
          <w:rFonts w:asciiTheme="minorHAnsi" w:hAnsiTheme="minorHAnsi" w:cstheme="minorHAnsi"/>
          <w:sz w:val="24"/>
          <w:szCs w:val="24"/>
        </w:rPr>
        <w:t xml:space="preserve"> </w:t>
      </w:r>
      <w:r w:rsidR="00256DA6" w:rsidRPr="0024331F">
        <w:rPr>
          <w:rFonts w:asciiTheme="minorHAnsi" w:hAnsiTheme="minorHAnsi" w:cstheme="minorHAnsi"/>
          <w:sz w:val="24"/>
          <w:szCs w:val="24"/>
        </w:rPr>
        <w:t>(</w:t>
      </w:r>
      <w:r w:rsidR="00B45600" w:rsidRPr="0024331F">
        <w:rPr>
          <w:rFonts w:asciiTheme="minorHAnsi" w:hAnsiTheme="minorHAnsi" w:cstheme="minorHAnsi"/>
          <w:sz w:val="24"/>
          <w:szCs w:val="24"/>
        </w:rPr>
        <w:t>2013</w:t>
      </w:r>
      <w:r w:rsidR="00256DA6" w:rsidRPr="0024331F">
        <w:rPr>
          <w:rFonts w:asciiTheme="minorHAnsi" w:hAnsiTheme="minorHAnsi" w:cstheme="minorHAnsi"/>
          <w:sz w:val="24"/>
          <w:szCs w:val="24"/>
        </w:rPr>
        <w:t>)</w:t>
      </w:r>
      <w:r w:rsidRPr="0024331F">
        <w:rPr>
          <w:rFonts w:asciiTheme="minorHAnsi" w:hAnsiTheme="minorHAnsi" w:cstheme="minorHAnsi"/>
          <w:sz w:val="24"/>
          <w:szCs w:val="24"/>
        </w:rPr>
        <w:t>. Diagnostic and Statistical Manual of Mental Disorders. 5th Edition. Arlington, VA: American Psychiatric Association.</w:t>
      </w:r>
    </w:p>
    <w:p w14:paraId="3EF52FB3" w14:textId="6DD5B037" w:rsidR="00652006" w:rsidRPr="0024331F" w:rsidRDefault="00652006" w:rsidP="00057382">
      <w:pPr>
        <w:spacing w:before="240" w:after="120" w:line="360" w:lineRule="auto"/>
        <w:rPr>
          <w:rStyle w:val="Hyperlink"/>
          <w:rFonts w:asciiTheme="minorHAnsi" w:eastAsia="Times New Roman" w:hAnsiTheme="minorHAnsi" w:cstheme="minorHAnsi"/>
          <w:sz w:val="24"/>
          <w:szCs w:val="24"/>
          <w:lang w:eastAsia="en-AU"/>
        </w:rPr>
      </w:pPr>
      <w:r w:rsidRPr="0024331F">
        <w:rPr>
          <w:rFonts w:asciiTheme="minorHAnsi" w:hAnsiTheme="minorHAnsi" w:cstheme="minorHAnsi"/>
          <w:color w:val="222222"/>
          <w:sz w:val="24"/>
          <w:szCs w:val="24"/>
          <w:shd w:val="clear" w:color="auto" w:fill="FFFFFF"/>
        </w:rPr>
        <w:t>Arora, N. K., Nair, M. K. C., Gulati, S., Deshmukh, V., Mohapatra, A., Mishra, D., ... &amp; Vajaratkar, V. (2018). Neurodevelopmental disorders in children aged 2–9 years: Population-based burden estimates across five regions in India. </w:t>
      </w:r>
      <w:r w:rsidRPr="0024331F">
        <w:rPr>
          <w:rFonts w:asciiTheme="minorHAnsi" w:hAnsiTheme="minorHAnsi" w:cstheme="minorHAnsi"/>
          <w:i/>
          <w:iCs/>
          <w:color w:val="222222"/>
          <w:sz w:val="24"/>
          <w:szCs w:val="24"/>
          <w:shd w:val="clear" w:color="auto" w:fill="FFFFFF"/>
        </w:rPr>
        <w:t>PLoS medicine</w:t>
      </w:r>
      <w:r w:rsidRPr="0024331F">
        <w:rPr>
          <w:rFonts w:asciiTheme="minorHAnsi" w:hAnsiTheme="minorHAnsi" w:cstheme="minorHAnsi"/>
          <w:color w:val="222222"/>
          <w:sz w:val="24"/>
          <w:szCs w:val="24"/>
          <w:shd w:val="clear" w:color="auto" w:fill="FFFFFF"/>
        </w:rPr>
        <w:t>, </w:t>
      </w:r>
      <w:r w:rsidRPr="0024331F">
        <w:rPr>
          <w:rFonts w:asciiTheme="minorHAnsi" w:hAnsiTheme="minorHAnsi" w:cstheme="minorHAnsi"/>
          <w:i/>
          <w:iCs/>
          <w:color w:val="222222"/>
          <w:sz w:val="24"/>
          <w:szCs w:val="24"/>
          <w:shd w:val="clear" w:color="auto" w:fill="FFFFFF"/>
        </w:rPr>
        <w:t>15</w:t>
      </w:r>
      <w:r w:rsidRPr="0024331F">
        <w:rPr>
          <w:rFonts w:asciiTheme="minorHAnsi" w:hAnsiTheme="minorHAnsi" w:cstheme="minorHAnsi"/>
          <w:color w:val="222222"/>
          <w:sz w:val="24"/>
          <w:szCs w:val="24"/>
          <w:shd w:val="clear" w:color="auto" w:fill="FFFFFF"/>
        </w:rPr>
        <w:t xml:space="preserve">(7), e1002615 - </w:t>
      </w:r>
      <w:r w:rsidRPr="0024331F">
        <w:rPr>
          <w:rFonts w:asciiTheme="minorHAnsi" w:eastAsia="Times New Roman" w:hAnsiTheme="minorHAnsi" w:cstheme="minorHAnsi"/>
          <w:color w:val="3A3A3A"/>
          <w:sz w:val="24"/>
          <w:szCs w:val="24"/>
          <w:lang w:eastAsia="en-AU"/>
        </w:rPr>
        <w:t xml:space="preserve">e1002615. </w:t>
      </w:r>
      <w:hyperlink r:id="rId8" w:history="1">
        <w:r w:rsidRPr="0024331F">
          <w:rPr>
            <w:rStyle w:val="Hyperlink"/>
            <w:rFonts w:asciiTheme="minorHAnsi" w:eastAsia="Times New Roman" w:hAnsiTheme="minorHAnsi" w:cstheme="minorHAnsi"/>
            <w:sz w:val="24"/>
            <w:szCs w:val="24"/>
            <w:lang w:eastAsia="en-AU"/>
          </w:rPr>
          <w:t>https://doi.org/10.1371/journal.pmed.1002615</w:t>
        </w:r>
      </w:hyperlink>
    </w:p>
    <w:p w14:paraId="7A1CD0DB" w14:textId="77777777" w:rsidR="00652006" w:rsidRPr="0024331F" w:rsidRDefault="00652006" w:rsidP="00057382">
      <w:pPr>
        <w:shd w:val="clear" w:color="auto" w:fill="FFFFFF"/>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Australian Institute of Health and Welfare (AIHW). (2017). </w:t>
      </w:r>
      <w:r w:rsidRPr="0024331F">
        <w:rPr>
          <w:rFonts w:asciiTheme="minorHAnsi" w:hAnsiTheme="minorHAnsi" w:cstheme="minorHAnsi"/>
          <w:i/>
          <w:sz w:val="24"/>
          <w:szCs w:val="24"/>
        </w:rPr>
        <w:t>Autism in Australia</w:t>
      </w:r>
      <w:r w:rsidRPr="0024331F">
        <w:rPr>
          <w:rFonts w:asciiTheme="minorHAnsi" w:hAnsiTheme="minorHAnsi" w:cstheme="minorHAnsi"/>
          <w:sz w:val="24"/>
          <w:szCs w:val="24"/>
        </w:rPr>
        <w:t xml:space="preserve">. </w:t>
      </w:r>
      <w:hyperlink r:id="rId9" w:history="1">
        <w:r w:rsidRPr="0024331F">
          <w:rPr>
            <w:rStyle w:val="Hyperlink"/>
            <w:rFonts w:asciiTheme="minorHAnsi" w:hAnsiTheme="minorHAnsi" w:cstheme="minorHAnsi"/>
            <w:sz w:val="24"/>
            <w:szCs w:val="24"/>
          </w:rPr>
          <w:t>www.aihw.gov.au/reports/disability/autism-inaustralia/contents/autism</w:t>
        </w:r>
      </w:hyperlink>
      <w:r w:rsidRPr="0024331F">
        <w:rPr>
          <w:rFonts w:asciiTheme="minorHAnsi" w:hAnsiTheme="minorHAnsi" w:cstheme="minorHAnsi"/>
          <w:sz w:val="24"/>
          <w:szCs w:val="24"/>
        </w:rPr>
        <w:t xml:space="preserve"> </w:t>
      </w:r>
    </w:p>
    <w:p w14:paraId="3E854AC2" w14:textId="77777777"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Australian Institute of Health and Welfare (AIHW). (2020). </w:t>
      </w:r>
      <w:r w:rsidRPr="0024331F">
        <w:rPr>
          <w:rFonts w:asciiTheme="minorHAnsi" w:hAnsiTheme="minorHAnsi" w:cstheme="minorHAnsi"/>
          <w:i/>
          <w:sz w:val="24"/>
          <w:szCs w:val="24"/>
        </w:rPr>
        <w:t>Autism in Australia</w:t>
      </w:r>
      <w:r w:rsidRPr="0024331F">
        <w:rPr>
          <w:rFonts w:asciiTheme="minorHAnsi" w:hAnsiTheme="minorHAnsi" w:cstheme="minorHAnsi"/>
          <w:sz w:val="24"/>
          <w:szCs w:val="24"/>
        </w:rPr>
        <w:t xml:space="preserve">. </w:t>
      </w:r>
      <w:hyperlink r:id="rId10" w:history="1">
        <w:r w:rsidRPr="0024331F">
          <w:rPr>
            <w:rStyle w:val="Hyperlink"/>
            <w:rFonts w:asciiTheme="minorHAnsi" w:hAnsiTheme="minorHAnsi" w:cstheme="minorHAnsi"/>
            <w:sz w:val="24"/>
            <w:szCs w:val="24"/>
          </w:rPr>
          <w:t>https://www.aihw.gov.au/reports/disability/autism-in-australia/contents/autism</w:t>
        </w:r>
      </w:hyperlink>
      <w:r w:rsidRPr="0024331F">
        <w:rPr>
          <w:rFonts w:asciiTheme="minorHAnsi" w:hAnsiTheme="minorHAnsi" w:cstheme="minorHAnsi"/>
          <w:sz w:val="24"/>
          <w:szCs w:val="24"/>
        </w:rPr>
        <w:t xml:space="preserve"> </w:t>
      </w:r>
    </w:p>
    <w:p w14:paraId="7F084A68" w14:textId="77777777"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Bertelli, M. O., Rossi, M., Keller, R., &amp; Lassi, S. (2016). Update on psychopharmacology for autism spectrum disorders. </w:t>
      </w:r>
      <w:r w:rsidRPr="0024331F">
        <w:rPr>
          <w:rFonts w:asciiTheme="minorHAnsi" w:hAnsiTheme="minorHAnsi" w:cstheme="minorHAnsi"/>
          <w:i/>
          <w:sz w:val="24"/>
          <w:szCs w:val="24"/>
        </w:rPr>
        <w:t>Advances in Mental Health and Intellectual Disabilities, 10</w:t>
      </w:r>
      <w:r w:rsidRPr="0024331F">
        <w:rPr>
          <w:rFonts w:asciiTheme="minorHAnsi" w:hAnsiTheme="minorHAnsi" w:cstheme="minorHAnsi"/>
          <w:sz w:val="24"/>
          <w:szCs w:val="24"/>
        </w:rPr>
        <w:t>(1), 6–26. https://doi.org/10.1108/AMHID-10-2015-0049</w:t>
      </w:r>
    </w:p>
    <w:p w14:paraId="7B197472" w14:textId="7F709969"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Canitano, R. (2015). Mood stabilizers in children and adolescents with autism spectrum disorders. </w:t>
      </w:r>
      <w:r w:rsidRPr="0024331F">
        <w:rPr>
          <w:rFonts w:asciiTheme="minorHAnsi" w:hAnsiTheme="minorHAnsi" w:cstheme="minorHAnsi"/>
          <w:i/>
          <w:sz w:val="24"/>
          <w:szCs w:val="24"/>
        </w:rPr>
        <w:t>Clinical Neuropharmacology, 38</w:t>
      </w:r>
      <w:r w:rsidRPr="0024331F">
        <w:rPr>
          <w:rFonts w:asciiTheme="minorHAnsi" w:hAnsiTheme="minorHAnsi" w:cstheme="minorHAnsi"/>
          <w:sz w:val="24"/>
          <w:szCs w:val="24"/>
        </w:rPr>
        <w:t xml:space="preserve">(5), 177-182. doi: </w:t>
      </w:r>
      <w:r w:rsidRPr="0024331F">
        <w:rPr>
          <w:rFonts w:asciiTheme="minorHAnsi" w:hAnsiTheme="minorHAnsi" w:cstheme="minorHAnsi"/>
          <w:sz w:val="24"/>
          <w:szCs w:val="24"/>
          <w:shd w:val="clear" w:color="auto" w:fill="FFFFFF"/>
        </w:rPr>
        <w:t>10.</w:t>
      </w:r>
      <w:r w:rsidRPr="0024331F">
        <w:rPr>
          <w:rFonts w:asciiTheme="minorHAnsi" w:hAnsiTheme="minorHAnsi" w:cstheme="minorHAnsi"/>
          <w:sz w:val="24"/>
          <w:szCs w:val="24"/>
        </w:rPr>
        <w:t>1097/WNF.0000000000000096</w:t>
      </w:r>
    </w:p>
    <w:p w14:paraId="6416E423" w14:textId="77777777"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Chen, C. Y., Chen, K. H., Liu, C. Y., Huang, S. L., &amp; Lin, K. M. (2009). Increased risks of congenital, neurologic, and endocrine disorders associated with autism in preschool children: Cognitive ability differences. </w:t>
      </w:r>
      <w:r w:rsidRPr="0024331F">
        <w:rPr>
          <w:rFonts w:asciiTheme="minorHAnsi" w:hAnsiTheme="minorHAnsi" w:cstheme="minorHAnsi"/>
          <w:i/>
          <w:sz w:val="24"/>
          <w:szCs w:val="24"/>
        </w:rPr>
        <w:t>The Journal of Pediatrics</w:t>
      </w:r>
      <w:r w:rsidRPr="0024331F">
        <w:rPr>
          <w:rFonts w:asciiTheme="minorHAnsi" w:hAnsiTheme="minorHAnsi" w:cstheme="minorHAnsi"/>
          <w:sz w:val="24"/>
          <w:szCs w:val="24"/>
        </w:rPr>
        <w:t>, </w:t>
      </w:r>
      <w:r w:rsidRPr="0024331F">
        <w:rPr>
          <w:rFonts w:asciiTheme="minorHAnsi" w:hAnsiTheme="minorHAnsi" w:cstheme="minorHAnsi"/>
          <w:i/>
          <w:sz w:val="24"/>
          <w:szCs w:val="24"/>
        </w:rPr>
        <w:t>154</w:t>
      </w:r>
      <w:r w:rsidRPr="0024331F">
        <w:rPr>
          <w:rFonts w:asciiTheme="minorHAnsi" w:hAnsiTheme="minorHAnsi" w:cstheme="minorHAnsi"/>
          <w:sz w:val="24"/>
          <w:szCs w:val="24"/>
        </w:rPr>
        <w:t>(3), 345–350.e1. https://doi.org/10.1016/j.jpeds.2008.09.043</w:t>
      </w:r>
    </w:p>
    <w:p w14:paraId="5D3AEF06" w14:textId="675EF109" w:rsidR="0024331F" w:rsidRDefault="00652006" w:rsidP="00057382">
      <w:pPr>
        <w:shd w:val="clear" w:color="auto" w:fill="FFFFFF"/>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Cleaton M. M. A., </w:t>
      </w:r>
      <w:r w:rsidR="00635ABE" w:rsidRPr="0024331F">
        <w:rPr>
          <w:rFonts w:asciiTheme="minorHAnsi" w:hAnsiTheme="minorHAnsi" w:cstheme="minorHAnsi"/>
          <w:sz w:val="24"/>
          <w:szCs w:val="24"/>
        </w:rPr>
        <w:t xml:space="preserve">&amp; </w:t>
      </w:r>
      <w:r w:rsidRPr="0024331F">
        <w:rPr>
          <w:rFonts w:asciiTheme="minorHAnsi" w:hAnsiTheme="minorHAnsi" w:cstheme="minorHAnsi"/>
          <w:sz w:val="24"/>
          <w:szCs w:val="24"/>
        </w:rPr>
        <w:t xml:space="preserve">Kirby A. (2018). Why do we find it so hard to calculate the burden of neurodevelopmental disorders? </w:t>
      </w:r>
      <w:r w:rsidRPr="0024331F">
        <w:rPr>
          <w:rFonts w:asciiTheme="minorHAnsi" w:hAnsiTheme="minorHAnsi" w:cstheme="minorHAnsi"/>
          <w:i/>
          <w:sz w:val="24"/>
          <w:szCs w:val="24"/>
        </w:rPr>
        <w:t>Journal of childhood and developmental disorders, 4</w:t>
      </w:r>
      <w:r w:rsidRPr="0024331F">
        <w:rPr>
          <w:rFonts w:asciiTheme="minorHAnsi" w:hAnsiTheme="minorHAnsi" w:cstheme="minorHAnsi"/>
          <w:sz w:val="24"/>
          <w:szCs w:val="24"/>
        </w:rPr>
        <w:t xml:space="preserve">(3): 330-338. </w:t>
      </w:r>
    </w:p>
    <w:p w14:paraId="7D19F1D2" w14:textId="0581C6F4" w:rsidR="00652006" w:rsidRPr="0024331F" w:rsidRDefault="0024331F" w:rsidP="0024331F">
      <w:pPr>
        <w:spacing w:before="120" w:after="120" w:line="240" w:lineRule="auto"/>
        <w:rPr>
          <w:rFonts w:asciiTheme="minorHAnsi" w:hAnsiTheme="minorHAnsi" w:cstheme="minorHAnsi"/>
          <w:sz w:val="24"/>
          <w:szCs w:val="24"/>
        </w:rPr>
      </w:pPr>
      <w:r>
        <w:rPr>
          <w:rFonts w:asciiTheme="minorHAnsi" w:hAnsiTheme="minorHAnsi" w:cstheme="minorHAnsi"/>
          <w:sz w:val="24"/>
          <w:szCs w:val="24"/>
        </w:rPr>
        <w:br w:type="page"/>
      </w:r>
    </w:p>
    <w:p w14:paraId="4DFC9163" w14:textId="6A276EFD" w:rsidR="00690F7F" w:rsidRPr="0024331F" w:rsidRDefault="00652006" w:rsidP="0024331F">
      <w:pPr>
        <w:shd w:val="clear" w:color="auto" w:fill="FFFFFF"/>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lastRenderedPageBreak/>
        <w:t>Cortes-Altamirano, J., Olmos-Hernández, A., Bonilla-Jaime, H., Bandala, C., González-Maciel, A., &amp; Alfaro-Rodríguez, A. (2016). Levetiracetam as an antiepileptic, neuroprotective, and hyperalgesic drug. </w:t>
      </w:r>
      <w:r w:rsidRPr="0024331F">
        <w:rPr>
          <w:rFonts w:asciiTheme="minorHAnsi" w:hAnsiTheme="minorHAnsi" w:cstheme="minorHAnsi"/>
          <w:i/>
          <w:sz w:val="24"/>
          <w:szCs w:val="24"/>
        </w:rPr>
        <w:t>Neurology India, 64</w:t>
      </w:r>
      <w:r w:rsidRPr="0024331F">
        <w:rPr>
          <w:rFonts w:asciiTheme="minorHAnsi" w:hAnsiTheme="minorHAnsi" w:cstheme="minorHAnsi"/>
          <w:sz w:val="24"/>
          <w:szCs w:val="24"/>
        </w:rPr>
        <w:t>(6), 1266–1275. https://doi.org/10.4103/0028-3886.193801</w:t>
      </w:r>
    </w:p>
    <w:p w14:paraId="123A474A" w14:textId="2FC5AFF8"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Costa, J., Fareleira, F., Ascenção, R., Borges, M., Sampaio, C., &amp; Vaz‐Carneiro, A. (2011). Clinical comparability of the new antiepileptic drugs in refractory partial epilepsy: A systematic review and meta‐analysis. </w:t>
      </w:r>
      <w:r w:rsidRPr="0024331F">
        <w:rPr>
          <w:rFonts w:asciiTheme="minorHAnsi" w:hAnsiTheme="minorHAnsi" w:cstheme="minorHAnsi"/>
          <w:i/>
          <w:sz w:val="24"/>
          <w:szCs w:val="24"/>
        </w:rPr>
        <w:t>Epilepsia (Copenhagen), 52</w:t>
      </w:r>
      <w:r w:rsidRPr="0024331F">
        <w:rPr>
          <w:rFonts w:asciiTheme="minorHAnsi" w:hAnsiTheme="minorHAnsi" w:cstheme="minorHAnsi"/>
          <w:sz w:val="24"/>
          <w:szCs w:val="24"/>
        </w:rPr>
        <w:t>(7), 1280–1291. https://doi.org/10.1111/j.1528-1167.2011.03047.x</w:t>
      </w:r>
    </w:p>
    <w:p w14:paraId="60CD9163" w14:textId="3E6B047D"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Deb, S., Kwok, H., Bertelli, M., Salvador-Carulla, L., Bradley, E., Torr, J., &amp; Barnhill, J. (2009). International guide to prescribing psychotropic medication for the management of problem behaviours in adults with intellectual disabilities. </w:t>
      </w:r>
      <w:r w:rsidRPr="0024331F">
        <w:rPr>
          <w:rFonts w:asciiTheme="minorHAnsi" w:hAnsiTheme="minorHAnsi" w:cstheme="minorHAnsi"/>
          <w:i/>
          <w:sz w:val="24"/>
          <w:szCs w:val="24"/>
        </w:rPr>
        <w:t>World Psychiatry, 8</w:t>
      </w:r>
      <w:r w:rsidRPr="0024331F">
        <w:rPr>
          <w:rFonts w:asciiTheme="minorHAnsi" w:hAnsiTheme="minorHAnsi" w:cstheme="minorHAnsi"/>
          <w:sz w:val="24"/>
          <w:szCs w:val="24"/>
        </w:rPr>
        <w:t xml:space="preserve">(3), 181–186. </w:t>
      </w:r>
      <w:hyperlink r:id="rId11" w:history="1">
        <w:r w:rsidR="0066412C" w:rsidRPr="0024331F">
          <w:rPr>
            <w:rStyle w:val="Hyperlink"/>
            <w:rFonts w:asciiTheme="minorHAnsi" w:hAnsiTheme="minorHAnsi" w:cstheme="minorHAnsi"/>
            <w:sz w:val="24"/>
            <w:szCs w:val="24"/>
          </w:rPr>
          <w:t>https://doi.org/10.1002/j.2051-5545.2009.tb00248.x</w:t>
        </w:r>
      </w:hyperlink>
    </w:p>
    <w:p w14:paraId="5E22684A" w14:textId="069AC077" w:rsidR="0066412C" w:rsidRPr="0024331F" w:rsidRDefault="0066412C" w:rsidP="0066412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hAnsiTheme="minorHAnsi" w:cstheme="minorHAnsi"/>
          <w:sz w:val="24"/>
          <w:szCs w:val="24"/>
          <w:lang w:val="en"/>
        </w:rPr>
        <w:t xml:space="preserve">Deeks, J. J., Higgins J. P. T., </w:t>
      </w:r>
      <w:r w:rsidR="00370665" w:rsidRPr="0024331F">
        <w:rPr>
          <w:rFonts w:asciiTheme="minorHAnsi" w:hAnsiTheme="minorHAnsi" w:cstheme="minorHAnsi"/>
          <w:sz w:val="24"/>
          <w:szCs w:val="24"/>
          <w:lang w:val="en"/>
        </w:rPr>
        <w:t xml:space="preserve">&amp; </w:t>
      </w:r>
      <w:r w:rsidRPr="0024331F">
        <w:rPr>
          <w:rFonts w:asciiTheme="minorHAnsi" w:hAnsiTheme="minorHAnsi" w:cstheme="minorHAnsi"/>
          <w:sz w:val="24"/>
          <w:szCs w:val="24"/>
          <w:lang w:val="en"/>
        </w:rPr>
        <w:t xml:space="preserve">Altman, D. G. (2020). Chapter 10: Analysing data and undertaking meta-analyses. In: Higgins J. P. T., Thomas, J., Chandler, J., Cumpston, M., Li, T., Page, M, J., Welch, V. A., (Eds.), </w:t>
      </w:r>
      <w:r w:rsidRPr="0024331F">
        <w:rPr>
          <w:rFonts w:asciiTheme="minorHAnsi" w:hAnsiTheme="minorHAnsi" w:cstheme="minorHAnsi"/>
          <w:i/>
          <w:sz w:val="24"/>
          <w:szCs w:val="24"/>
          <w:lang w:val="en"/>
        </w:rPr>
        <w:t>Cochrane Handbook for Systematic Reviews of Interventions</w:t>
      </w:r>
      <w:r w:rsidRPr="0024331F">
        <w:rPr>
          <w:rFonts w:asciiTheme="minorHAnsi" w:hAnsiTheme="minorHAnsi" w:cstheme="minorHAnsi"/>
          <w:sz w:val="24"/>
          <w:szCs w:val="24"/>
          <w:lang w:val="en"/>
        </w:rPr>
        <w:t xml:space="preserve"> version 6.1 (Updated September 2020). Available from </w:t>
      </w:r>
      <w:hyperlink r:id="rId12" w:history="1">
        <w:r w:rsidRPr="0024331F">
          <w:rPr>
            <w:rStyle w:val="Hyperlink"/>
            <w:rFonts w:asciiTheme="minorHAnsi" w:hAnsiTheme="minorHAnsi" w:cstheme="minorHAnsi"/>
            <w:color w:val="002D64"/>
            <w:sz w:val="24"/>
            <w:szCs w:val="24"/>
          </w:rPr>
          <w:t>www.training.cochrane.org/handbook</w:t>
        </w:r>
      </w:hyperlink>
      <w:r w:rsidRPr="0024331F">
        <w:rPr>
          <w:rFonts w:asciiTheme="minorHAnsi" w:hAnsiTheme="minorHAnsi" w:cstheme="minorHAnsi"/>
          <w:color w:val="333333"/>
          <w:sz w:val="24"/>
          <w:szCs w:val="24"/>
        </w:rPr>
        <w:t xml:space="preserve"> </w:t>
      </w:r>
    </w:p>
    <w:p w14:paraId="494F62F3" w14:textId="77777777" w:rsidR="00652006" w:rsidRPr="0024331F" w:rsidRDefault="00652006" w:rsidP="00057382">
      <w:pPr>
        <w:spacing w:before="240" w:after="120" w:line="360" w:lineRule="auto"/>
        <w:rPr>
          <w:rStyle w:val="Strong"/>
          <w:rFonts w:asciiTheme="minorHAnsi" w:hAnsiTheme="minorHAnsi" w:cstheme="minorHAnsi"/>
          <w:b w:val="0"/>
          <w:sz w:val="24"/>
          <w:szCs w:val="24"/>
          <w:shd w:val="clear" w:color="auto" w:fill="F5F5F5"/>
        </w:rPr>
      </w:pPr>
      <w:r w:rsidRPr="0024331F">
        <w:rPr>
          <w:rStyle w:val="Strong"/>
          <w:rFonts w:asciiTheme="minorHAnsi" w:hAnsiTheme="minorHAnsi" w:cstheme="minorHAnsi"/>
          <w:b w:val="0"/>
          <w:sz w:val="24"/>
          <w:szCs w:val="24"/>
          <w:shd w:val="clear" w:color="auto" w:fill="F5F5F5"/>
        </w:rPr>
        <w:t>Delorenzo, R., Sun, D. A., &amp; Deshpande, L. S. (2005). Cellular mechanisms underlying acquired epilepsy: the calcium hypothesis of the induction and maintenance of epilepsy. </w:t>
      </w:r>
      <w:r w:rsidRPr="0024331F">
        <w:rPr>
          <w:rStyle w:val="Strong"/>
          <w:rFonts w:asciiTheme="minorHAnsi" w:hAnsiTheme="minorHAnsi" w:cstheme="minorHAnsi"/>
          <w:b w:val="0"/>
          <w:i/>
          <w:sz w:val="24"/>
          <w:szCs w:val="24"/>
          <w:shd w:val="clear" w:color="auto" w:fill="F5F5F5"/>
        </w:rPr>
        <w:t>Pharmacology &amp; Therapeutics (Oxford), 105</w:t>
      </w:r>
      <w:r w:rsidRPr="0024331F">
        <w:rPr>
          <w:rStyle w:val="Strong"/>
          <w:rFonts w:asciiTheme="minorHAnsi" w:hAnsiTheme="minorHAnsi" w:cstheme="minorHAnsi"/>
          <w:b w:val="0"/>
          <w:sz w:val="24"/>
          <w:szCs w:val="24"/>
          <w:shd w:val="clear" w:color="auto" w:fill="F5F5F5"/>
        </w:rPr>
        <w:t>(3), 229–266. https://doi.org/10.1016/j.pharmthera.2004.10.004</w:t>
      </w:r>
    </w:p>
    <w:p w14:paraId="0593D1E8" w14:textId="77777777" w:rsidR="00652006" w:rsidRPr="0024331F" w:rsidRDefault="00652006"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hAnsiTheme="minorHAnsi" w:cstheme="minorHAnsi"/>
          <w:sz w:val="24"/>
          <w:szCs w:val="24"/>
        </w:rPr>
        <w:t xml:space="preserve">DSM-5. (2013). </w:t>
      </w:r>
      <w:r w:rsidRPr="0024331F">
        <w:rPr>
          <w:rFonts w:asciiTheme="minorHAnsi" w:hAnsiTheme="minorHAnsi" w:cstheme="minorHAnsi"/>
          <w:i/>
          <w:sz w:val="24"/>
          <w:szCs w:val="24"/>
        </w:rPr>
        <w:t>American Psychiatric Association. Diagnostic and Statistical Manual of Mental Disorders. 5th edition</w:t>
      </w:r>
      <w:r w:rsidRPr="0024331F">
        <w:rPr>
          <w:rFonts w:asciiTheme="minorHAnsi" w:hAnsiTheme="minorHAnsi" w:cstheme="minorHAnsi"/>
          <w:sz w:val="24"/>
          <w:szCs w:val="24"/>
        </w:rPr>
        <w:t xml:space="preserve">. Arlington (VT): American Psychiatric Publishing. </w:t>
      </w:r>
    </w:p>
    <w:p w14:paraId="12E86BA7" w14:textId="390507A2" w:rsidR="0024331F" w:rsidRDefault="00652006" w:rsidP="00057382">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24331F">
        <w:rPr>
          <w:rFonts w:asciiTheme="minorHAnsi" w:eastAsia="Times New Roman" w:hAnsiTheme="minorHAnsi" w:cstheme="minorHAnsi"/>
          <w:color w:val="3A3A3A"/>
          <w:sz w:val="24"/>
          <w:szCs w:val="24"/>
          <w:lang w:eastAsia="en-AU"/>
        </w:rPr>
        <w:t>Elsabbagh, M., Divan, G., Koh, Y.-J., Kim, Y. S., Kauchali, S., Marcín, C., Montiel-Nava, C., Patel, V., Paula, C. S., Wang, C., Yasamy, M. T., &amp; Fombonne, E. (2012). Global prevalence of autism and other pervasive developmental disorders. </w:t>
      </w:r>
      <w:r w:rsidRPr="0024331F">
        <w:rPr>
          <w:rFonts w:asciiTheme="minorHAnsi" w:eastAsia="Times New Roman" w:hAnsiTheme="minorHAnsi" w:cstheme="minorHAnsi"/>
          <w:i/>
          <w:iCs/>
          <w:color w:val="3A3A3A"/>
          <w:sz w:val="24"/>
          <w:szCs w:val="24"/>
          <w:lang w:eastAsia="en-AU"/>
        </w:rPr>
        <w:t>Autism Research</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5</w:t>
      </w:r>
      <w:r w:rsidRPr="0024331F">
        <w:rPr>
          <w:rFonts w:asciiTheme="minorHAnsi" w:eastAsia="Times New Roman" w:hAnsiTheme="minorHAnsi" w:cstheme="minorHAnsi"/>
          <w:color w:val="3A3A3A"/>
          <w:sz w:val="24"/>
          <w:szCs w:val="24"/>
          <w:lang w:eastAsia="en-AU"/>
        </w:rPr>
        <w:t xml:space="preserve">(3), 160–179. </w:t>
      </w:r>
      <w:hyperlink r:id="rId13" w:history="1">
        <w:r w:rsidRPr="0024331F">
          <w:rPr>
            <w:rStyle w:val="Hyperlink"/>
            <w:rFonts w:asciiTheme="minorHAnsi" w:eastAsia="Times New Roman" w:hAnsiTheme="minorHAnsi" w:cstheme="minorHAnsi"/>
            <w:sz w:val="24"/>
            <w:szCs w:val="24"/>
            <w:lang w:eastAsia="en-AU"/>
          </w:rPr>
          <w:t>https://doi.org/10.1002/aur.239</w:t>
        </w:r>
      </w:hyperlink>
    </w:p>
    <w:p w14:paraId="40A29A44" w14:textId="2A13BE7D" w:rsidR="00652006" w:rsidRPr="0024331F" w:rsidRDefault="0024331F" w:rsidP="0024331F">
      <w:pPr>
        <w:spacing w:before="120" w:after="120" w:line="240" w:lineRule="auto"/>
        <w:rPr>
          <w:rStyle w:val="Hyperlink"/>
          <w:rFonts w:asciiTheme="minorHAnsi" w:eastAsia="Times New Roman" w:hAnsiTheme="minorHAnsi" w:cstheme="minorHAnsi"/>
          <w:sz w:val="24"/>
          <w:szCs w:val="24"/>
          <w:lang w:eastAsia="en-AU"/>
        </w:rPr>
      </w:pPr>
      <w:r>
        <w:rPr>
          <w:rStyle w:val="Hyperlink"/>
          <w:rFonts w:asciiTheme="minorHAnsi" w:eastAsia="Times New Roman" w:hAnsiTheme="minorHAnsi" w:cstheme="minorHAnsi"/>
          <w:sz w:val="24"/>
          <w:szCs w:val="24"/>
          <w:lang w:eastAsia="en-AU"/>
        </w:rPr>
        <w:br w:type="page"/>
      </w:r>
    </w:p>
    <w:p w14:paraId="54291D16" w14:textId="77777777" w:rsidR="0066412C" w:rsidRPr="0024331F" w:rsidRDefault="0066412C" w:rsidP="0066412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lastRenderedPageBreak/>
        <w:t>Emerson, E., Robertson, J., Gregory, N., Hatton, C., Kessissoglou, S., Hallam, A., &amp; Hillery, J. (2000). Treatment and management of challenging behaviours in residential settings. </w:t>
      </w:r>
      <w:r w:rsidRPr="0024331F">
        <w:rPr>
          <w:rFonts w:asciiTheme="minorHAnsi" w:eastAsia="Times New Roman" w:hAnsiTheme="minorHAnsi" w:cstheme="minorHAnsi"/>
          <w:i/>
          <w:iCs/>
          <w:color w:val="3A3A3A"/>
          <w:sz w:val="24"/>
          <w:szCs w:val="24"/>
          <w:lang w:eastAsia="en-AU"/>
        </w:rPr>
        <w:t>Journal of Applied Research in Intellectual Disabilities</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13</w:t>
      </w:r>
      <w:r w:rsidRPr="0024331F">
        <w:rPr>
          <w:rFonts w:asciiTheme="minorHAnsi" w:eastAsia="Times New Roman" w:hAnsiTheme="minorHAnsi" w:cstheme="minorHAnsi"/>
          <w:color w:val="3A3A3A"/>
          <w:sz w:val="24"/>
          <w:szCs w:val="24"/>
          <w:lang w:eastAsia="en-AU"/>
        </w:rPr>
        <w:t>(4), 197–215. https://doi.org/10.1046/j.1468-3148.2000.00036.x</w:t>
      </w:r>
    </w:p>
    <w:p w14:paraId="4BF9F248" w14:textId="3BBD6411" w:rsidR="00652006" w:rsidRPr="0024331F" w:rsidRDefault="00652006" w:rsidP="00721F9A">
      <w:pPr>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Geiger, W. J., Nievera, C. C., Musil, B., &amp; Goldstein, J. T. (2011). Managing seizures: achieving control while minimizing risk. </w:t>
      </w:r>
      <w:r w:rsidRPr="0024331F">
        <w:rPr>
          <w:rFonts w:asciiTheme="minorHAnsi" w:eastAsia="Times New Roman" w:hAnsiTheme="minorHAnsi" w:cstheme="minorHAnsi"/>
          <w:i/>
          <w:iCs/>
          <w:color w:val="3A3A3A"/>
          <w:sz w:val="24"/>
          <w:szCs w:val="24"/>
          <w:lang w:eastAsia="en-AU"/>
        </w:rPr>
        <w:t>The Journal of Family Practice</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60</w:t>
      </w:r>
      <w:r w:rsidRPr="0024331F">
        <w:rPr>
          <w:rFonts w:asciiTheme="minorHAnsi" w:eastAsia="Times New Roman" w:hAnsiTheme="minorHAnsi" w:cstheme="minorHAnsi"/>
          <w:color w:val="3A3A3A"/>
          <w:sz w:val="24"/>
          <w:szCs w:val="24"/>
          <w:lang w:eastAsia="en-AU"/>
        </w:rPr>
        <w:t>(8), 464–472.</w:t>
      </w:r>
    </w:p>
    <w:p w14:paraId="5777D9BA" w14:textId="03951EE9"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Grunze, H. (2008). The effectiveness of anticonvulsants in psychiatric disorders. Dialogues in Clinical Neuroscience, 10(1), 77–89. </w:t>
      </w:r>
      <w:hyperlink r:id="rId14" w:history="1">
        <w:r w:rsidR="00690F7F" w:rsidRPr="0024331F">
          <w:rPr>
            <w:rStyle w:val="Hyperlink"/>
            <w:rFonts w:asciiTheme="minorHAnsi" w:hAnsiTheme="minorHAnsi" w:cstheme="minorHAnsi"/>
            <w:sz w:val="24"/>
            <w:szCs w:val="24"/>
          </w:rPr>
          <w:t>https://doi.org/10.31887/DCNS.2008.10.1/hcrgrunze</w:t>
        </w:r>
      </w:hyperlink>
    </w:p>
    <w:p w14:paraId="16C1961F" w14:textId="1848A33F" w:rsidR="00652006" w:rsidRPr="0024331F" w:rsidRDefault="00652006" w:rsidP="00057382">
      <w:pPr>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Kaplin, G., </w:t>
      </w:r>
      <w:r w:rsidR="00635ABE" w:rsidRPr="0024331F">
        <w:rPr>
          <w:rFonts w:asciiTheme="minorHAnsi" w:hAnsiTheme="minorHAnsi" w:cstheme="minorHAnsi"/>
          <w:sz w:val="24"/>
          <w:szCs w:val="24"/>
        </w:rPr>
        <w:t xml:space="preserve">&amp; </w:t>
      </w:r>
      <w:r w:rsidRPr="0024331F">
        <w:rPr>
          <w:rFonts w:asciiTheme="minorHAnsi" w:hAnsiTheme="minorHAnsi" w:cstheme="minorHAnsi"/>
          <w:sz w:val="24"/>
          <w:szCs w:val="24"/>
        </w:rPr>
        <w:t xml:space="preserve">McCracken, J. (2012). Psychopharmacology of autism spectrum disorders. </w:t>
      </w:r>
      <w:r w:rsidRPr="0024331F">
        <w:rPr>
          <w:rFonts w:asciiTheme="minorHAnsi" w:hAnsiTheme="minorHAnsi" w:cstheme="minorHAnsi"/>
          <w:i/>
          <w:sz w:val="24"/>
          <w:szCs w:val="24"/>
        </w:rPr>
        <w:t>The Pediatric Clinics of North America, 59</w:t>
      </w:r>
      <w:r w:rsidRPr="0024331F">
        <w:rPr>
          <w:rFonts w:asciiTheme="minorHAnsi" w:hAnsiTheme="minorHAnsi" w:cstheme="minorHAnsi"/>
          <w:sz w:val="24"/>
          <w:szCs w:val="24"/>
        </w:rPr>
        <w:t xml:space="preserve">(1): 175-87. doi: 10.1016/j.pcl.2011.10.005 </w:t>
      </w:r>
    </w:p>
    <w:p w14:paraId="2F68657C" w14:textId="23CEA930" w:rsidR="00652006" w:rsidRPr="0024331F" w:rsidRDefault="00652006"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Kusmakar, S., Karmakar, C. K., Yan, B., O’Brien, T. J., Muthuganapathy, R., &amp; Palaniswami, M. (2018). Onset detection of epileptic seizures from accelerometry signal. </w:t>
      </w:r>
      <w:r w:rsidRPr="0024331F">
        <w:rPr>
          <w:rFonts w:asciiTheme="minorHAnsi" w:eastAsia="Times New Roman" w:hAnsiTheme="minorHAnsi" w:cstheme="minorHAnsi"/>
          <w:i/>
          <w:iCs/>
          <w:color w:val="3A3A3A"/>
          <w:sz w:val="24"/>
          <w:szCs w:val="24"/>
          <w:lang w:eastAsia="en-AU"/>
        </w:rPr>
        <w:t>2018 40th Annual International Conference of the IEEE Engineering in Medicine and Biology Society (EMBC)</w:t>
      </w:r>
      <w:r w:rsidRPr="0024331F">
        <w:rPr>
          <w:rFonts w:asciiTheme="minorHAnsi" w:eastAsia="Times New Roman" w:hAnsiTheme="minorHAnsi" w:cstheme="minorHAnsi"/>
          <w:color w:val="3A3A3A"/>
          <w:sz w:val="24"/>
          <w:szCs w:val="24"/>
          <w:lang w:eastAsia="en-AU"/>
        </w:rPr>
        <w:t>, 1–4. https://doi.org/10.1109/EMBC.2018.8513669</w:t>
      </w:r>
    </w:p>
    <w:p w14:paraId="3F7B1CFA" w14:textId="395E6BB2" w:rsidR="00652006" w:rsidRPr="0024331F" w:rsidRDefault="00652006"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Leca</w:t>
      </w:r>
      <w:r w:rsidR="009C4A38" w:rsidRPr="0024331F">
        <w:rPr>
          <w:rFonts w:asciiTheme="minorHAnsi" w:eastAsia="Times New Roman" w:hAnsiTheme="minorHAnsi" w:cstheme="minorHAnsi"/>
          <w:color w:val="3A3A3A"/>
          <w:sz w:val="24"/>
          <w:szCs w:val="24"/>
          <w:lang w:eastAsia="en-AU"/>
        </w:rPr>
        <w:t>valier. (2006). Behavioral and emotional problems in young p</w:t>
      </w:r>
      <w:r w:rsidRPr="0024331F">
        <w:rPr>
          <w:rFonts w:asciiTheme="minorHAnsi" w:eastAsia="Times New Roman" w:hAnsiTheme="minorHAnsi" w:cstheme="minorHAnsi"/>
          <w:color w:val="3A3A3A"/>
          <w:sz w:val="24"/>
          <w:szCs w:val="24"/>
          <w:lang w:eastAsia="en-AU"/>
        </w:rPr>
        <w:t>eople wit</w:t>
      </w:r>
      <w:r w:rsidR="009C4A38" w:rsidRPr="0024331F">
        <w:rPr>
          <w:rFonts w:asciiTheme="minorHAnsi" w:eastAsia="Times New Roman" w:hAnsiTheme="minorHAnsi" w:cstheme="minorHAnsi"/>
          <w:color w:val="3A3A3A"/>
          <w:sz w:val="24"/>
          <w:szCs w:val="24"/>
          <w:lang w:eastAsia="en-AU"/>
        </w:rPr>
        <w:t>h pervasive developmental disorders: Relative prevalence, effects of subject characteristics, and empirical c</w:t>
      </w:r>
      <w:r w:rsidRPr="0024331F">
        <w:rPr>
          <w:rFonts w:asciiTheme="minorHAnsi" w:eastAsia="Times New Roman" w:hAnsiTheme="minorHAnsi" w:cstheme="minorHAnsi"/>
          <w:color w:val="3A3A3A"/>
          <w:sz w:val="24"/>
          <w:szCs w:val="24"/>
          <w:lang w:eastAsia="en-AU"/>
        </w:rPr>
        <w:t>lassification. </w:t>
      </w:r>
      <w:r w:rsidRPr="0024331F">
        <w:rPr>
          <w:rFonts w:asciiTheme="minorHAnsi" w:eastAsia="Times New Roman" w:hAnsiTheme="minorHAnsi" w:cstheme="minorHAnsi"/>
          <w:i/>
          <w:iCs/>
          <w:color w:val="3A3A3A"/>
          <w:sz w:val="24"/>
          <w:szCs w:val="24"/>
          <w:lang w:eastAsia="en-AU"/>
        </w:rPr>
        <w:t>Journal of Autism and Developmental Disorders</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36</w:t>
      </w:r>
      <w:r w:rsidRPr="0024331F">
        <w:rPr>
          <w:rFonts w:asciiTheme="minorHAnsi" w:eastAsia="Times New Roman" w:hAnsiTheme="minorHAnsi" w:cstheme="minorHAnsi"/>
          <w:color w:val="3A3A3A"/>
          <w:sz w:val="24"/>
          <w:szCs w:val="24"/>
          <w:lang w:eastAsia="en-AU"/>
        </w:rPr>
        <w:t>(8), 1101–1114. https://doi.org/10.1007/s10803-006-0147-5</w:t>
      </w:r>
    </w:p>
    <w:p w14:paraId="66AB2433" w14:textId="4F8FD228" w:rsidR="00BC3DC4" w:rsidRPr="0024331F" w:rsidRDefault="009C4A38"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Matson, J., Wilkins, J., &amp; Macken, J. (2008). The relationship of challenging behaviors to severity and symptoms of autism spectrum disorders. </w:t>
      </w:r>
      <w:r w:rsidRPr="0024331F">
        <w:rPr>
          <w:rFonts w:asciiTheme="minorHAnsi" w:eastAsia="Times New Roman" w:hAnsiTheme="minorHAnsi" w:cstheme="minorHAnsi"/>
          <w:i/>
          <w:iCs/>
          <w:color w:val="3A3A3A"/>
          <w:sz w:val="24"/>
          <w:szCs w:val="24"/>
          <w:lang w:eastAsia="en-AU"/>
        </w:rPr>
        <w:t>Journal of Mental Health Research in Intellectual Disabilities</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2</w:t>
      </w:r>
      <w:r w:rsidRPr="0024331F">
        <w:rPr>
          <w:rFonts w:asciiTheme="minorHAnsi" w:eastAsia="Times New Roman" w:hAnsiTheme="minorHAnsi" w:cstheme="minorHAnsi"/>
          <w:color w:val="3A3A3A"/>
          <w:sz w:val="24"/>
          <w:szCs w:val="24"/>
          <w:lang w:eastAsia="en-AU"/>
        </w:rPr>
        <w:t xml:space="preserve">(1), 29–44. </w:t>
      </w:r>
      <w:hyperlink r:id="rId15" w:history="1">
        <w:r w:rsidR="00BC3DC4" w:rsidRPr="0024331F">
          <w:rPr>
            <w:rStyle w:val="Hyperlink"/>
            <w:rFonts w:asciiTheme="minorHAnsi" w:eastAsia="Times New Roman" w:hAnsiTheme="minorHAnsi" w:cstheme="minorHAnsi"/>
            <w:sz w:val="24"/>
            <w:szCs w:val="24"/>
            <w:lang w:eastAsia="en-AU"/>
          </w:rPr>
          <w:t>https://doi.org/10.1080/19315860802611415</w:t>
        </w:r>
      </w:hyperlink>
    </w:p>
    <w:p w14:paraId="171723A5" w14:textId="4F3057C2" w:rsidR="0024331F" w:rsidRDefault="00BC3DC4" w:rsidP="00057382">
      <w:pPr>
        <w:shd w:val="clear" w:color="auto" w:fill="FFFFFF"/>
        <w:spacing w:before="240" w:after="120" w:line="360" w:lineRule="auto"/>
        <w:rPr>
          <w:rStyle w:val="Hyperlink"/>
          <w:rFonts w:asciiTheme="minorHAnsi" w:hAnsiTheme="minorHAnsi" w:cstheme="minorHAnsi"/>
          <w:sz w:val="24"/>
          <w:szCs w:val="24"/>
        </w:rPr>
      </w:pPr>
      <w:r w:rsidRPr="0024331F">
        <w:rPr>
          <w:rFonts w:asciiTheme="minorHAnsi" w:hAnsiTheme="minorHAnsi" w:cstheme="minorHAnsi"/>
          <w:sz w:val="24"/>
          <w:szCs w:val="24"/>
        </w:rPr>
        <w:t xml:space="preserve">Mencap. (2019). How common is learning disability in the UK. </w:t>
      </w:r>
      <w:hyperlink r:id="rId16" w:history="1">
        <w:r w:rsidRPr="0024331F">
          <w:rPr>
            <w:rStyle w:val="Hyperlink"/>
            <w:rFonts w:asciiTheme="minorHAnsi" w:hAnsiTheme="minorHAnsi" w:cstheme="minorHAnsi"/>
            <w:sz w:val="24"/>
            <w:szCs w:val="24"/>
          </w:rPr>
          <w:t>https://www.mencap.org.uk/learning-disability-explained/researchand-statistics/how-common-learning-disability 2019</w:t>
        </w:r>
      </w:hyperlink>
    </w:p>
    <w:p w14:paraId="3A2F99E9" w14:textId="59E13AF8" w:rsidR="00BC3DC4" w:rsidRPr="0024331F" w:rsidRDefault="0024331F" w:rsidP="0024331F">
      <w:pPr>
        <w:spacing w:before="120" w:after="120" w:line="240" w:lineRule="auto"/>
        <w:rPr>
          <w:rStyle w:val="Hyperlink"/>
          <w:rFonts w:asciiTheme="minorHAnsi" w:hAnsiTheme="minorHAnsi" w:cstheme="minorHAnsi"/>
          <w:sz w:val="24"/>
          <w:szCs w:val="24"/>
        </w:rPr>
      </w:pPr>
      <w:r>
        <w:rPr>
          <w:rStyle w:val="Hyperlink"/>
          <w:rFonts w:asciiTheme="minorHAnsi" w:hAnsiTheme="minorHAnsi" w:cstheme="minorHAnsi"/>
          <w:sz w:val="24"/>
          <w:szCs w:val="24"/>
        </w:rPr>
        <w:br w:type="page"/>
      </w:r>
    </w:p>
    <w:p w14:paraId="0F31BD4F" w14:textId="77777777" w:rsidR="0066412C" w:rsidRPr="0024331F" w:rsidRDefault="00BC3DC4" w:rsidP="00057382">
      <w:pPr>
        <w:shd w:val="clear" w:color="auto" w:fill="FFFFFF"/>
        <w:spacing w:before="240" w:after="120" w:line="360" w:lineRule="auto"/>
        <w:rPr>
          <w:rStyle w:val="Hyperlink"/>
          <w:rFonts w:asciiTheme="minorHAnsi" w:hAnsiTheme="minorHAnsi" w:cstheme="minorHAnsi"/>
          <w:sz w:val="24"/>
          <w:szCs w:val="24"/>
        </w:rPr>
      </w:pPr>
      <w:r w:rsidRPr="0024331F">
        <w:rPr>
          <w:rFonts w:asciiTheme="minorHAnsi" w:hAnsiTheme="minorHAnsi" w:cstheme="minorHAnsi"/>
          <w:sz w:val="24"/>
          <w:szCs w:val="24"/>
        </w:rPr>
        <w:lastRenderedPageBreak/>
        <w:t xml:space="preserve">National Institute for Health and Care Excellence (NICE). (2015). Challenging behaviour and learning disabilities: prevention and interventions for people with learning disabilities whose behaviour challenges. </w:t>
      </w:r>
      <w:hyperlink r:id="rId17" w:history="1">
        <w:r w:rsidRPr="0024331F">
          <w:rPr>
            <w:rStyle w:val="Hyperlink"/>
            <w:rFonts w:asciiTheme="minorHAnsi" w:hAnsiTheme="minorHAnsi" w:cstheme="minorHAnsi"/>
            <w:sz w:val="24"/>
            <w:szCs w:val="24"/>
          </w:rPr>
          <w:t>https://www.nice.org.uk/guidance/ng11/resources/challenging-behaviour-and-learning-disabilities-prevention-and-interventions-for-people-with-learning-disabilities-whose-behaviour-challenges-1837266392005</w:t>
        </w:r>
      </w:hyperlink>
    </w:p>
    <w:p w14:paraId="30569F5B" w14:textId="6E5DAD4B" w:rsidR="009E53CD" w:rsidRPr="0024331F" w:rsidRDefault="0066412C" w:rsidP="00057382">
      <w:pPr>
        <w:shd w:val="clear" w:color="auto" w:fill="FFFFFF"/>
        <w:spacing w:before="240" w:after="120" w:line="360" w:lineRule="auto"/>
        <w:rPr>
          <w:rFonts w:ascii="Calibri" w:eastAsia="Times New Roman" w:hAnsi="Calibri" w:cs="Calibri"/>
          <w:color w:val="3A3A3A"/>
          <w:sz w:val="24"/>
          <w:szCs w:val="24"/>
          <w:lang w:eastAsia="en-AU"/>
        </w:rPr>
      </w:pPr>
      <w:r w:rsidRPr="0024331F">
        <w:rPr>
          <w:rFonts w:ascii="Calibri" w:eastAsia="Times New Roman" w:hAnsi="Calibri" w:cs="Calibri"/>
          <w:color w:val="3A3A3A"/>
          <w:sz w:val="24"/>
          <w:szCs w:val="24"/>
          <w:lang w:eastAsia="en-AU"/>
        </w:rPr>
        <w:t>Oliphant, R., Smith, E. M., &amp; Grahame, V. (2020). What is the prevalence of self-harming and suicidal behaviour in under 18s with ASD, with or without an intellectual disability? </w:t>
      </w:r>
      <w:r w:rsidRPr="0024331F">
        <w:rPr>
          <w:rFonts w:ascii="Calibri" w:eastAsia="Times New Roman" w:hAnsi="Calibri" w:cs="Calibri"/>
          <w:i/>
          <w:iCs/>
          <w:color w:val="3A3A3A"/>
          <w:sz w:val="24"/>
          <w:szCs w:val="24"/>
          <w:lang w:eastAsia="en-AU"/>
        </w:rPr>
        <w:t>Journal of Autism and Developmental Disorders</w:t>
      </w:r>
      <w:r w:rsidRPr="0024331F">
        <w:rPr>
          <w:rFonts w:ascii="Calibri" w:eastAsia="Times New Roman" w:hAnsi="Calibri" w:cs="Calibri"/>
          <w:color w:val="3A3A3A"/>
          <w:sz w:val="24"/>
          <w:szCs w:val="24"/>
          <w:lang w:eastAsia="en-AU"/>
        </w:rPr>
        <w:t>, </w:t>
      </w:r>
      <w:r w:rsidRPr="0024331F">
        <w:rPr>
          <w:rFonts w:ascii="Calibri" w:eastAsia="Times New Roman" w:hAnsi="Calibri" w:cs="Calibri"/>
          <w:i/>
          <w:iCs/>
          <w:color w:val="3A3A3A"/>
          <w:sz w:val="24"/>
          <w:szCs w:val="24"/>
          <w:lang w:eastAsia="en-AU"/>
        </w:rPr>
        <w:t>50</w:t>
      </w:r>
      <w:r w:rsidRPr="0024331F">
        <w:rPr>
          <w:rFonts w:ascii="Calibri" w:eastAsia="Times New Roman" w:hAnsi="Calibri" w:cs="Calibri"/>
          <w:color w:val="3A3A3A"/>
          <w:sz w:val="24"/>
          <w:szCs w:val="24"/>
          <w:lang w:eastAsia="en-AU"/>
        </w:rPr>
        <w:t xml:space="preserve">(10), 3510–3524. </w:t>
      </w:r>
      <w:hyperlink r:id="rId18" w:history="1">
        <w:r w:rsidRPr="0024331F">
          <w:rPr>
            <w:rStyle w:val="Hyperlink"/>
            <w:rFonts w:ascii="Calibri" w:eastAsia="Times New Roman" w:hAnsi="Calibri" w:cs="Calibri"/>
            <w:sz w:val="24"/>
            <w:szCs w:val="24"/>
            <w:lang w:eastAsia="en-AU"/>
          </w:rPr>
          <w:t>https://doi.org/10.1007/s10803-020-04422-6</w:t>
        </w:r>
      </w:hyperlink>
    </w:p>
    <w:p w14:paraId="744D9831" w14:textId="762C1BE6" w:rsidR="00BC76EB" w:rsidRPr="0024331F" w:rsidRDefault="00BC3DC4" w:rsidP="00057382">
      <w:pPr>
        <w:shd w:val="clear" w:color="auto" w:fill="FFFFFF"/>
        <w:spacing w:before="240" w:after="120" w:line="360" w:lineRule="auto"/>
        <w:rPr>
          <w:rFonts w:asciiTheme="minorHAnsi" w:hAnsiTheme="minorHAnsi" w:cstheme="minorHAnsi"/>
          <w:sz w:val="24"/>
          <w:szCs w:val="24"/>
        </w:rPr>
      </w:pPr>
      <w:r w:rsidRPr="0024331F">
        <w:rPr>
          <w:rFonts w:asciiTheme="minorHAnsi" w:hAnsiTheme="minorHAnsi" w:cstheme="minorHAnsi"/>
          <w:color w:val="222222"/>
          <w:sz w:val="24"/>
          <w:szCs w:val="24"/>
          <w:shd w:val="clear" w:color="auto" w:fill="FFFFFF"/>
        </w:rPr>
        <w:t>Politte, L. C., Henry, C. A., &amp; McDougle, C. J. (2014). Psychopharmacological interventions in autism spectrum disorder. </w:t>
      </w:r>
      <w:r w:rsidRPr="0024331F">
        <w:rPr>
          <w:rFonts w:asciiTheme="minorHAnsi" w:hAnsiTheme="minorHAnsi" w:cstheme="minorHAnsi"/>
          <w:i/>
          <w:iCs/>
          <w:color w:val="222222"/>
          <w:sz w:val="24"/>
          <w:szCs w:val="24"/>
          <w:shd w:val="clear" w:color="auto" w:fill="FFFFFF"/>
        </w:rPr>
        <w:t>Harvard Review of Psychiatry</w:t>
      </w:r>
      <w:r w:rsidRPr="0024331F">
        <w:rPr>
          <w:rFonts w:asciiTheme="minorHAnsi" w:hAnsiTheme="minorHAnsi" w:cstheme="minorHAnsi"/>
          <w:color w:val="222222"/>
          <w:sz w:val="24"/>
          <w:szCs w:val="24"/>
          <w:shd w:val="clear" w:color="auto" w:fill="FFFFFF"/>
        </w:rPr>
        <w:t>, </w:t>
      </w:r>
      <w:r w:rsidRPr="0024331F">
        <w:rPr>
          <w:rFonts w:asciiTheme="minorHAnsi" w:hAnsiTheme="minorHAnsi" w:cstheme="minorHAnsi"/>
          <w:i/>
          <w:iCs/>
          <w:color w:val="222222"/>
          <w:sz w:val="24"/>
          <w:szCs w:val="24"/>
          <w:shd w:val="clear" w:color="auto" w:fill="FFFFFF"/>
        </w:rPr>
        <w:t>22</w:t>
      </w:r>
      <w:r w:rsidRPr="0024331F">
        <w:rPr>
          <w:rFonts w:asciiTheme="minorHAnsi" w:hAnsiTheme="minorHAnsi" w:cstheme="minorHAnsi"/>
          <w:color w:val="222222"/>
          <w:sz w:val="24"/>
          <w:szCs w:val="24"/>
          <w:shd w:val="clear" w:color="auto" w:fill="FFFFFF"/>
        </w:rPr>
        <w:t>(2), 76-92.</w:t>
      </w:r>
      <w:r w:rsidR="00635ABE" w:rsidRPr="0024331F">
        <w:rPr>
          <w:rFonts w:asciiTheme="minorHAnsi" w:hAnsiTheme="minorHAnsi" w:cstheme="minorHAnsi"/>
          <w:sz w:val="24"/>
          <w:szCs w:val="24"/>
        </w:rPr>
        <w:t xml:space="preserve"> </w:t>
      </w:r>
      <w:r w:rsidR="009E53CD" w:rsidRPr="0024331F">
        <w:rPr>
          <w:rFonts w:asciiTheme="minorHAnsi" w:hAnsiTheme="minorHAnsi" w:cstheme="minorHAnsi"/>
          <w:sz w:val="24"/>
          <w:szCs w:val="24"/>
        </w:rPr>
        <w:t xml:space="preserve">doi: </w:t>
      </w:r>
      <w:r w:rsidR="00BC76EB" w:rsidRPr="0024331F">
        <w:rPr>
          <w:rFonts w:asciiTheme="minorHAnsi" w:hAnsiTheme="minorHAnsi" w:cstheme="minorHAnsi"/>
          <w:sz w:val="24"/>
          <w:szCs w:val="24"/>
          <w:shd w:val="clear" w:color="auto" w:fill="FFFFFF"/>
        </w:rPr>
        <w:t>10.1097/HRP.0000000000000030.</w:t>
      </w:r>
    </w:p>
    <w:p w14:paraId="1CAF738C" w14:textId="5335973F" w:rsidR="009E53CD" w:rsidRPr="0024331F" w:rsidRDefault="009E53CD" w:rsidP="00057382">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24331F">
        <w:rPr>
          <w:rFonts w:asciiTheme="minorHAnsi" w:eastAsia="Times New Roman" w:hAnsiTheme="minorHAnsi" w:cstheme="minorHAnsi"/>
          <w:color w:val="3A3A3A"/>
          <w:sz w:val="24"/>
          <w:szCs w:val="24"/>
          <w:lang w:eastAsia="en-AU"/>
        </w:rPr>
        <w:t>Proix, P., Jirsa, V. K., Bartolomei, F., Guye, M., &amp; Truccolo, W. (2018). Predicting the spatiotemporal diversity of seizure propagation and termination in human focal epilepsy. </w:t>
      </w:r>
      <w:r w:rsidRPr="0024331F">
        <w:rPr>
          <w:rFonts w:asciiTheme="minorHAnsi" w:eastAsia="Times New Roman" w:hAnsiTheme="minorHAnsi" w:cstheme="minorHAnsi"/>
          <w:i/>
          <w:iCs/>
          <w:color w:val="3A3A3A"/>
          <w:sz w:val="24"/>
          <w:szCs w:val="24"/>
          <w:lang w:eastAsia="en-AU"/>
        </w:rPr>
        <w:t>Nature Communications</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9</w:t>
      </w:r>
      <w:r w:rsidRPr="0024331F">
        <w:rPr>
          <w:rFonts w:asciiTheme="minorHAnsi" w:eastAsia="Times New Roman" w:hAnsiTheme="minorHAnsi" w:cstheme="minorHAnsi"/>
          <w:color w:val="3A3A3A"/>
          <w:sz w:val="24"/>
          <w:szCs w:val="24"/>
          <w:lang w:eastAsia="en-AU"/>
        </w:rPr>
        <w:t xml:space="preserve">(1), 1088–1088. </w:t>
      </w:r>
      <w:hyperlink r:id="rId19" w:history="1">
        <w:r w:rsidRPr="0024331F">
          <w:rPr>
            <w:rStyle w:val="Hyperlink"/>
            <w:rFonts w:asciiTheme="minorHAnsi" w:eastAsia="Times New Roman" w:hAnsiTheme="minorHAnsi" w:cstheme="minorHAnsi"/>
            <w:sz w:val="24"/>
            <w:szCs w:val="24"/>
            <w:lang w:eastAsia="en-AU"/>
          </w:rPr>
          <w:t>https://doi.org/10.1038/s41467-018-02973-y</w:t>
        </w:r>
      </w:hyperlink>
    </w:p>
    <w:p w14:paraId="5907EB28" w14:textId="7F36F6D7" w:rsidR="009E53CD" w:rsidRPr="0024331F" w:rsidRDefault="00C31D2B" w:rsidP="00057382">
      <w:pPr>
        <w:shd w:val="clear" w:color="auto" w:fill="FFFFFF"/>
        <w:spacing w:before="240" w:after="120" w:line="360" w:lineRule="auto"/>
        <w:rPr>
          <w:rStyle w:val="Hyperlink"/>
          <w:rFonts w:asciiTheme="minorHAnsi" w:hAnsiTheme="minorHAnsi" w:cstheme="minorHAnsi"/>
          <w:sz w:val="24"/>
          <w:szCs w:val="24"/>
        </w:rPr>
      </w:pPr>
      <w:r w:rsidRPr="0024331F">
        <w:rPr>
          <w:rFonts w:asciiTheme="minorHAnsi" w:hAnsiTheme="minorHAnsi" w:cstheme="minorHAnsi"/>
          <w:sz w:val="24"/>
          <w:szCs w:val="24"/>
        </w:rPr>
        <w:t>Ritchie</w:t>
      </w:r>
      <w:r w:rsidR="00681845" w:rsidRPr="0024331F">
        <w:rPr>
          <w:rFonts w:asciiTheme="minorHAnsi" w:hAnsiTheme="minorHAnsi" w:cstheme="minorHAnsi"/>
          <w:sz w:val="24"/>
          <w:szCs w:val="24"/>
        </w:rPr>
        <w:t>, H</w:t>
      </w:r>
      <w:r w:rsidRPr="0024331F">
        <w:rPr>
          <w:rFonts w:asciiTheme="minorHAnsi" w:hAnsiTheme="minorHAnsi" w:cstheme="minorHAnsi"/>
          <w:sz w:val="24"/>
          <w:szCs w:val="24"/>
        </w:rPr>
        <w:t xml:space="preserve">. </w:t>
      </w:r>
      <w:r w:rsidR="009E53CD" w:rsidRPr="0024331F">
        <w:rPr>
          <w:rFonts w:asciiTheme="minorHAnsi" w:hAnsiTheme="minorHAnsi" w:cstheme="minorHAnsi"/>
          <w:sz w:val="24"/>
          <w:szCs w:val="24"/>
        </w:rPr>
        <w:t>(</w:t>
      </w:r>
      <w:r w:rsidRPr="0024331F">
        <w:rPr>
          <w:rFonts w:asciiTheme="minorHAnsi" w:hAnsiTheme="minorHAnsi" w:cstheme="minorHAnsi"/>
          <w:sz w:val="24"/>
          <w:szCs w:val="24"/>
        </w:rPr>
        <w:t>2020</w:t>
      </w:r>
      <w:r w:rsidR="009E53CD" w:rsidRPr="0024331F">
        <w:rPr>
          <w:rFonts w:asciiTheme="minorHAnsi" w:hAnsiTheme="minorHAnsi" w:cstheme="minorHAnsi"/>
          <w:sz w:val="24"/>
          <w:szCs w:val="24"/>
        </w:rPr>
        <w:t>)</w:t>
      </w:r>
      <w:r w:rsidRPr="0024331F">
        <w:rPr>
          <w:rFonts w:asciiTheme="minorHAnsi" w:hAnsiTheme="minorHAnsi" w:cstheme="minorHAnsi"/>
          <w:sz w:val="24"/>
          <w:szCs w:val="24"/>
        </w:rPr>
        <w:t xml:space="preserve">. Neurodevelopmental disorders. </w:t>
      </w:r>
      <w:hyperlink r:id="rId20" w:history="1">
        <w:r w:rsidR="00284A20" w:rsidRPr="0024331F">
          <w:rPr>
            <w:rStyle w:val="Hyperlink"/>
            <w:rFonts w:asciiTheme="minorHAnsi" w:hAnsiTheme="minorHAnsi" w:cstheme="minorHAnsi"/>
            <w:sz w:val="24"/>
            <w:szCs w:val="24"/>
          </w:rPr>
          <w:t>www.ourworldindata.org/neurodevelopmental-disorders</w:t>
        </w:r>
      </w:hyperlink>
    </w:p>
    <w:p w14:paraId="7AA88AB1" w14:textId="747EEB52" w:rsidR="0066412C" w:rsidRPr="0024331F" w:rsidRDefault="0066412C" w:rsidP="00057382">
      <w:pPr>
        <w:shd w:val="clear" w:color="auto" w:fill="FFFFFF"/>
        <w:spacing w:before="240" w:after="120" w:line="360" w:lineRule="auto"/>
        <w:rPr>
          <w:rFonts w:ascii="Calibri" w:eastAsia="Times New Roman" w:hAnsi="Calibri" w:cs="Calibri"/>
          <w:color w:val="3A3A3A"/>
          <w:sz w:val="24"/>
          <w:szCs w:val="24"/>
          <w:lang w:eastAsia="en-AU"/>
        </w:rPr>
      </w:pPr>
      <w:r w:rsidRPr="0024331F">
        <w:rPr>
          <w:rFonts w:ascii="Calibri" w:eastAsia="Times New Roman" w:hAnsi="Calibri" w:cs="Calibri"/>
          <w:color w:val="3A3A3A"/>
          <w:sz w:val="24"/>
          <w:szCs w:val="24"/>
          <w:lang w:eastAsia="en-AU"/>
        </w:rPr>
        <w:t>Rzepecka, H., McKenzie, K., McClure, I., &amp; Murphy, S. (2011). Sleep, anxiety and challenging behaviour in children with intellectual disability and/or autism spectrum disorder. </w:t>
      </w:r>
      <w:r w:rsidRPr="0024331F">
        <w:rPr>
          <w:rFonts w:ascii="Calibri" w:eastAsia="Times New Roman" w:hAnsi="Calibri" w:cs="Calibri"/>
          <w:i/>
          <w:iCs/>
          <w:color w:val="3A3A3A"/>
          <w:sz w:val="24"/>
          <w:szCs w:val="24"/>
          <w:lang w:eastAsia="en-AU"/>
        </w:rPr>
        <w:t>Research in Developmental Disabilities</w:t>
      </w:r>
      <w:r w:rsidRPr="0024331F">
        <w:rPr>
          <w:rFonts w:ascii="Calibri" w:eastAsia="Times New Roman" w:hAnsi="Calibri" w:cs="Calibri"/>
          <w:color w:val="3A3A3A"/>
          <w:sz w:val="24"/>
          <w:szCs w:val="24"/>
          <w:lang w:eastAsia="en-AU"/>
        </w:rPr>
        <w:t>, </w:t>
      </w:r>
      <w:r w:rsidRPr="0024331F">
        <w:rPr>
          <w:rFonts w:ascii="Calibri" w:eastAsia="Times New Roman" w:hAnsi="Calibri" w:cs="Calibri"/>
          <w:i/>
          <w:iCs/>
          <w:color w:val="3A3A3A"/>
          <w:sz w:val="24"/>
          <w:szCs w:val="24"/>
          <w:lang w:eastAsia="en-AU"/>
        </w:rPr>
        <w:t>32</w:t>
      </w:r>
      <w:r w:rsidRPr="0024331F">
        <w:rPr>
          <w:rFonts w:ascii="Calibri" w:eastAsia="Times New Roman" w:hAnsi="Calibri" w:cs="Calibri"/>
          <w:color w:val="3A3A3A"/>
          <w:sz w:val="24"/>
          <w:szCs w:val="24"/>
          <w:lang w:eastAsia="en-AU"/>
        </w:rPr>
        <w:t>(6), 2758–2766. https://doi.org/10.1016/j.ridd.2011.05.034</w:t>
      </w:r>
    </w:p>
    <w:p w14:paraId="650A4A1A" w14:textId="3ADFC378" w:rsidR="0024331F" w:rsidRDefault="009E53CD" w:rsidP="00057382">
      <w:pPr>
        <w:shd w:val="clear" w:color="auto" w:fill="FFFFFF"/>
        <w:spacing w:before="240" w:after="120" w:line="360" w:lineRule="auto"/>
        <w:rPr>
          <w:rFonts w:asciiTheme="minorHAnsi" w:hAnsiTheme="minorHAnsi" w:cstheme="minorHAnsi"/>
          <w:sz w:val="24"/>
          <w:szCs w:val="24"/>
        </w:rPr>
      </w:pPr>
      <w:r w:rsidRPr="0024331F">
        <w:rPr>
          <w:rFonts w:asciiTheme="minorHAnsi" w:hAnsiTheme="minorHAnsi" w:cstheme="minorHAnsi"/>
          <w:sz w:val="24"/>
          <w:szCs w:val="24"/>
        </w:rPr>
        <w:t xml:space="preserve">Schendel, </w:t>
      </w:r>
      <w:r w:rsidR="00F05C62" w:rsidRPr="0024331F">
        <w:rPr>
          <w:rFonts w:asciiTheme="minorHAnsi" w:hAnsiTheme="minorHAnsi" w:cstheme="minorHAnsi"/>
          <w:sz w:val="24"/>
          <w:szCs w:val="24"/>
        </w:rPr>
        <w:t>D</w:t>
      </w:r>
      <w:r w:rsidRPr="0024331F">
        <w:rPr>
          <w:rFonts w:asciiTheme="minorHAnsi" w:hAnsiTheme="minorHAnsi" w:cstheme="minorHAnsi"/>
          <w:sz w:val="24"/>
          <w:szCs w:val="24"/>
        </w:rPr>
        <w:t xml:space="preserve">. </w:t>
      </w:r>
      <w:r w:rsidR="00F05C62" w:rsidRPr="0024331F">
        <w:rPr>
          <w:rFonts w:asciiTheme="minorHAnsi" w:hAnsiTheme="minorHAnsi" w:cstheme="minorHAnsi"/>
          <w:sz w:val="24"/>
          <w:szCs w:val="24"/>
        </w:rPr>
        <w:t>E, Overgaard</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M</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Christensen</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J</w:t>
      </w:r>
      <w:r w:rsidRPr="0024331F">
        <w:rPr>
          <w:rFonts w:asciiTheme="minorHAnsi" w:hAnsiTheme="minorHAnsi" w:cstheme="minorHAnsi"/>
          <w:sz w:val="24"/>
          <w:szCs w:val="24"/>
        </w:rPr>
        <w:t xml:space="preserve">., Hjort, </w:t>
      </w:r>
      <w:r w:rsidR="00F05C62" w:rsidRPr="0024331F">
        <w:rPr>
          <w:rFonts w:asciiTheme="minorHAnsi" w:hAnsiTheme="minorHAnsi" w:cstheme="minorHAnsi"/>
          <w:sz w:val="24"/>
          <w:szCs w:val="24"/>
        </w:rPr>
        <w:t>L</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Jorgensen</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M</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w:t>
      </w:r>
      <w:r w:rsidR="00370665" w:rsidRPr="0024331F">
        <w:rPr>
          <w:rFonts w:asciiTheme="minorHAnsi" w:hAnsiTheme="minorHAnsi" w:cstheme="minorHAnsi"/>
          <w:sz w:val="24"/>
          <w:szCs w:val="24"/>
        </w:rPr>
        <w:t xml:space="preserve">&amp; </w:t>
      </w:r>
      <w:r w:rsidR="00F05C62" w:rsidRPr="0024331F">
        <w:rPr>
          <w:rFonts w:asciiTheme="minorHAnsi" w:hAnsiTheme="minorHAnsi" w:cstheme="minorHAnsi"/>
          <w:sz w:val="24"/>
          <w:szCs w:val="24"/>
        </w:rPr>
        <w:t>Vestergaard</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M.</w:t>
      </w:r>
      <w:r w:rsidRPr="0024331F">
        <w:rPr>
          <w:rFonts w:asciiTheme="minorHAnsi" w:hAnsiTheme="minorHAnsi" w:cstheme="minorHAnsi"/>
          <w:sz w:val="24"/>
          <w:szCs w:val="24"/>
        </w:rPr>
        <w:t xml:space="preserve"> (</w:t>
      </w:r>
      <w:r w:rsidR="00F05C62" w:rsidRPr="0024331F">
        <w:rPr>
          <w:rFonts w:asciiTheme="minorHAnsi" w:hAnsiTheme="minorHAnsi" w:cstheme="minorHAnsi"/>
          <w:sz w:val="24"/>
          <w:szCs w:val="24"/>
        </w:rPr>
        <w:t>2016</w:t>
      </w:r>
      <w:r w:rsidRPr="0024331F">
        <w:rPr>
          <w:rFonts w:asciiTheme="minorHAnsi" w:hAnsiTheme="minorHAnsi" w:cstheme="minorHAnsi"/>
          <w:sz w:val="24"/>
          <w:szCs w:val="24"/>
        </w:rPr>
        <w:t>)</w:t>
      </w:r>
      <w:r w:rsidR="00F05C62" w:rsidRPr="0024331F">
        <w:rPr>
          <w:rFonts w:asciiTheme="minorHAnsi" w:hAnsiTheme="minorHAnsi" w:cstheme="minorHAnsi"/>
          <w:sz w:val="24"/>
          <w:szCs w:val="24"/>
        </w:rPr>
        <w:t xml:space="preserve">. Association of psychiatric and neurologic comorbidity with mortality among persons with autism spectrum disorder in a Danish population. </w:t>
      </w:r>
      <w:r w:rsidR="00F05C62" w:rsidRPr="0024331F">
        <w:rPr>
          <w:rFonts w:asciiTheme="minorHAnsi" w:hAnsiTheme="minorHAnsi" w:cstheme="minorHAnsi"/>
          <w:i/>
          <w:sz w:val="24"/>
          <w:szCs w:val="24"/>
        </w:rPr>
        <w:t>Journal of the American Medical Association, 170</w:t>
      </w:r>
      <w:r w:rsidR="00F05C62" w:rsidRPr="0024331F">
        <w:rPr>
          <w:rFonts w:asciiTheme="minorHAnsi" w:hAnsiTheme="minorHAnsi" w:cstheme="minorHAnsi"/>
          <w:sz w:val="24"/>
          <w:szCs w:val="24"/>
        </w:rPr>
        <w:t>(3): 243-50. doi:10.1001/jamapediatrics.2015.3935.</w:t>
      </w:r>
    </w:p>
    <w:p w14:paraId="1080DE60" w14:textId="0B3C8574" w:rsidR="00057382" w:rsidRPr="0024331F" w:rsidRDefault="0024331F" w:rsidP="0024331F">
      <w:pPr>
        <w:spacing w:before="120" w:after="120" w:line="240" w:lineRule="auto"/>
        <w:rPr>
          <w:rFonts w:asciiTheme="minorHAnsi" w:hAnsiTheme="minorHAnsi" w:cstheme="minorHAnsi"/>
          <w:sz w:val="24"/>
          <w:szCs w:val="24"/>
        </w:rPr>
      </w:pPr>
      <w:r>
        <w:rPr>
          <w:rFonts w:asciiTheme="minorHAnsi" w:hAnsiTheme="minorHAnsi" w:cstheme="minorHAnsi"/>
          <w:sz w:val="24"/>
          <w:szCs w:val="24"/>
        </w:rPr>
        <w:br w:type="page"/>
      </w:r>
    </w:p>
    <w:p w14:paraId="5E25A359" w14:textId="23161B13" w:rsidR="00057382" w:rsidRPr="0024331F" w:rsidRDefault="00057382"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lastRenderedPageBreak/>
        <w:t>Thomas, S., Hovinga, M. E., Rai, D., &amp; Lee, B. K. (2016). Brief report: Prevalence of co-occurring epilepsy and autism spectrum disorder: The U.S. national survey of children’s health 2011–2012. </w:t>
      </w:r>
      <w:r w:rsidRPr="0024331F">
        <w:rPr>
          <w:rFonts w:asciiTheme="minorHAnsi" w:eastAsia="Times New Roman" w:hAnsiTheme="minorHAnsi" w:cstheme="minorHAnsi"/>
          <w:i/>
          <w:iCs/>
          <w:color w:val="3A3A3A"/>
          <w:sz w:val="24"/>
          <w:szCs w:val="24"/>
          <w:lang w:eastAsia="en-AU"/>
        </w:rPr>
        <w:t>Journal of Autism and Developmental Disorders</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47</w:t>
      </w:r>
      <w:r w:rsidRPr="0024331F">
        <w:rPr>
          <w:rFonts w:asciiTheme="minorHAnsi" w:eastAsia="Times New Roman" w:hAnsiTheme="minorHAnsi" w:cstheme="minorHAnsi"/>
          <w:color w:val="3A3A3A"/>
          <w:sz w:val="24"/>
          <w:szCs w:val="24"/>
          <w:lang w:eastAsia="en-AU"/>
        </w:rPr>
        <w:t xml:space="preserve">(1), 224–229. </w:t>
      </w:r>
      <w:hyperlink r:id="rId21" w:history="1">
        <w:r w:rsidRPr="0024331F">
          <w:rPr>
            <w:rStyle w:val="Hyperlink"/>
            <w:rFonts w:asciiTheme="minorHAnsi" w:eastAsia="Times New Roman" w:hAnsiTheme="minorHAnsi" w:cstheme="minorHAnsi"/>
            <w:sz w:val="24"/>
            <w:szCs w:val="24"/>
            <w:lang w:eastAsia="en-AU"/>
          </w:rPr>
          <w:t>https://doi.org/10.1007/s10803-016-2938-7</w:t>
        </w:r>
      </w:hyperlink>
    </w:p>
    <w:p w14:paraId="4560F348" w14:textId="56859804" w:rsidR="00057382" w:rsidRPr="0024331F" w:rsidRDefault="00057382"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Verrotti, A., Coppola, G., Parisi, P., Mohn, A., &amp; Chiarelli, F. (2009). Bone and calcium metabolism and antiepileptic drugs. </w:t>
      </w:r>
      <w:r w:rsidRPr="0024331F">
        <w:rPr>
          <w:rFonts w:asciiTheme="minorHAnsi" w:eastAsia="Times New Roman" w:hAnsiTheme="minorHAnsi" w:cstheme="minorHAnsi"/>
          <w:i/>
          <w:iCs/>
          <w:color w:val="3A3A3A"/>
          <w:sz w:val="24"/>
          <w:szCs w:val="24"/>
          <w:lang w:eastAsia="en-AU"/>
        </w:rPr>
        <w:t>Clinical Neurology and Neurosurgery</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112</w:t>
      </w:r>
      <w:r w:rsidRPr="0024331F">
        <w:rPr>
          <w:rFonts w:asciiTheme="minorHAnsi" w:eastAsia="Times New Roman" w:hAnsiTheme="minorHAnsi" w:cstheme="minorHAnsi"/>
          <w:color w:val="3A3A3A"/>
          <w:sz w:val="24"/>
          <w:szCs w:val="24"/>
          <w:lang w:eastAsia="en-AU"/>
        </w:rPr>
        <w:t xml:space="preserve">(1), 1–10. </w:t>
      </w:r>
      <w:hyperlink r:id="rId22" w:history="1">
        <w:r w:rsidRPr="0024331F">
          <w:rPr>
            <w:rStyle w:val="Hyperlink"/>
            <w:rFonts w:asciiTheme="minorHAnsi" w:eastAsia="Times New Roman" w:hAnsiTheme="minorHAnsi" w:cstheme="minorHAnsi"/>
            <w:sz w:val="24"/>
            <w:szCs w:val="24"/>
            <w:lang w:eastAsia="en-AU"/>
          </w:rPr>
          <w:t>https://doi.org/10.1016/j.clineuro.2009.10.011</w:t>
        </w:r>
      </w:hyperlink>
    </w:p>
    <w:p w14:paraId="325B585F" w14:textId="2703BD82" w:rsidR="00057382" w:rsidRPr="0024331F" w:rsidRDefault="00057382"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 xml:space="preserve">Vohra, R., Madhavan, S., &amp; Sambamoorthi, U. (2017). Comorbidity prevalence, healthcare utilization, and expenditures of Medicaid enrolled adults with autism spectrum disorders. Autism : the International Journal of Research and Practice, 21(8), 995–1009. </w:t>
      </w:r>
      <w:hyperlink r:id="rId23" w:history="1">
        <w:r w:rsidRPr="0024331F">
          <w:rPr>
            <w:rStyle w:val="Hyperlink"/>
            <w:rFonts w:asciiTheme="minorHAnsi" w:eastAsia="Times New Roman" w:hAnsiTheme="minorHAnsi" w:cstheme="minorHAnsi"/>
            <w:sz w:val="24"/>
            <w:szCs w:val="24"/>
            <w:lang w:eastAsia="en-AU"/>
          </w:rPr>
          <w:t>https://doi.org/10.1177/1362361316665222</w:t>
        </w:r>
      </w:hyperlink>
    </w:p>
    <w:p w14:paraId="7C67182E" w14:textId="562730A7" w:rsidR="00057382" w:rsidRPr="0024331F" w:rsidRDefault="00057382"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eastAsia="Times New Roman" w:hAnsiTheme="minorHAnsi" w:cstheme="minorHAnsi"/>
          <w:color w:val="3A3A3A"/>
          <w:sz w:val="24"/>
          <w:szCs w:val="24"/>
          <w:lang w:eastAsia="en-AU"/>
        </w:rPr>
        <w:t>Wassenaar, M., van Heijl, I., Leijten, F. S. S., van der Linden, P., Uijl, S. G., Egberts, A. C. G., &amp; Carpay, J. A. (2013). Treatment of epilepsy in daily clinical practice: have outcomes improved over the past 10 years? </w:t>
      </w:r>
      <w:r w:rsidRPr="0024331F">
        <w:rPr>
          <w:rFonts w:asciiTheme="minorHAnsi" w:eastAsia="Times New Roman" w:hAnsiTheme="minorHAnsi" w:cstheme="minorHAnsi"/>
          <w:i/>
          <w:iCs/>
          <w:color w:val="3A3A3A"/>
          <w:sz w:val="24"/>
          <w:szCs w:val="24"/>
          <w:lang w:eastAsia="en-AU"/>
        </w:rPr>
        <w:t>Journal of Neurology</w:t>
      </w:r>
      <w:r w:rsidRPr="0024331F">
        <w:rPr>
          <w:rFonts w:asciiTheme="minorHAnsi" w:eastAsia="Times New Roman" w:hAnsiTheme="minorHAnsi" w:cstheme="minorHAnsi"/>
          <w:color w:val="3A3A3A"/>
          <w:sz w:val="24"/>
          <w:szCs w:val="24"/>
          <w:lang w:eastAsia="en-AU"/>
        </w:rPr>
        <w:t>, </w:t>
      </w:r>
      <w:r w:rsidRPr="0024331F">
        <w:rPr>
          <w:rFonts w:asciiTheme="minorHAnsi" w:eastAsia="Times New Roman" w:hAnsiTheme="minorHAnsi" w:cstheme="minorHAnsi"/>
          <w:i/>
          <w:iCs/>
          <w:color w:val="3A3A3A"/>
          <w:sz w:val="24"/>
          <w:szCs w:val="24"/>
          <w:lang w:eastAsia="en-AU"/>
        </w:rPr>
        <w:t>260</w:t>
      </w:r>
      <w:r w:rsidRPr="0024331F">
        <w:rPr>
          <w:rFonts w:asciiTheme="minorHAnsi" w:eastAsia="Times New Roman" w:hAnsiTheme="minorHAnsi" w:cstheme="minorHAnsi"/>
          <w:color w:val="3A3A3A"/>
          <w:sz w:val="24"/>
          <w:szCs w:val="24"/>
          <w:lang w:eastAsia="en-AU"/>
        </w:rPr>
        <w:t xml:space="preserve">(11), 2736–2743. </w:t>
      </w:r>
      <w:hyperlink r:id="rId24" w:history="1">
        <w:r w:rsidRPr="0024331F">
          <w:rPr>
            <w:rStyle w:val="Hyperlink"/>
            <w:rFonts w:asciiTheme="minorHAnsi" w:eastAsia="Times New Roman" w:hAnsiTheme="minorHAnsi" w:cstheme="minorHAnsi"/>
            <w:sz w:val="24"/>
            <w:szCs w:val="24"/>
            <w:lang w:eastAsia="en-AU"/>
          </w:rPr>
          <w:t>https://doi.org/10.1007/s00415-013-7058-0</w:t>
        </w:r>
      </w:hyperlink>
    </w:p>
    <w:p w14:paraId="453FB276" w14:textId="7CF165FD" w:rsidR="006B330D" w:rsidRPr="0024331F" w:rsidRDefault="00057382" w:rsidP="00057382">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24331F">
        <w:rPr>
          <w:rFonts w:asciiTheme="minorHAnsi" w:hAnsiTheme="minorHAnsi" w:cstheme="minorHAnsi"/>
          <w:color w:val="222222"/>
          <w:sz w:val="24"/>
          <w:szCs w:val="24"/>
          <w:shd w:val="clear" w:color="auto" w:fill="FFFFFF"/>
        </w:rPr>
        <w:t>Wlodarczyk, B. J., Palacios, A. M., George, T. M., &amp; Finnell, R. H. (2012). Antiepileptic drugs and pregnancy outcomes. </w:t>
      </w:r>
      <w:r w:rsidRPr="0024331F">
        <w:rPr>
          <w:rFonts w:asciiTheme="minorHAnsi" w:hAnsiTheme="minorHAnsi" w:cstheme="minorHAnsi"/>
          <w:i/>
          <w:iCs/>
          <w:color w:val="222222"/>
          <w:sz w:val="24"/>
          <w:szCs w:val="24"/>
          <w:shd w:val="clear" w:color="auto" w:fill="FFFFFF"/>
        </w:rPr>
        <w:t>American Journal of Medical Genetics Part A</w:t>
      </w:r>
      <w:r w:rsidRPr="0024331F">
        <w:rPr>
          <w:rFonts w:asciiTheme="minorHAnsi" w:hAnsiTheme="minorHAnsi" w:cstheme="minorHAnsi"/>
          <w:color w:val="222222"/>
          <w:sz w:val="24"/>
          <w:szCs w:val="24"/>
          <w:shd w:val="clear" w:color="auto" w:fill="FFFFFF"/>
        </w:rPr>
        <w:t>, </w:t>
      </w:r>
      <w:r w:rsidRPr="0024331F">
        <w:rPr>
          <w:rFonts w:asciiTheme="minorHAnsi" w:hAnsiTheme="minorHAnsi" w:cstheme="minorHAnsi"/>
          <w:i/>
          <w:iCs/>
          <w:color w:val="222222"/>
          <w:sz w:val="24"/>
          <w:szCs w:val="24"/>
          <w:shd w:val="clear" w:color="auto" w:fill="FFFFFF"/>
        </w:rPr>
        <w:t>158</w:t>
      </w:r>
      <w:r w:rsidRPr="0024331F">
        <w:rPr>
          <w:rFonts w:asciiTheme="minorHAnsi" w:hAnsiTheme="minorHAnsi" w:cstheme="minorHAnsi"/>
          <w:color w:val="222222"/>
          <w:sz w:val="24"/>
          <w:szCs w:val="24"/>
          <w:shd w:val="clear" w:color="auto" w:fill="FFFFFF"/>
        </w:rPr>
        <w:t>(8), 2071-2090.</w:t>
      </w:r>
    </w:p>
    <w:sectPr w:rsidR="006B330D" w:rsidRPr="0024331F" w:rsidSect="00362AB6">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CF8D" w14:textId="77777777" w:rsidR="00D52092" w:rsidRDefault="00D52092" w:rsidP="008E21DE">
      <w:pPr>
        <w:spacing w:after="0"/>
      </w:pPr>
      <w:r>
        <w:separator/>
      </w:r>
    </w:p>
  </w:endnote>
  <w:endnote w:type="continuationSeparator" w:id="0">
    <w:p w14:paraId="26AC2460" w14:textId="77777777" w:rsidR="00D52092" w:rsidRDefault="00D52092"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868F" w14:textId="77777777" w:rsidR="00871CAA" w:rsidRDefault="0087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629E" w14:textId="77777777" w:rsidR="00871CAA" w:rsidRDefault="00871CAA" w:rsidP="00362AB6">
    <w:pPr>
      <w:pStyle w:val="Footer"/>
    </w:pPr>
    <w:r>
      <w:rPr>
        <w:b/>
        <w:bCs/>
        <w:noProof/>
        <w:lang w:eastAsia="en-AU"/>
      </w:rPr>
      <mc:AlternateContent>
        <mc:Choice Requires="wps">
          <w:drawing>
            <wp:inline distT="0" distB="0" distL="0" distR="0" wp14:anchorId="5B54FEAA" wp14:editId="66BA958C">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2E4180"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6D31122" w14:textId="4D248411" w:rsidR="00871CAA" w:rsidRPr="00080615" w:rsidRDefault="00871CAA"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C057E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1C3E" w14:textId="77777777" w:rsidR="00871CAA" w:rsidRDefault="00871CAA" w:rsidP="00080615">
    <w:pPr>
      <w:pStyle w:val="Footer"/>
      <w:rPr>
        <w:sz w:val="18"/>
        <w:szCs w:val="18"/>
      </w:rPr>
    </w:pPr>
    <w:r>
      <w:rPr>
        <w:b/>
        <w:bCs/>
        <w:noProof/>
        <w:lang w:eastAsia="en-AU"/>
      </w:rPr>
      <mc:AlternateContent>
        <mc:Choice Requires="wps">
          <w:drawing>
            <wp:inline distT="0" distB="0" distL="0" distR="0" wp14:anchorId="042AD5B0" wp14:editId="7A5466B3">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19B0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1D13578" w14:textId="4BECDB73" w:rsidR="00871CAA" w:rsidRPr="00080615" w:rsidRDefault="00871CAA"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057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B0FF" w14:textId="77777777" w:rsidR="00D52092" w:rsidRDefault="00D52092" w:rsidP="008E21DE">
      <w:pPr>
        <w:spacing w:after="0"/>
      </w:pPr>
      <w:r>
        <w:separator/>
      </w:r>
    </w:p>
  </w:footnote>
  <w:footnote w:type="continuationSeparator" w:id="0">
    <w:p w14:paraId="04D0D79D" w14:textId="77777777" w:rsidR="00D52092" w:rsidRDefault="00D52092"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C066" w14:textId="08853C2E" w:rsidR="00871CAA" w:rsidRDefault="00871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D653" w14:textId="7A627784" w:rsidR="00871CAA" w:rsidRDefault="00871CAA">
    <w:pPr>
      <w:pStyle w:val="Header"/>
    </w:pPr>
  </w:p>
  <w:p w14:paraId="3BED0718" w14:textId="77777777" w:rsidR="00871CAA" w:rsidRDefault="00871CAA">
    <w:pPr>
      <w:pStyle w:val="Header"/>
    </w:pPr>
    <w:r>
      <w:rPr>
        <w:b w:val="0"/>
        <w:bCs/>
        <w:noProof/>
        <w:lang w:eastAsia="en-AU"/>
      </w:rPr>
      <mc:AlternateContent>
        <mc:Choice Requires="wps">
          <w:drawing>
            <wp:inline distT="0" distB="0" distL="0" distR="0" wp14:anchorId="3666D020" wp14:editId="214B2847">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3C3ED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C046" w14:textId="69D0C0E7" w:rsidR="00871CAA" w:rsidRDefault="00871CAA">
    <w:pPr>
      <w:pStyle w:val="Header"/>
    </w:pPr>
    <w:r>
      <w:rPr>
        <w:noProof/>
        <w:lang w:eastAsia="en-AU"/>
      </w:rPr>
      <w:ptab w:relativeTo="margin" w:alignment="left" w:leader="none"/>
    </w:r>
    <w:r>
      <w:rPr>
        <w:noProof/>
        <w:lang w:eastAsia="en-AU"/>
      </w:rPr>
      <w:drawing>
        <wp:inline distT="0" distB="0" distL="0" distR="0" wp14:anchorId="1509C4E9" wp14:editId="32D3D8A4">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6B64D1"/>
    <w:multiLevelType w:val="hybridMultilevel"/>
    <w:tmpl w:val="ED427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7660A1"/>
    <w:multiLevelType w:val="hybridMultilevel"/>
    <w:tmpl w:val="B26A3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506779"/>
    <w:multiLevelType w:val="hybridMultilevel"/>
    <w:tmpl w:val="B992B1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CAF4AF5"/>
    <w:multiLevelType w:val="hybridMultilevel"/>
    <w:tmpl w:val="A178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4A142EF4"/>
    <w:multiLevelType w:val="hybridMultilevel"/>
    <w:tmpl w:val="0BF2A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95F607D"/>
    <w:multiLevelType w:val="hybridMultilevel"/>
    <w:tmpl w:val="10503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6C7582"/>
    <w:multiLevelType w:val="hybridMultilevel"/>
    <w:tmpl w:val="AE0A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51665"/>
    <w:multiLevelType w:val="multilevel"/>
    <w:tmpl w:val="4E929216"/>
    <w:numStyleLink w:val="NumberedHeadings"/>
  </w:abstractNum>
  <w:abstractNum w:abstractNumId="26" w15:restartNumberingAfterBreak="0">
    <w:nsid w:val="62397869"/>
    <w:multiLevelType w:val="multilevel"/>
    <w:tmpl w:val="4E929216"/>
    <w:numStyleLink w:val="NumberedHeadings"/>
  </w:abstractNum>
  <w:abstractNum w:abstractNumId="27" w15:restartNumberingAfterBreak="0">
    <w:nsid w:val="6D4F423B"/>
    <w:multiLevelType w:val="multilevel"/>
    <w:tmpl w:val="4A7CCC2C"/>
    <w:numStyleLink w:val="DefaultBullets"/>
  </w:abstractNum>
  <w:abstractNum w:abstractNumId="28" w15:restartNumberingAfterBreak="0">
    <w:nsid w:val="6D9B293C"/>
    <w:multiLevelType w:val="hybridMultilevel"/>
    <w:tmpl w:val="2DC67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44360"/>
    <w:multiLevelType w:val="hybridMultilevel"/>
    <w:tmpl w:val="EB8AA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EE44065"/>
    <w:multiLevelType w:val="multilevel"/>
    <w:tmpl w:val="A41689A2"/>
    <w:numStyleLink w:val="AppendixNumbers"/>
  </w:abstractNum>
  <w:num w:numId="1">
    <w:abstractNumId w:val="3"/>
  </w:num>
  <w:num w:numId="2">
    <w:abstractNumId w:val="32"/>
  </w:num>
  <w:num w:numId="3">
    <w:abstractNumId w:val="19"/>
  </w:num>
  <w:num w:numId="4">
    <w:abstractNumId w:val="31"/>
  </w:num>
  <w:num w:numId="5">
    <w:abstractNumId w:val="31"/>
  </w:num>
  <w:num w:numId="6">
    <w:abstractNumId w:val="14"/>
  </w:num>
  <w:num w:numId="7">
    <w:abstractNumId w:val="18"/>
  </w:num>
  <w:num w:numId="8">
    <w:abstractNumId w:val="18"/>
  </w:num>
  <w:num w:numId="9">
    <w:abstractNumId w:val="18"/>
  </w:num>
  <w:num w:numId="10">
    <w:abstractNumId w:val="7"/>
  </w:num>
  <w:num w:numId="11">
    <w:abstractNumId w:val="20"/>
  </w:num>
  <w:num w:numId="12">
    <w:abstractNumId w:val="25"/>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5"/>
  </w:num>
  <w:num w:numId="20">
    <w:abstractNumId w:val="22"/>
  </w:num>
  <w:num w:numId="21">
    <w:abstractNumId w:val="22"/>
  </w:num>
  <w:num w:numId="22">
    <w:abstractNumId w:val="22"/>
  </w:num>
  <w:num w:numId="23">
    <w:abstractNumId w:val="21"/>
  </w:num>
  <w:num w:numId="24">
    <w:abstractNumId w:val="11"/>
  </w:num>
  <w:num w:numId="25">
    <w:abstractNumId w:val="8"/>
  </w:num>
  <w:num w:numId="26">
    <w:abstractNumId w:val="17"/>
  </w:num>
  <w:num w:numId="27">
    <w:abstractNumId w:val="0"/>
  </w:num>
  <w:num w:numId="28">
    <w:abstractNumId w:val="30"/>
  </w:num>
  <w:num w:numId="29">
    <w:abstractNumId w:val="2"/>
  </w:num>
  <w:num w:numId="30">
    <w:abstractNumId w:val="1"/>
  </w:num>
  <w:num w:numId="31">
    <w:abstractNumId w:val="9"/>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5"/>
  </w:num>
  <w:num w:numId="37">
    <w:abstractNumId w:val="13"/>
  </w:num>
  <w:num w:numId="38">
    <w:abstractNumId w:val="28"/>
  </w:num>
  <w:num w:numId="39">
    <w:abstractNumId w:val="4"/>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4"/>
  </w:num>
  <w:num w:numId="43">
    <w:abstractNumId w:val="29"/>
  </w:num>
  <w:num w:numId="44">
    <w:abstractNumId w:val="1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B3"/>
    <w:rsid w:val="00016CC2"/>
    <w:rsid w:val="00042A02"/>
    <w:rsid w:val="00043D08"/>
    <w:rsid w:val="000444CD"/>
    <w:rsid w:val="00057382"/>
    <w:rsid w:val="000625B9"/>
    <w:rsid w:val="0006674C"/>
    <w:rsid w:val="000756E4"/>
    <w:rsid w:val="00080615"/>
    <w:rsid w:val="00080C1B"/>
    <w:rsid w:val="00084BB5"/>
    <w:rsid w:val="000C252F"/>
    <w:rsid w:val="000D441C"/>
    <w:rsid w:val="000E12E7"/>
    <w:rsid w:val="000F3A54"/>
    <w:rsid w:val="000F48FC"/>
    <w:rsid w:val="0011655C"/>
    <w:rsid w:val="001167BC"/>
    <w:rsid w:val="001436A1"/>
    <w:rsid w:val="00154C99"/>
    <w:rsid w:val="0016108D"/>
    <w:rsid w:val="00170D67"/>
    <w:rsid w:val="00182709"/>
    <w:rsid w:val="00190760"/>
    <w:rsid w:val="001A4852"/>
    <w:rsid w:val="001A5685"/>
    <w:rsid w:val="001B4AAF"/>
    <w:rsid w:val="001C7A90"/>
    <w:rsid w:val="001D22B5"/>
    <w:rsid w:val="00201052"/>
    <w:rsid w:val="0020380B"/>
    <w:rsid w:val="002231A3"/>
    <w:rsid w:val="00230548"/>
    <w:rsid w:val="00231AAC"/>
    <w:rsid w:val="002337EF"/>
    <w:rsid w:val="0024331F"/>
    <w:rsid w:val="00251B30"/>
    <w:rsid w:val="00256DA6"/>
    <w:rsid w:val="002571DE"/>
    <w:rsid w:val="002702B7"/>
    <w:rsid w:val="00276170"/>
    <w:rsid w:val="002804D3"/>
    <w:rsid w:val="00284A20"/>
    <w:rsid w:val="00284FB2"/>
    <w:rsid w:val="002A0A83"/>
    <w:rsid w:val="002D6E5B"/>
    <w:rsid w:val="002F023E"/>
    <w:rsid w:val="00312A36"/>
    <w:rsid w:val="00325F75"/>
    <w:rsid w:val="00326AE7"/>
    <w:rsid w:val="0034143D"/>
    <w:rsid w:val="003449A0"/>
    <w:rsid w:val="00344DCC"/>
    <w:rsid w:val="00362AB6"/>
    <w:rsid w:val="00366080"/>
    <w:rsid w:val="00370665"/>
    <w:rsid w:val="003753EF"/>
    <w:rsid w:val="003B12B5"/>
    <w:rsid w:val="003B4F6C"/>
    <w:rsid w:val="003C1641"/>
    <w:rsid w:val="003E0A18"/>
    <w:rsid w:val="003E3447"/>
    <w:rsid w:val="003F1A6B"/>
    <w:rsid w:val="003F29B8"/>
    <w:rsid w:val="003F5BFE"/>
    <w:rsid w:val="00403DBE"/>
    <w:rsid w:val="004154E2"/>
    <w:rsid w:val="00431848"/>
    <w:rsid w:val="00441CDD"/>
    <w:rsid w:val="00481CD3"/>
    <w:rsid w:val="004B6650"/>
    <w:rsid w:val="004C2C32"/>
    <w:rsid w:val="004C4DF4"/>
    <w:rsid w:val="004C6728"/>
    <w:rsid w:val="004D227F"/>
    <w:rsid w:val="004D4273"/>
    <w:rsid w:val="004E3651"/>
    <w:rsid w:val="004F1481"/>
    <w:rsid w:val="0050076B"/>
    <w:rsid w:val="00503813"/>
    <w:rsid w:val="005046E0"/>
    <w:rsid w:val="00534D53"/>
    <w:rsid w:val="00574F00"/>
    <w:rsid w:val="005A6068"/>
    <w:rsid w:val="005A7C74"/>
    <w:rsid w:val="005B053D"/>
    <w:rsid w:val="005B0D67"/>
    <w:rsid w:val="005C288B"/>
    <w:rsid w:val="005C2A8F"/>
    <w:rsid w:val="006022B6"/>
    <w:rsid w:val="006102E5"/>
    <w:rsid w:val="00625854"/>
    <w:rsid w:val="00634EE1"/>
    <w:rsid w:val="00635ABE"/>
    <w:rsid w:val="00651348"/>
    <w:rsid w:val="00652006"/>
    <w:rsid w:val="00654E3E"/>
    <w:rsid w:val="00662265"/>
    <w:rsid w:val="0066412C"/>
    <w:rsid w:val="00664B27"/>
    <w:rsid w:val="006659A1"/>
    <w:rsid w:val="00673110"/>
    <w:rsid w:val="00680A20"/>
    <w:rsid w:val="00680F04"/>
    <w:rsid w:val="00681845"/>
    <w:rsid w:val="00682C9D"/>
    <w:rsid w:val="00690F7F"/>
    <w:rsid w:val="006B330D"/>
    <w:rsid w:val="006C1684"/>
    <w:rsid w:val="006C22AB"/>
    <w:rsid w:val="006D6D91"/>
    <w:rsid w:val="006F1DE5"/>
    <w:rsid w:val="007024C3"/>
    <w:rsid w:val="007204FD"/>
    <w:rsid w:val="00721F9A"/>
    <w:rsid w:val="00730993"/>
    <w:rsid w:val="0073276D"/>
    <w:rsid w:val="0078103B"/>
    <w:rsid w:val="007A11D6"/>
    <w:rsid w:val="007A7719"/>
    <w:rsid w:val="007E10CA"/>
    <w:rsid w:val="007E3109"/>
    <w:rsid w:val="00801840"/>
    <w:rsid w:val="00825A4E"/>
    <w:rsid w:val="00831F3C"/>
    <w:rsid w:val="008342C0"/>
    <w:rsid w:val="00836DFF"/>
    <w:rsid w:val="00847F9B"/>
    <w:rsid w:val="008539AB"/>
    <w:rsid w:val="00871CAA"/>
    <w:rsid w:val="008722B9"/>
    <w:rsid w:val="00873DB8"/>
    <w:rsid w:val="00877ECC"/>
    <w:rsid w:val="00882A2A"/>
    <w:rsid w:val="008A0792"/>
    <w:rsid w:val="008A57FD"/>
    <w:rsid w:val="008A649A"/>
    <w:rsid w:val="008B1DB3"/>
    <w:rsid w:val="008B6278"/>
    <w:rsid w:val="008B7938"/>
    <w:rsid w:val="008E21DE"/>
    <w:rsid w:val="00902FBA"/>
    <w:rsid w:val="009032ED"/>
    <w:rsid w:val="009039A7"/>
    <w:rsid w:val="00910D9F"/>
    <w:rsid w:val="0092679E"/>
    <w:rsid w:val="00950B91"/>
    <w:rsid w:val="009539C8"/>
    <w:rsid w:val="009603E5"/>
    <w:rsid w:val="009719BB"/>
    <w:rsid w:val="009C138B"/>
    <w:rsid w:val="009C4A38"/>
    <w:rsid w:val="009D06E2"/>
    <w:rsid w:val="009D7B19"/>
    <w:rsid w:val="009E3E4B"/>
    <w:rsid w:val="009E53CD"/>
    <w:rsid w:val="009F30C4"/>
    <w:rsid w:val="009F4EAA"/>
    <w:rsid w:val="009F7779"/>
    <w:rsid w:val="00A0665A"/>
    <w:rsid w:val="00A07E4A"/>
    <w:rsid w:val="00A17B0F"/>
    <w:rsid w:val="00A60009"/>
    <w:rsid w:val="00A609E5"/>
    <w:rsid w:val="00A93DD9"/>
    <w:rsid w:val="00AA094B"/>
    <w:rsid w:val="00AB0B09"/>
    <w:rsid w:val="00AB12D5"/>
    <w:rsid w:val="00AB20C4"/>
    <w:rsid w:val="00AB245C"/>
    <w:rsid w:val="00AD6CC2"/>
    <w:rsid w:val="00AD735D"/>
    <w:rsid w:val="00AD777E"/>
    <w:rsid w:val="00AE391A"/>
    <w:rsid w:val="00AE3F94"/>
    <w:rsid w:val="00AF0899"/>
    <w:rsid w:val="00AF1F11"/>
    <w:rsid w:val="00B059D4"/>
    <w:rsid w:val="00B062AE"/>
    <w:rsid w:val="00B11496"/>
    <w:rsid w:val="00B16F70"/>
    <w:rsid w:val="00B221B5"/>
    <w:rsid w:val="00B22366"/>
    <w:rsid w:val="00B34255"/>
    <w:rsid w:val="00B45600"/>
    <w:rsid w:val="00B534B7"/>
    <w:rsid w:val="00B603C0"/>
    <w:rsid w:val="00B77D68"/>
    <w:rsid w:val="00B83AB4"/>
    <w:rsid w:val="00BA4FF9"/>
    <w:rsid w:val="00BC079D"/>
    <w:rsid w:val="00BC3BA1"/>
    <w:rsid w:val="00BC3DC4"/>
    <w:rsid w:val="00BC76EB"/>
    <w:rsid w:val="00C0421C"/>
    <w:rsid w:val="00C057E1"/>
    <w:rsid w:val="00C10202"/>
    <w:rsid w:val="00C10535"/>
    <w:rsid w:val="00C21944"/>
    <w:rsid w:val="00C2698C"/>
    <w:rsid w:val="00C31D2B"/>
    <w:rsid w:val="00C47F56"/>
    <w:rsid w:val="00C52C59"/>
    <w:rsid w:val="00C62CAD"/>
    <w:rsid w:val="00C81A3F"/>
    <w:rsid w:val="00C90DF2"/>
    <w:rsid w:val="00C96AB9"/>
    <w:rsid w:val="00CA32D4"/>
    <w:rsid w:val="00CB1553"/>
    <w:rsid w:val="00CB39B8"/>
    <w:rsid w:val="00CB64BD"/>
    <w:rsid w:val="00D47EB0"/>
    <w:rsid w:val="00D50DD8"/>
    <w:rsid w:val="00D52092"/>
    <w:rsid w:val="00D76A07"/>
    <w:rsid w:val="00D80A80"/>
    <w:rsid w:val="00D90488"/>
    <w:rsid w:val="00D9513C"/>
    <w:rsid w:val="00DC3AFC"/>
    <w:rsid w:val="00DD0C87"/>
    <w:rsid w:val="00DE6CE1"/>
    <w:rsid w:val="00DF4328"/>
    <w:rsid w:val="00DF58E8"/>
    <w:rsid w:val="00DF74BA"/>
    <w:rsid w:val="00E062C3"/>
    <w:rsid w:val="00E1118F"/>
    <w:rsid w:val="00E243C4"/>
    <w:rsid w:val="00E260AC"/>
    <w:rsid w:val="00E40290"/>
    <w:rsid w:val="00E45FBB"/>
    <w:rsid w:val="00E54DC5"/>
    <w:rsid w:val="00E96F12"/>
    <w:rsid w:val="00EC202F"/>
    <w:rsid w:val="00ED379B"/>
    <w:rsid w:val="00EE737C"/>
    <w:rsid w:val="00EF6477"/>
    <w:rsid w:val="00F01252"/>
    <w:rsid w:val="00F05C62"/>
    <w:rsid w:val="00F07E64"/>
    <w:rsid w:val="00F41613"/>
    <w:rsid w:val="00F424C5"/>
    <w:rsid w:val="00F445F4"/>
    <w:rsid w:val="00F63645"/>
    <w:rsid w:val="00F731E7"/>
    <w:rsid w:val="00F9318C"/>
    <w:rsid w:val="00F96FF9"/>
    <w:rsid w:val="00FB7397"/>
    <w:rsid w:val="00FB7EE9"/>
    <w:rsid w:val="00FC0436"/>
    <w:rsid w:val="00FC5B93"/>
    <w:rsid w:val="00FD2CF8"/>
    <w:rsid w:val="00FD66D7"/>
    <w:rsid w:val="00FE2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6842F"/>
  <w15:chartTrackingRefBased/>
  <w15:docId w15:val="{51921C97-14F3-497B-BACF-2CD760EE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DB3"/>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8B1DB3"/>
    <w:pPr>
      <w:ind w:left="720"/>
      <w:contextualSpacing/>
    </w:pPr>
  </w:style>
  <w:style w:type="character" w:styleId="CommentReference">
    <w:name w:val="annotation reference"/>
    <w:basedOn w:val="DefaultParagraphFont"/>
    <w:uiPriority w:val="99"/>
    <w:semiHidden/>
    <w:unhideWhenUsed/>
    <w:rsid w:val="008B1DB3"/>
    <w:rPr>
      <w:sz w:val="16"/>
      <w:szCs w:val="16"/>
    </w:rPr>
  </w:style>
  <w:style w:type="paragraph" w:styleId="CommentText">
    <w:name w:val="annotation text"/>
    <w:basedOn w:val="Normal"/>
    <w:link w:val="CommentTextChar"/>
    <w:uiPriority w:val="99"/>
    <w:semiHidden/>
    <w:unhideWhenUsed/>
    <w:rsid w:val="008B1DB3"/>
    <w:pPr>
      <w:spacing w:line="240" w:lineRule="auto"/>
    </w:pPr>
    <w:rPr>
      <w:sz w:val="20"/>
      <w:szCs w:val="20"/>
    </w:rPr>
  </w:style>
  <w:style w:type="character" w:customStyle="1" w:styleId="CommentTextChar">
    <w:name w:val="Comment Text Char"/>
    <w:basedOn w:val="DefaultParagraphFont"/>
    <w:link w:val="CommentText"/>
    <w:uiPriority w:val="99"/>
    <w:semiHidden/>
    <w:rsid w:val="008B1DB3"/>
    <w:rPr>
      <w:rFonts w:ascii="Arial" w:hAnsi="Arial"/>
      <w:color w:val="auto"/>
    </w:rPr>
  </w:style>
  <w:style w:type="paragraph" w:customStyle="1" w:styleId="c-bibliographic-informationcitation">
    <w:name w:val="c-bibliographic-information__citation"/>
    <w:basedOn w:val="Normal"/>
    <w:rsid w:val="008B1D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B1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B3"/>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170D67"/>
    <w:rPr>
      <w:b/>
      <w:bCs/>
    </w:rPr>
  </w:style>
  <w:style w:type="character" w:customStyle="1" w:styleId="CommentSubjectChar">
    <w:name w:val="Comment Subject Char"/>
    <w:basedOn w:val="CommentTextChar"/>
    <w:link w:val="CommentSubject"/>
    <w:uiPriority w:val="99"/>
    <w:semiHidden/>
    <w:rsid w:val="00170D67"/>
    <w:rPr>
      <w:rFonts w:ascii="Arial" w:hAnsi="Arial"/>
      <w:b/>
      <w:bCs/>
      <w:color w:val="auto"/>
    </w:rPr>
  </w:style>
  <w:style w:type="paragraph" w:customStyle="1" w:styleId="Default">
    <w:name w:val="Default"/>
    <w:rsid w:val="00682C9D"/>
    <w:pPr>
      <w:autoSpaceDE w:val="0"/>
      <w:autoSpaceDN w:val="0"/>
      <w:adjustRightInd w:val="0"/>
      <w:spacing w:before="0" w:after="0"/>
    </w:pPr>
    <w:rPr>
      <w:rFonts w:ascii="Arial" w:hAnsi="Arial" w:cs="Arial"/>
      <w:color w:val="000000"/>
      <w:sz w:val="24"/>
      <w:szCs w:val="24"/>
    </w:rPr>
  </w:style>
  <w:style w:type="paragraph" w:customStyle="1" w:styleId="Ourreference">
    <w:name w:val="Our reference"/>
    <w:basedOn w:val="Normal"/>
    <w:rsid w:val="00AE3F94"/>
    <w:pPr>
      <w:spacing w:before="180" w:after="0" w:line="240" w:lineRule="auto"/>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70">
      <w:bodyDiv w:val="1"/>
      <w:marLeft w:val="0"/>
      <w:marRight w:val="0"/>
      <w:marTop w:val="0"/>
      <w:marBottom w:val="0"/>
      <w:divBdr>
        <w:top w:val="none" w:sz="0" w:space="0" w:color="auto"/>
        <w:left w:val="none" w:sz="0" w:space="0" w:color="auto"/>
        <w:bottom w:val="none" w:sz="0" w:space="0" w:color="auto"/>
        <w:right w:val="none" w:sz="0" w:space="0" w:color="auto"/>
      </w:divBdr>
      <w:divsChild>
        <w:div w:id="737557144">
          <w:marLeft w:val="0"/>
          <w:marRight w:val="0"/>
          <w:marTop w:val="0"/>
          <w:marBottom w:val="0"/>
          <w:divBdr>
            <w:top w:val="none" w:sz="0" w:space="0" w:color="auto"/>
            <w:left w:val="none" w:sz="0" w:space="0" w:color="auto"/>
            <w:bottom w:val="none" w:sz="0" w:space="0" w:color="auto"/>
            <w:right w:val="none" w:sz="0" w:space="0" w:color="auto"/>
          </w:divBdr>
          <w:divsChild>
            <w:div w:id="1181549306">
              <w:marLeft w:val="0"/>
              <w:marRight w:val="0"/>
              <w:marTop w:val="0"/>
              <w:marBottom w:val="0"/>
              <w:divBdr>
                <w:top w:val="none" w:sz="0" w:space="0" w:color="auto"/>
                <w:left w:val="none" w:sz="0" w:space="0" w:color="auto"/>
                <w:bottom w:val="none" w:sz="0" w:space="0" w:color="auto"/>
                <w:right w:val="none" w:sz="0" w:space="0" w:color="auto"/>
              </w:divBdr>
              <w:divsChild>
                <w:div w:id="1152523441">
                  <w:marLeft w:val="480"/>
                  <w:marRight w:val="0"/>
                  <w:marTop w:val="0"/>
                  <w:marBottom w:val="0"/>
                  <w:divBdr>
                    <w:top w:val="none" w:sz="0" w:space="0" w:color="auto"/>
                    <w:left w:val="none" w:sz="0" w:space="0" w:color="auto"/>
                    <w:bottom w:val="none" w:sz="0" w:space="0" w:color="auto"/>
                    <w:right w:val="none" w:sz="0" w:space="0" w:color="auto"/>
                  </w:divBdr>
                  <w:divsChild>
                    <w:div w:id="1022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1850">
      <w:bodyDiv w:val="1"/>
      <w:marLeft w:val="0"/>
      <w:marRight w:val="0"/>
      <w:marTop w:val="0"/>
      <w:marBottom w:val="0"/>
      <w:divBdr>
        <w:top w:val="none" w:sz="0" w:space="0" w:color="auto"/>
        <w:left w:val="none" w:sz="0" w:space="0" w:color="auto"/>
        <w:bottom w:val="none" w:sz="0" w:space="0" w:color="auto"/>
        <w:right w:val="none" w:sz="0" w:space="0" w:color="auto"/>
      </w:divBdr>
    </w:div>
    <w:div w:id="328095734">
      <w:bodyDiv w:val="1"/>
      <w:marLeft w:val="0"/>
      <w:marRight w:val="0"/>
      <w:marTop w:val="0"/>
      <w:marBottom w:val="0"/>
      <w:divBdr>
        <w:top w:val="none" w:sz="0" w:space="0" w:color="auto"/>
        <w:left w:val="none" w:sz="0" w:space="0" w:color="auto"/>
        <w:bottom w:val="none" w:sz="0" w:space="0" w:color="auto"/>
        <w:right w:val="none" w:sz="0" w:space="0" w:color="auto"/>
      </w:divBdr>
      <w:divsChild>
        <w:div w:id="1971857785">
          <w:marLeft w:val="0"/>
          <w:marRight w:val="0"/>
          <w:marTop w:val="0"/>
          <w:marBottom w:val="0"/>
          <w:divBdr>
            <w:top w:val="none" w:sz="0" w:space="0" w:color="auto"/>
            <w:left w:val="none" w:sz="0" w:space="0" w:color="auto"/>
            <w:bottom w:val="none" w:sz="0" w:space="0" w:color="auto"/>
            <w:right w:val="none" w:sz="0" w:space="0" w:color="auto"/>
          </w:divBdr>
          <w:divsChild>
            <w:div w:id="823665729">
              <w:marLeft w:val="0"/>
              <w:marRight w:val="0"/>
              <w:marTop w:val="0"/>
              <w:marBottom w:val="0"/>
              <w:divBdr>
                <w:top w:val="none" w:sz="0" w:space="0" w:color="auto"/>
                <w:left w:val="none" w:sz="0" w:space="0" w:color="auto"/>
                <w:bottom w:val="none" w:sz="0" w:space="0" w:color="auto"/>
                <w:right w:val="none" w:sz="0" w:space="0" w:color="auto"/>
              </w:divBdr>
              <w:divsChild>
                <w:div w:id="2059625527">
                  <w:marLeft w:val="480"/>
                  <w:marRight w:val="0"/>
                  <w:marTop w:val="0"/>
                  <w:marBottom w:val="0"/>
                  <w:divBdr>
                    <w:top w:val="none" w:sz="0" w:space="0" w:color="auto"/>
                    <w:left w:val="none" w:sz="0" w:space="0" w:color="auto"/>
                    <w:bottom w:val="none" w:sz="0" w:space="0" w:color="auto"/>
                    <w:right w:val="none" w:sz="0" w:space="0" w:color="auto"/>
                  </w:divBdr>
                  <w:divsChild>
                    <w:div w:id="9209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937397">
      <w:bodyDiv w:val="1"/>
      <w:marLeft w:val="0"/>
      <w:marRight w:val="0"/>
      <w:marTop w:val="0"/>
      <w:marBottom w:val="0"/>
      <w:divBdr>
        <w:top w:val="none" w:sz="0" w:space="0" w:color="auto"/>
        <w:left w:val="none" w:sz="0" w:space="0" w:color="auto"/>
        <w:bottom w:val="none" w:sz="0" w:space="0" w:color="auto"/>
        <w:right w:val="none" w:sz="0" w:space="0" w:color="auto"/>
      </w:divBdr>
      <w:divsChild>
        <w:div w:id="202057922">
          <w:marLeft w:val="0"/>
          <w:marRight w:val="0"/>
          <w:marTop w:val="0"/>
          <w:marBottom w:val="0"/>
          <w:divBdr>
            <w:top w:val="none" w:sz="0" w:space="0" w:color="auto"/>
            <w:left w:val="none" w:sz="0" w:space="0" w:color="auto"/>
            <w:bottom w:val="none" w:sz="0" w:space="0" w:color="auto"/>
            <w:right w:val="none" w:sz="0" w:space="0" w:color="auto"/>
          </w:divBdr>
          <w:divsChild>
            <w:div w:id="507258022">
              <w:marLeft w:val="0"/>
              <w:marRight w:val="0"/>
              <w:marTop w:val="0"/>
              <w:marBottom w:val="0"/>
              <w:divBdr>
                <w:top w:val="none" w:sz="0" w:space="0" w:color="auto"/>
                <w:left w:val="none" w:sz="0" w:space="0" w:color="auto"/>
                <w:bottom w:val="none" w:sz="0" w:space="0" w:color="auto"/>
                <w:right w:val="none" w:sz="0" w:space="0" w:color="auto"/>
              </w:divBdr>
              <w:divsChild>
                <w:div w:id="532311205">
                  <w:marLeft w:val="480"/>
                  <w:marRight w:val="0"/>
                  <w:marTop w:val="0"/>
                  <w:marBottom w:val="0"/>
                  <w:divBdr>
                    <w:top w:val="none" w:sz="0" w:space="0" w:color="auto"/>
                    <w:left w:val="none" w:sz="0" w:space="0" w:color="auto"/>
                    <w:bottom w:val="none" w:sz="0" w:space="0" w:color="auto"/>
                    <w:right w:val="none" w:sz="0" w:space="0" w:color="auto"/>
                  </w:divBdr>
                  <w:divsChild>
                    <w:div w:id="15679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7216">
      <w:bodyDiv w:val="1"/>
      <w:marLeft w:val="0"/>
      <w:marRight w:val="0"/>
      <w:marTop w:val="0"/>
      <w:marBottom w:val="0"/>
      <w:divBdr>
        <w:top w:val="none" w:sz="0" w:space="0" w:color="auto"/>
        <w:left w:val="none" w:sz="0" w:space="0" w:color="auto"/>
        <w:bottom w:val="none" w:sz="0" w:space="0" w:color="auto"/>
        <w:right w:val="none" w:sz="0" w:space="0" w:color="auto"/>
      </w:divBdr>
      <w:divsChild>
        <w:div w:id="1232930110">
          <w:marLeft w:val="0"/>
          <w:marRight w:val="0"/>
          <w:marTop w:val="0"/>
          <w:marBottom w:val="0"/>
          <w:divBdr>
            <w:top w:val="none" w:sz="0" w:space="0" w:color="auto"/>
            <w:left w:val="none" w:sz="0" w:space="0" w:color="auto"/>
            <w:bottom w:val="none" w:sz="0" w:space="0" w:color="auto"/>
            <w:right w:val="none" w:sz="0" w:space="0" w:color="auto"/>
          </w:divBdr>
          <w:divsChild>
            <w:div w:id="413283160">
              <w:marLeft w:val="0"/>
              <w:marRight w:val="0"/>
              <w:marTop w:val="0"/>
              <w:marBottom w:val="0"/>
              <w:divBdr>
                <w:top w:val="none" w:sz="0" w:space="0" w:color="auto"/>
                <w:left w:val="none" w:sz="0" w:space="0" w:color="auto"/>
                <w:bottom w:val="none" w:sz="0" w:space="0" w:color="auto"/>
                <w:right w:val="none" w:sz="0" w:space="0" w:color="auto"/>
              </w:divBdr>
              <w:divsChild>
                <w:div w:id="982931920">
                  <w:marLeft w:val="0"/>
                  <w:marRight w:val="0"/>
                  <w:marTop w:val="0"/>
                  <w:marBottom w:val="0"/>
                  <w:divBdr>
                    <w:top w:val="none" w:sz="0" w:space="0" w:color="auto"/>
                    <w:left w:val="none" w:sz="0" w:space="0" w:color="auto"/>
                    <w:bottom w:val="none" w:sz="0" w:space="0" w:color="auto"/>
                    <w:right w:val="none" w:sz="0" w:space="0" w:color="auto"/>
                  </w:divBdr>
                  <w:divsChild>
                    <w:div w:id="2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1612">
      <w:bodyDiv w:val="1"/>
      <w:marLeft w:val="0"/>
      <w:marRight w:val="0"/>
      <w:marTop w:val="0"/>
      <w:marBottom w:val="0"/>
      <w:divBdr>
        <w:top w:val="none" w:sz="0" w:space="0" w:color="auto"/>
        <w:left w:val="none" w:sz="0" w:space="0" w:color="auto"/>
        <w:bottom w:val="none" w:sz="0" w:space="0" w:color="auto"/>
        <w:right w:val="none" w:sz="0" w:space="0" w:color="auto"/>
      </w:divBdr>
    </w:div>
    <w:div w:id="621157961">
      <w:bodyDiv w:val="1"/>
      <w:marLeft w:val="0"/>
      <w:marRight w:val="0"/>
      <w:marTop w:val="0"/>
      <w:marBottom w:val="0"/>
      <w:divBdr>
        <w:top w:val="none" w:sz="0" w:space="0" w:color="auto"/>
        <w:left w:val="none" w:sz="0" w:space="0" w:color="auto"/>
        <w:bottom w:val="none" w:sz="0" w:space="0" w:color="auto"/>
        <w:right w:val="none" w:sz="0" w:space="0" w:color="auto"/>
      </w:divBdr>
      <w:divsChild>
        <w:div w:id="2092658119">
          <w:marLeft w:val="0"/>
          <w:marRight w:val="0"/>
          <w:marTop w:val="0"/>
          <w:marBottom w:val="0"/>
          <w:divBdr>
            <w:top w:val="none" w:sz="0" w:space="0" w:color="auto"/>
            <w:left w:val="none" w:sz="0" w:space="0" w:color="auto"/>
            <w:bottom w:val="none" w:sz="0" w:space="0" w:color="auto"/>
            <w:right w:val="none" w:sz="0" w:space="0" w:color="auto"/>
          </w:divBdr>
          <w:divsChild>
            <w:div w:id="50034279">
              <w:marLeft w:val="0"/>
              <w:marRight w:val="0"/>
              <w:marTop w:val="0"/>
              <w:marBottom w:val="0"/>
              <w:divBdr>
                <w:top w:val="none" w:sz="0" w:space="0" w:color="auto"/>
                <w:left w:val="none" w:sz="0" w:space="0" w:color="auto"/>
                <w:bottom w:val="none" w:sz="0" w:space="0" w:color="auto"/>
                <w:right w:val="none" w:sz="0" w:space="0" w:color="auto"/>
              </w:divBdr>
              <w:divsChild>
                <w:div w:id="602224063">
                  <w:marLeft w:val="480"/>
                  <w:marRight w:val="0"/>
                  <w:marTop w:val="0"/>
                  <w:marBottom w:val="0"/>
                  <w:divBdr>
                    <w:top w:val="none" w:sz="0" w:space="0" w:color="auto"/>
                    <w:left w:val="none" w:sz="0" w:space="0" w:color="auto"/>
                    <w:bottom w:val="none" w:sz="0" w:space="0" w:color="auto"/>
                    <w:right w:val="none" w:sz="0" w:space="0" w:color="auto"/>
                  </w:divBdr>
                  <w:divsChild>
                    <w:div w:id="12121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5502">
      <w:bodyDiv w:val="1"/>
      <w:marLeft w:val="0"/>
      <w:marRight w:val="0"/>
      <w:marTop w:val="0"/>
      <w:marBottom w:val="0"/>
      <w:divBdr>
        <w:top w:val="none" w:sz="0" w:space="0" w:color="auto"/>
        <w:left w:val="none" w:sz="0" w:space="0" w:color="auto"/>
        <w:bottom w:val="none" w:sz="0" w:space="0" w:color="auto"/>
        <w:right w:val="none" w:sz="0" w:space="0" w:color="auto"/>
      </w:divBdr>
      <w:divsChild>
        <w:div w:id="1152916036">
          <w:marLeft w:val="0"/>
          <w:marRight w:val="0"/>
          <w:marTop w:val="0"/>
          <w:marBottom w:val="0"/>
          <w:divBdr>
            <w:top w:val="none" w:sz="0" w:space="0" w:color="auto"/>
            <w:left w:val="none" w:sz="0" w:space="0" w:color="auto"/>
            <w:bottom w:val="none" w:sz="0" w:space="0" w:color="auto"/>
            <w:right w:val="none" w:sz="0" w:space="0" w:color="auto"/>
          </w:divBdr>
          <w:divsChild>
            <w:div w:id="468207920">
              <w:marLeft w:val="0"/>
              <w:marRight w:val="0"/>
              <w:marTop w:val="0"/>
              <w:marBottom w:val="0"/>
              <w:divBdr>
                <w:top w:val="none" w:sz="0" w:space="0" w:color="auto"/>
                <w:left w:val="none" w:sz="0" w:space="0" w:color="auto"/>
                <w:bottom w:val="none" w:sz="0" w:space="0" w:color="auto"/>
                <w:right w:val="none" w:sz="0" w:space="0" w:color="auto"/>
              </w:divBdr>
              <w:divsChild>
                <w:div w:id="1788575363">
                  <w:marLeft w:val="480"/>
                  <w:marRight w:val="0"/>
                  <w:marTop w:val="0"/>
                  <w:marBottom w:val="0"/>
                  <w:divBdr>
                    <w:top w:val="none" w:sz="0" w:space="0" w:color="auto"/>
                    <w:left w:val="none" w:sz="0" w:space="0" w:color="auto"/>
                    <w:bottom w:val="none" w:sz="0" w:space="0" w:color="auto"/>
                    <w:right w:val="none" w:sz="0" w:space="0" w:color="auto"/>
                  </w:divBdr>
                  <w:divsChild>
                    <w:div w:id="8061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1755">
      <w:bodyDiv w:val="1"/>
      <w:marLeft w:val="0"/>
      <w:marRight w:val="0"/>
      <w:marTop w:val="0"/>
      <w:marBottom w:val="0"/>
      <w:divBdr>
        <w:top w:val="none" w:sz="0" w:space="0" w:color="auto"/>
        <w:left w:val="none" w:sz="0" w:space="0" w:color="auto"/>
        <w:bottom w:val="none" w:sz="0" w:space="0" w:color="auto"/>
        <w:right w:val="none" w:sz="0" w:space="0" w:color="auto"/>
      </w:divBdr>
    </w:div>
    <w:div w:id="806169250">
      <w:bodyDiv w:val="1"/>
      <w:marLeft w:val="0"/>
      <w:marRight w:val="0"/>
      <w:marTop w:val="0"/>
      <w:marBottom w:val="0"/>
      <w:divBdr>
        <w:top w:val="none" w:sz="0" w:space="0" w:color="auto"/>
        <w:left w:val="none" w:sz="0" w:space="0" w:color="auto"/>
        <w:bottom w:val="none" w:sz="0" w:space="0" w:color="auto"/>
        <w:right w:val="none" w:sz="0" w:space="0" w:color="auto"/>
      </w:divBdr>
      <w:divsChild>
        <w:div w:id="566694077">
          <w:marLeft w:val="0"/>
          <w:marRight w:val="0"/>
          <w:marTop w:val="0"/>
          <w:marBottom w:val="0"/>
          <w:divBdr>
            <w:top w:val="none" w:sz="0" w:space="0" w:color="auto"/>
            <w:left w:val="none" w:sz="0" w:space="0" w:color="auto"/>
            <w:bottom w:val="none" w:sz="0" w:space="0" w:color="auto"/>
            <w:right w:val="none" w:sz="0" w:space="0" w:color="auto"/>
          </w:divBdr>
          <w:divsChild>
            <w:div w:id="1274552103">
              <w:marLeft w:val="0"/>
              <w:marRight w:val="0"/>
              <w:marTop w:val="0"/>
              <w:marBottom w:val="0"/>
              <w:divBdr>
                <w:top w:val="none" w:sz="0" w:space="0" w:color="auto"/>
                <w:left w:val="none" w:sz="0" w:space="0" w:color="auto"/>
                <w:bottom w:val="none" w:sz="0" w:space="0" w:color="auto"/>
                <w:right w:val="none" w:sz="0" w:space="0" w:color="auto"/>
              </w:divBdr>
              <w:divsChild>
                <w:div w:id="967852876">
                  <w:marLeft w:val="480"/>
                  <w:marRight w:val="0"/>
                  <w:marTop w:val="0"/>
                  <w:marBottom w:val="0"/>
                  <w:divBdr>
                    <w:top w:val="none" w:sz="0" w:space="0" w:color="auto"/>
                    <w:left w:val="none" w:sz="0" w:space="0" w:color="auto"/>
                    <w:bottom w:val="none" w:sz="0" w:space="0" w:color="auto"/>
                    <w:right w:val="none" w:sz="0" w:space="0" w:color="auto"/>
                  </w:divBdr>
                  <w:divsChild>
                    <w:div w:id="6626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3271">
      <w:bodyDiv w:val="1"/>
      <w:marLeft w:val="0"/>
      <w:marRight w:val="0"/>
      <w:marTop w:val="0"/>
      <w:marBottom w:val="0"/>
      <w:divBdr>
        <w:top w:val="none" w:sz="0" w:space="0" w:color="auto"/>
        <w:left w:val="none" w:sz="0" w:space="0" w:color="auto"/>
        <w:bottom w:val="none" w:sz="0" w:space="0" w:color="auto"/>
        <w:right w:val="none" w:sz="0" w:space="0" w:color="auto"/>
      </w:divBdr>
    </w:div>
    <w:div w:id="1059473227">
      <w:bodyDiv w:val="1"/>
      <w:marLeft w:val="0"/>
      <w:marRight w:val="0"/>
      <w:marTop w:val="0"/>
      <w:marBottom w:val="0"/>
      <w:divBdr>
        <w:top w:val="none" w:sz="0" w:space="0" w:color="auto"/>
        <w:left w:val="none" w:sz="0" w:space="0" w:color="auto"/>
        <w:bottom w:val="none" w:sz="0" w:space="0" w:color="auto"/>
        <w:right w:val="none" w:sz="0" w:space="0" w:color="auto"/>
      </w:divBdr>
      <w:divsChild>
        <w:div w:id="218564263">
          <w:marLeft w:val="0"/>
          <w:marRight w:val="0"/>
          <w:marTop w:val="0"/>
          <w:marBottom w:val="0"/>
          <w:divBdr>
            <w:top w:val="none" w:sz="0" w:space="0" w:color="auto"/>
            <w:left w:val="none" w:sz="0" w:space="0" w:color="auto"/>
            <w:bottom w:val="none" w:sz="0" w:space="0" w:color="auto"/>
            <w:right w:val="none" w:sz="0" w:space="0" w:color="auto"/>
          </w:divBdr>
          <w:divsChild>
            <w:div w:id="427235677">
              <w:marLeft w:val="0"/>
              <w:marRight w:val="0"/>
              <w:marTop w:val="0"/>
              <w:marBottom w:val="0"/>
              <w:divBdr>
                <w:top w:val="none" w:sz="0" w:space="0" w:color="auto"/>
                <w:left w:val="none" w:sz="0" w:space="0" w:color="auto"/>
                <w:bottom w:val="none" w:sz="0" w:space="0" w:color="auto"/>
                <w:right w:val="none" w:sz="0" w:space="0" w:color="auto"/>
              </w:divBdr>
              <w:divsChild>
                <w:div w:id="1671063033">
                  <w:marLeft w:val="480"/>
                  <w:marRight w:val="0"/>
                  <w:marTop w:val="0"/>
                  <w:marBottom w:val="0"/>
                  <w:divBdr>
                    <w:top w:val="none" w:sz="0" w:space="0" w:color="auto"/>
                    <w:left w:val="none" w:sz="0" w:space="0" w:color="auto"/>
                    <w:bottom w:val="none" w:sz="0" w:space="0" w:color="auto"/>
                    <w:right w:val="none" w:sz="0" w:space="0" w:color="auto"/>
                  </w:divBdr>
                  <w:divsChild>
                    <w:div w:id="1966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1304">
      <w:bodyDiv w:val="1"/>
      <w:marLeft w:val="0"/>
      <w:marRight w:val="0"/>
      <w:marTop w:val="0"/>
      <w:marBottom w:val="0"/>
      <w:divBdr>
        <w:top w:val="none" w:sz="0" w:space="0" w:color="auto"/>
        <w:left w:val="none" w:sz="0" w:space="0" w:color="auto"/>
        <w:bottom w:val="none" w:sz="0" w:space="0" w:color="auto"/>
        <w:right w:val="none" w:sz="0" w:space="0" w:color="auto"/>
      </w:divBdr>
    </w:div>
    <w:div w:id="1268391040">
      <w:bodyDiv w:val="1"/>
      <w:marLeft w:val="0"/>
      <w:marRight w:val="0"/>
      <w:marTop w:val="0"/>
      <w:marBottom w:val="0"/>
      <w:divBdr>
        <w:top w:val="none" w:sz="0" w:space="0" w:color="auto"/>
        <w:left w:val="none" w:sz="0" w:space="0" w:color="auto"/>
        <w:bottom w:val="none" w:sz="0" w:space="0" w:color="auto"/>
        <w:right w:val="none" w:sz="0" w:space="0" w:color="auto"/>
      </w:divBdr>
      <w:divsChild>
        <w:div w:id="1974095649">
          <w:marLeft w:val="0"/>
          <w:marRight w:val="0"/>
          <w:marTop w:val="0"/>
          <w:marBottom w:val="0"/>
          <w:divBdr>
            <w:top w:val="none" w:sz="0" w:space="0" w:color="auto"/>
            <w:left w:val="none" w:sz="0" w:space="0" w:color="auto"/>
            <w:bottom w:val="none" w:sz="0" w:space="0" w:color="auto"/>
            <w:right w:val="none" w:sz="0" w:space="0" w:color="auto"/>
          </w:divBdr>
          <w:divsChild>
            <w:div w:id="742143676">
              <w:marLeft w:val="0"/>
              <w:marRight w:val="0"/>
              <w:marTop w:val="0"/>
              <w:marBottom w:val="0"/>
              <w:divBdr>
                <w:top w:val="none" w:sz="0" w:space="0" w:color="auto"/>
                <w:left w:val="none" w:sz="0" w:space="0" w:color="auto"/>
                <w:bottom w:val="none" w:sz="0" w:space="0" w:color="auto"/>
                <w:right w:val="none" w:sz="0" w:space="0" w:color="auto"/>
              </w:divBdr>
              <w:divsChild>
                <w:div w:id="1055740521">
                  <w:marLeft w:val="480"/>
                  <w:marRight w:val="0"/>
                  <w:marTop w:val="0"/>
                  <w:marBottom w:val="0"/>
                  <w:divBdr>
                    <w:top w:val="none" w:sz="0" w:space="0" w:color="auto"/>
                    <w:left w:val="none" w:sz="0" w:space="0" w:color="auto"/>
                    <w:bottom w:val="none" w:sz="0" w:space="0" w:color="auto"/>
                    <w:right w:val="none" w:sz="0" w:space="0" w:color="auto"/>
                  </w:divBdr>
                  <w:divsChild>
                    <w:div w:id="20337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2607">
      <w:bodyDiv w:val="1"/>
      <w:marLeft w:val="0"/>
      <w:marRight w:val="0"/>
      <w:marTop w:val="0"/>
      <w:marBottom w:val="0"/>
      <w:divBdr>
        <w:top w:val="none" w:sz="0" w:space="0" w:color="auto"/>
        <w:left w:val="none" w:sz="0" w:space="0" w:color="auto"/>
        <w:bottom w:val="none" w:sz="0" w:space="0" w:color="auto"/>
        <w:right w:val="none" w:sz="0" w:space="0" w:color="auto"/>
      </w:divBdr>
      <w:divsChild>
        <w:div w:id="794442762">
          <w:marLeft w:val="0"/>
          <w:marRight w:val="0"/>
          <w:marTop w:val="0"/>
          <w:marBottom w:val="0"/>
          <w:divBdr>
            <w:top w:val="none" w:sz="0" w:space="0" w:color="auto"/>
            <w:left w:val="none" w:sz="0" w:space="0" w:color="auto"/>
            <w:bottom w:val="none" w:sz="0" w:space="0" w:color="auto"/>
            <w:right w:val="none" w:sz="0" w:space="0" w:color="auto"/>
          </w:divBdr>
          <w:divsChild>
            <w:div w:id="581064961">
              <w:marLeft w:val="0"/>
              <w:marRight w:val="0"/>
              <w:marTop w:val="0"/>
              <w:marBottom w:val="0"/>
              <w:divBdr>
                <w:top w:val="none" w:sz="0" w:space="0" w:color="auto"/>
                <w:left w:val="none" w:sz="0" w:space="0" w:color="auto"/>
                <w:bottom w:val="none" w:sz="0" w:space="0" w:color="auto"/>
                <w:right w:val="none" w:sz="0" w:space="0" w:color="auto"/>
              </w:divBdr>
              <w:divsChild>
                <w:div w:id="1773160284">
                  <w:marLeft w:val="480"/>
                  <w:marRight w:val="0"/>
                  <w:marTop w:val="0"/>
                  <w:marBottom w:val="0"/>
                  <w:divBdr>
                    <w:top w:val="none" w:sz="0" w:space="0" w:color="auto"/>
                    <w:left w:val="none" w:sz="0" w:space="0" w:color="auto"/>
                    <w:bottom w:val="none" w:sz="0" w:space="0" w:color="auto"/>
                    <w:right w:val="none" w:sz="0" w:space="0" w:color="auto"/>
                  </w:divBdr>
                  <w:divsChild>
                    <w:div w:id="4197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08776">
      <w:bodyDiv w:val="1"/>
      <w:marLeft w:val="0"/>
      <w:marRight w:val="0"/>
      <w:marTop w:val="0"/>
      <w:marBottom w:val="0"/>
      <w:divBdr>
        <w:top w:val="none" w:sz="0" w:space="0" w:color="auto"/>
        <w:left w:val="none" w:sz="0" w:space="0" w:color="auto"/>
        <w:bottom w:val="none" w:sz="0" w:space="0" w:color="auto"/>
        <w:right w:val="none" w:sz="0" w:space="0" w:color="auto"/>
      </w:divBdr>
      <w:divsChild>
        <w:div w:id="889995938">
          <w:marLeft w:val="0"/>
          <w:marRight w:val="0"/>
          <w:marTop w:val="0"/>
          <w:marBottom w:val="0"/>
          <w:divBdr>
            <w:top w:val="none" w:sz="0" w:space="0" w:color="auto"/>
            <w:left w:val="none" w:sz="0" w:space="0" w:color="auto"/>
            <w:bottom w:val="none" w:sz="0" w:space="0" w:color="auto"/>
            <w:right w:val="none" w:sz="0" w:space="0" w:color="auto"/>
          </w:divBdr>
          <w:divsChild>
            <w:div w:id="790707342">
              <w:marLeft w:val="0"/>
              <w:marRight w:val="0"/>
              <w:marTop w:val="0"/>
              <w:marBottom w:val="0"/>
              <w:divBdr>
                <w:top w:val="none" w:sz="0" w:space="0" w:color="auto"/>
                <w:left w:val="none" w:sz="0" w:space="0" w:color="auto"/>
                <w:bottom w:val="none" w:sz="0" w:space="0" w:color="auto"/>
                <w:right w:val="none" w:sz="0" w:space="0" w:color="auto"/>
              </w:divBdr>
              <w:divsChild>
                <w:div w:id="2114208514">
                  <w:marLeft w:val="480"/>
                  <w:marRight w:val="0"/>
                  <w:marTop w:val="0"/>
                  <w:marBottom w:val="0"/>
                  <w:divBdr>
                    <w:top w:val="none" w:sz="0" w:space="0" w:color="auto"/>
                    <w:left w:val="none" w:sz="0" w:space="0" w:color="auto"/>
                    <w:bottom w:val="none" w:sz="0" w:space="0" w:color="auto"/>
                    <w:right w:val="none" w:sz="0" w:space="0" w:color="auto"/>
                  </w:divBdr>
                  <w:divsChild>
                    <w:div w:id="19284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56125">
      <w:bodyDiv w:val="1"/>
      <w:marLeft w:val="0"/>
      <w:marRight w:val="0"/>
      <w:marTop w:val="0"/>
      <w:marBottom w:val="0"/>
      <w:divBdr>
        <w:top w:val="none" w:sz="0" w:space="0" w:color="auto"/>
        <w:left w:val="none" w:sz="0" w:space="0" w:color="auto"/>
        <w:bottom w:val="none" w:sz="0" w:space="0" w:color="auto"/>
        <w:right w:val="none" w:sz="0" w:space="0" w:color="auto"/>
      </w:divBdr>
      <w:divsChild>
        <w:div w:id="52973636">
          <w:marLeft w:val="0"/>
          <w:marRight w:val="0"/>
          <w:marTop w:val="0"/>
          <w:marBottom w:val="0"/>
          <w:divBdr>
            <w:top w:val="none" w:sz="0" w:space="0" w:color="auto"/>
            <w:left w:val="none" w:sz="0" w:space="0" w:color="auto"/>
            <w:bottom w:val="none" w:sz="0" w:space="0" w:color="auto"/>
            <w:right w:val="none" w:sz="0" w:space="0" w:color="auto"/>
          </w:divBdr>
          <w:divsChild>
            <w:div w:id="1161241596">
              <w:marLeft w:val="0"/>
              <w:marRight w:val="0"/>
              <w:marTop w:val="0"/>
              <w:marBottom w:val="0"/>
              <w:divBdr>
                <w:top w:val="none" w:sz="0" w:space="0" w:color="auto"/>
                <w:left w:val="none" w:sz="0" w:space="0" w:color="auto"/>
                <w:bottom w:val="none" w:sz="0" w:space="0" w:color="auto"/>
                <w:right w:val="none" w:sz="0" w:space="0" w:color="auto"/>
              </w:divBdr>
              <w:divsChild>
                <w:div w:id="303699574">
                  <w:marLeft w:val="480"/>
                  <w:marRight w:val="0"/>
                  <w:marTop w:val="0"/>
                  <w:marBottom w:val="0"/>
                  <w:divBdr>
                    <w:top w:val="none" w:sz="0" w:space="0" w:color="auto"/>
                    <w:left w:val="none" w:sz="0" w:space="0" w:color="auto"/>
                    <w:bottom w:val="none" w:sz="0" w:space="0" w:color="auto"/>
                    <w:right w:val="none" w:sz="0" w:space="0" w:color="auto"/>
                  </w:divBdr>
                  <w:divsChild>
                    <w:div w:id="3384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86499">
      <w:bodyDiv w:val="1"/>
      <w:marLeft w:val="0"/>
      <w:marRight w:val="0"/>
      <w:marTop w:val="0"/>
      <w:marBottom w:val="0"/>
      <w:divBdr>
        <w:top w:val="none" w:sz="0" w:space="0" w:color="auto"/>
        <w:left w:val="none" w:sz="0" w:space="0" w:color="auto"/>
        <w:bottom w:val="none" w:sz="0" w:space="0" w:color="auto"/>
        <w:right w:val="none" w:sz="0" w:space="0" w:color="auto"/>
      </w:divBdr>
      <w:divsChild>
        <w:div w:id="1745033444">
          <w:marLeft w:val="0"/>
          <w:marRight w:val="0"/>
          <w:marTop w:val="0"/>
          <w:marBottom w:val="0"/>
          <w:divBdr>
            <w:top w:val="none" w:sz="0" w:space="0" w:color="auto"/>
            <w:left w:val="none" w:sz="0" w:space="0" w:color="auto"/>
            <w:bottom w:val="none" w:sz="0" w:space="0" w:color="auto"/>
            <w:right w:val="none" w:sz="0" w:space="0" w:color="auto"/>
          </w:divBdr>
          <w:divsChild>
            <w:div w:id="432828233">
              <w:marLeft w:val="0"/>
              <w:marRight w:val="0"/>
              <w:marTop w:val="0"/>
              <w:marBottom w:val="0"/>
              <w:divBdr>
                <w:top w:val="none" w:sz="0" w:space="0" w:color="auto"/>
                <w:left w:val="none" w:sz="0" w:space="0" w:color="auto"/>
                <w:bottom w:val="none" w:sz="0" w:space="0" w:color="auto"/>
                <w:right w:val="none" w:sz="0" w:space="0" w:color="auto"/>
              </w:divBdr>
              <w:divsChild>
                <w:div w:id="1044059188">
                  <w:marLeft w:val="480"/>
                  <w:marRight w:val="0"/>
                  <w:marTop w:val="0"/>
                  <w:marBottom w:val="0"/>
                  <w:divBdr>
                    <w:top w:val="none" w:sz="0" w:space="0" w:color="auto"/>
                    <w:left w:val="none" w:sz="0" w:space="0" w:color="auto"/>
                    <w:bottom w:val="none" w:sz="0" w:space="0" w:color="auto"/>
                    <w:right w:val="none" w:sz="0" w:space="0" w:color="auto"/>
                  </w:divBdr>
                  <w:divsChild>
                    <w:div w:id="12139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med.1002615" TargetMode="External"/><Relationship Id="rId13" Type="http://schemas.openxmlformats.org/officeDocument/2006/relationships/hyperlink" Target="https://doi.org/10.1002/aur.239" TargetMode="External"/><Relationship Id="rId18" Type="http://schemas.openxmlformats.org/officeDocument/2006/relationships/hyperlink" Target="https://doi.org/10.1007/s10803-020-04422-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07/s10803-016-2938-7" TargetMode="External"/><Relationship Id="rId7" Type="http://schemas.openxmlformats.org/officeDocument/2006/relationships/endnotes" Target="endnotes.xml"/><Relationship Id="rId12" Type="http://schemas.openxmlformats.org/officeDocument/2006/relationships/hyperlink" Target="http://www.training.cochrane.org/handbook" TargetMode="External"/><Relationship Id="rId17" Type="http://schemas.openxmlformats.org/officeDocument/2006/relationships/hyperlink" Target="https://www.nice.org.uk/guidance/ng11/resources/challenging-behaviour-and-learning-disabilities-prevention-and-interventions-for-people-with-learning-disabilities-whose-behaviour-challenges-18372663920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ncap.org.uk/learning-disability-explained/researchand-statistics/how-common-learning-disability%202019" TargetMode="External"/><Relationship Id="rId20" Type="http://schemas.openxmlformats.org/officeDocument/2006/relationships/hyperlink" Target="http://www.ourworldindata.org/neurodevelopmental-disorder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2051-5545.2009.tb00248.x" TargetMode="External"/><Relationship Id="rId24" Type="http://schemas.openxmlformats.org/officeDocument/2006/relationships/hyperlink" Target="https://doi.org/10.1007/s00415-013-705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9315860802611415" TargetMode="External"/><Relationship Id="rId23" Type="http://schemas.openxmlformats.org/officeDocument/2006/relationships/hyperlink" Target="https://doi.org/10.1177/1362361316665222" TargetMode="External"/><Relationship Id="rId28" Type="http://schemas.openxmlformats.org/officeDocument/2006/relationships/footer" Target="footer2.xml"/><Relationship Id="rId10" Type="http://schemas.openxmlformats.org/officeDocument/2006/relationships/hyperlink" Target="https://www.aihw.gov.au/reports/disability/autism-in-australia/contents/autism" TargetMode="External"/><Relationship Id="rId19" Type="http://schemas.openxmlformats.org/officeDocument/2006/relationships/hyperlink" Target="https://doi.org/10.1038/s41467-018-02973-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ihw.gov.au/reports/disability/autism-inaustralia/contents/autism" TargetMode="External"/><Relationship Id="rId14" Type="http://schemas.openxmlformats.org/officeDocument/2006/relationships/hyperlink" Target="https://doi.org/10.31887/DCNS.2008.10.1/hcrgrunze" TargetMode="External"/><Relationship Id="rId22" Type="http://schemas.openxmlformats.org/officeDocument/2006/relationships/hyperlink" Target="https://doi.org/10.1016/j.clineuro.2009.10.011"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E5CA-6D95-4692-8B0B-8A4CFB9A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19</Pages>
  <Words>4149</Words>
  <Characters>25486</Characters>
  <Application>Microsoft Office Word</Application>
  <DocSecurity>4</DocSecurity>
  <Lines>446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Jonathan</dc:creator>
  <cp:keywords>[SEC=OFFICIAL]</cp:keywords>
  <dc:description/>
  <cp:lastModifiedBy>MARTIN, Jessica</cp:lastModifiedBy>
  <cp:revision>2</cp:revision>
  <cp:lastPrinted>2022-03-17T02:55:00Z</cp:lastPrinted>
  <dcterms:created xsi:type="dcterms:W3CDTF">2022-07-26T05:39:00Z</dcterms:created>
  <dcterms:modified xsi:type="dcterms:W3CDTF">2022-07-26T05:39:00Z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89C270FFA9954DD4A90137FF8E15EB85</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2022-07-26T05:39:02Z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CB772F607341F499CDC1D7A0F72D16DF</vt:lpwstr>
  </property>
  <property fmtid="{D5CDD505-2E9C-101B-9397-08002B2CF9AE}" pid="21" name="PM_Hash_Salt">
    <vt:lpwstr>57846F937DDB9186C808A2929CC13B71</vt:lpwstr>
  </property>
  <property fmtid="{D5CDD505-2E9C-101B-9397-08002B2CF9AE}" pid="22" name="PM_Hash_SHA1">
    <vt:lpwstr>0B308A523F8009C6A4CAFC3ED7696841A9A7B01D</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