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A7" w:rsidRPr="006968AA" w:rsidRDefault="00FE57A7" w:rsidP="00FE57A7">
      <w:pPr>
        <w:pStyle w:val="4Titledescription"/>
        <w:rPr>
          <w:lang w:val="en-AU"/>
        </w:rPr>
      </w:pPr>
      <w:r w:rsidRPr="006968AA">
        <w:rPr>
          <w:noProof/>
          <w:lang w:val="en-AU" w:eastAsia="zh-CN" w:bidi="hi-IN"/>
        </w:rPr>
        <w:drawing>
          <wp:inline distT="0" distB="0" distL="0" distR="0" wp14:anchorId="4F8F63F5" wp14:editId="4AFA8778">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FE57A7" w:rsidRPr="006968AA" w:rsidRDefault="00FE57A7" w:rsidP="00FE57A7">
      <w:pPr>
        <w:pStyle w:val="1Documentnameh1"/>
      </w:pPr>
      <w:r w:rsidRPr="006968AA">
        <w:t>Practice Alert</w:t>
      </w:r>
    </w:p>
    <w:p w:rsidR="00FE57A7" w:rsidRPr="006968AA" w:rsidRDefault="00FE57A7" w:rsidP="00FE57A7">
      <w:pPr>
        <w:pStyle w:val="3Titleh3"/>
        <w:rPr>
          <w:lang w:val="en-AU"/>
        </w:rPr>
      </w:pPr>
      <w:r w:rsidRPr="006968AA">
        <w:rPr>
          <w:lang w:val="en-AU"/>
        </w:rPr>
        <w:t xml:space="preserve">Polypharmacy </w:t>
      </w:r>
    </w:p>
    <w:p w:rsidR="00FE57A7" w:rsidRPr="006968AA" w:rsidRDefault="00096EE8" w:rsidP="00FE57A7">
      <w:pPr>
        <w:pStyle w:val="4Titledescription"/>
        <w:rPr>
          <w:lang w:val="en-AU"/>
        </w:rPr>
      </w:pPr>
      <w:r>
        <w:rPr>
          <w:lang w:val="en-AU"/>
        </w:rPr>
        <w:t>November</w:t>
      </w:r>
      <w:r w:rsidR="00FE57A7" w:rsidRPr="006968AA">
        <w:rPr>
          <w:lang w:val="en-AU"/>
        </w:rPr>
        <w:t xml:space="preserve"> 2020</w:t>
      </w:r>
    </w:p>
    <w:p w:rsidR="00FE57A7" w:rsidRPr="006968AA" w:rsidRDefault="00FE57A7" w:rsidP="00FE57A7">
      <w:pPr>
        <w:pStyle w:val="5AboutHeadingh4"/>
        <w:spacing w:before="240" w:after="240"/>
        <w:ind w:right="-34"/>
        <w:rPr>
          <w:lang w:val="en-AU"/>
        </w:rPr>
      </w:pPr>
      <w:r w:rsidRPr="006968AA">
        <w:rPr>
          <w:lang w:val="en-AU"/>
        </w:rPr>
        <w:t>Key points</w:t>
      </w:r>
      <w:bookmarkStart w:id="0" w:name="_GoBack"/>
      <w:bookmarkEnd w:id="0"/>
    </w:p>
    <w:p w:rsidR="00FE57A7" w:rsidRPr="006968AA" w:rsidRDefault="00FE57A7" w:rsidP="00FE57A7">
      <w:pPr>
        <w:pStyle w:val="6Aboutbullet"/>
        <w:spacing w:before="240"/>
        <w:ind w:right="-34"/>
        <w:rPr>
          <w:lang w:val="en-AU"/>
        </w:rPr>
      </w:pPr>
      <w:r w:rsidRPr="006968AA">
        <w:rPr>
          <w:lang w:val="en-AU"/>
        </w:rPr>
        <w:t xml:space="preserve">Polypharmacy </w:t>
      </w:r>
      <w:proofErr w:type="gramStart"/>
      <w:r w:rsidRPr="006968AA">
        <w:rPr>
          <w:lang w:val="en-AU"/>
        </w:rPr>
        <w:t>is often defined</w:t>
      </w:r>
      <w:proofErr w:type="gramEnd"/>
      <w:r w:rsidRPr="006968AA">
        <w:rPr>
          <w:lang w:val="en-AU"/>
        </w:rPr>
        <w:t xml:space="preserve"> as the use of five or more medications, or two or more psychotropic medications, at the same time.</w:t>
      </w:r>
    </w:p>
    <w:p w:rsidR="00FE57A7" w:rsidRPr="006968AA" w:rsidRDefault="00FE57A7" w:rsidP="00FE57A7">
      <w:pPr>
        <w:pStyle w:val="6Aboutbullet"/>
        <w:spacing w:before="240"/>
        <w:ind w:right="-34"/>
        <w:rPr>
          <w:lang w:val="en-AU"/>
        </w:rPr>
      </w:pPr>
      <w:r w:rsidRPr="006968AA">
        <w:rPr>
          <w:lang w:val="en-AU"/>
        </w:rPr>
        <w:t xml:space="preserve">Polypharmacy increases the risk of medication-related adverse effects and poorer health </w:t>
      </w:r>
      <w:proofErr w:type="gramStart"/>
      <w:r w:rsidRPr="006968AA">
        <w:rPr>
          <w:lang w:val="en-AU"/>
        </w:rPr>
        <w:t>outcomes</w:t>
      </w:r>
      <w:proofErr w:type="gramEnd"/>
      <w:r w:rsidRPr="006968AA">
        <w:rPr>
          <w:lang w:val="en-AU"/>
        </w:rPr>
        <w:t>.</w:t>
      </w:r>
    </w:p>
    <w:p w:rsidR="00FE57A7" w:rsidRPr="006968AA" w:rsidRDefault="00FE57A7" w:rsidP="00FE57A7">
      <w:pPr>
        <w:pStyle w:val="6Aboutbullet"/>
        <w:spacing w:before="240"/>
        <w:ind w:right="-34"/>
        <w:rPr>
          <w:lang w:val="en-AU"/>
        </w:rPr>
      </w:pPr>
      <w:r w:rsidRPr="006968AA">
        <w:rPr>
          <w:lang w:val="en-AU"/>
        </w:rPr>
        <w:t>Participants taking multiple medications should have these reviewed every 3 to 6 months by a medical practitioner or pharmacist.</w:t>
      </w:r>
    </w:p>
    <w:p w:rsidR="00FE1A5E" w:rsidRPr="006968AA" w:rsidRDefault="00FE1A5E" w:rsidP="0067621B">
      <w:pPr>
        <w:pStyle w:val="Heading"/>
        <w:rPr>
          <w:lang w:val="en-AU"/>
        </w:rPr>
      </w:pPr>
      <w:r w:rsidRPr="006968AA">
        <w:rPr>
          <w:lang w:val="en-AU"/>
        </w:rPr>
        <w:t>What is polypharmacy?</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b/>
          <w:bCs/>
          <w:lang w:val="en-AU"/>
        </w:rPr>
        <w:t>Polypharmacy</w:t>
      </w:r>
      <w:r w:rsidRPr="006968AA">
        <w:rPr>
          <w:rFonts w:asciiTheme="minorHAnsi" w:hAnsiTheme="minorHAnsi" w:cstheme="minorHAnsi"/>
          <w:lang w:val="en-AU"/>
        </w:rPr>
        <w:t xml:space="preserve"> is the concurrent use of multiple medications (often defined as five or more medications) to treat one condition or multiple concurrent conditions. It includes the use of all prescription medicines, over-the-counter medicines, and complementary medicines. </w:t>
      </w:r>
    </w:p>
    <w:p w:rsidR="00FE1A5E" w:rsidRPr="006968AA" w:rsidRDefault="00B90A43"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P</w:t>
      </w:r>
      <w:r w:rsidR="00FE1A5E" w:rsidRPr="006968AA">
        <w:rPr>
          <w:rFonts w:asciiTheme="minorHAnsi" w:hAnsiTheme="minorHAnsi" w:cstheme="minorHAnsi"/>
          <w:lang w:val="en-AU"/>
        </w:rPr>
        <w:t xml:space="preserve">olypharmacy </w:t>
      </w:r>
      <w:r w:rsidRPr="006968AA">
        <w:rPr>
          <w:rFonts w:asciiTheme="minorHAnsi" w:hAnsiTheme="minorHAnsi" w:cstheme="minorHAnsi"/>
          <w:lang w:val="en-AU"/>
        </w:rPr>
        <w:t>use is</w:t>
      </w:r>
      <w:r w:rsidR="00FE1A5E" w:rsidRPr="006968AA">
        <w:rPr>
          <w:rFonts w:asciiTheme="minorHAnsi" w:hAnsiTheme="minorHAnsi" w:cstheme="minorHAnsi"/>
          <w:lang w:val="en-AU"/>
        </w:rPr>
        <w:t xml:space="preserve"> signifi</w:t>
      </w:r>
      <w:r w:rsidRPr="006968AA">
        <w:rPr>
          <w:rFonts w:asciiTheme="minorHAnsi" w:hAnsiTheme="minorHAnsi" w:cstheme="minorHAnsi"/>
          <w:lang w:val="en-AU"/>
        </w:rPr>
        <w:t xml:space="preserve">cantly higher in people with </w:t>
      </w:r>
      <w:r w:rsidR="00B0476B" w:rsidRPr="006968AA">
        <w:rPr>
          <w:rFonts w:asciiTheme="minorHAnsi" w:hAnsiTheme="minorHAnsi" w:cstheme="minorHAnsi"/>
          <w:lang w:val="en-AU"/>
        </w:rPr>
        <w:t>disability</w:t>
      </w:r>
      <w:r w:rsidR="00FE1A5E" w:rsidRPr="006968AA">
        <w:rPr>
          <w:rFonts w:asciiTheme="minorHAnsi" w:hAnsiTheme="minorHAnsi" w:cstheme="minorHAnsi"/>
          <w:lang w:val="en-AU"/>
        </w:rPr>
        <w:t xml:space="preserve">. This is partly because people with </w:t>
      </w:r>
      <w:r w:rsidR="00051DF7" w:rsidRPr="006968AA">
        <w:rPr>
          <w:rFonts w:asciiTheme="minorHAnsi" w:hAnsiTheme="minorHAnsi" w:cstheme="minorHAnsi"/>
          <w:lang w:val="en-AU"/>
        </w:rPr>
        <w:t>a disability</w:t>
      </w:r>
      <w:r w:rsidR="00FE1A5E" w:rsidRPr="006968AA">
        <w:rPr>
          <w:rFonts w:asciiTheme="minorHAnsi" w:hAnsiTheme="minorHAnsi" w:cstheme="minorHAnsi"/>
          <w:lang w:val="en-AU"/>
        </w:rPr>
        <w:t xml:space="preserve"> are more likely to have multiple health conditions</w:t>
      </w:r>
      <w:r w:rsidR="00FF634B" w:rsidRPr="006968AA">
        <w:rPr>
          <w:rFonts w:asciiTheme="minorHAnsi" w:hAnsiTheme="minorHAnsi" w:cstheme="minorHAnsi"/>
          <w:lang w:val="en-AU"/>
        </w:rPr>
        <w:t>,</w:t>
      </w:r>
      <w:r w:rsidR="00FE1A5E" w:rsidRPr="006968AA">
        <w:rPr>
          <w:rFonts w:asciiTheme="minorHAnsi" w:hAnsiTheme="minorHAnsi" w:cstheme="minorHAnsi"/>
          <w:lang w:val="en-AU"/>
        </w:rPr>
        <w:t xml:space="preserve"> such as epilepsy, diabetes, stroke, heart problems, high blood pressure, and arthritis compared to the general population.</w:t>
      </w:r>
    </w:p>
    <w:p w:rsidR="00FE1A5E" w:rsidRPr="006968AA" w:rsidRDefault="00FE1A5E" w:rsidP="00FF634B">
      <w:pPr>
        <w:pStyle w:val="BodyA"/>
        <w:suppressAutoHyphens w:val="0"/>
        <w:spacing w:before="120" w:after="120" w:line="276" w:lineRule="auto"/>
        <w:rPr>
          <w:rFonts w:asciiTheme="minorHAnsi" w:hAnsiTheme="minorHAnsi" w:cstheme="minorHAnsi"/>
          <w:lang w:val="en-AU"/>
        </w:rPr>
      </w:pPr>
      <w:r w:rsidRPr="006968AA">
        <w:rPr>
          <w:rFonts w:asciiTheme="minorHAnsi" w:hAnsiTheme="minorHAnsi" w:cstheme="minorHAnsi"/>
          <w:b/>
          <w:bCs/>
          <w:lang w:val="en-AU"/>
        </w:rPr>
        <w:t>Psychotropic polypharmacy</w:t>
      </w:r>
      <w:r w:rsidRPr="006968AA">
        <w:rPr>
          <w:rFonts w:asciiTheme="minorHAnsi" w:hAnsiTheme="minorHAnsi" w:cstheme="minorHAnsi"/>
          <w:lang w:val="en-AU"/>
        </w:rPr>
        <w:t xml:space="preserve"> refers to concurrent use of two or more medications that can affect the brain’s function. Psychotropic medications are ‘any drug capable of affecting the mind, emotions, and behaviour.’ The three main classes of psychotropic medicines are antidepressants, anti-anxiety agents (mostly benzodiazepines to manage anxiety and insomnia) and antipsychotics. Psychotropic polypharmacy is common in people with autism or an intellectual or developmental disability. Although people with these disabilities are more likely to receive medications because of co-exis</w:t>
      </w:r>
      <w:r w:rsidR="00FF634B" w:rsidRPr="006968AA">
        <w:rPr>
          <w:rFonts w:asciiTheme="minorHAnsi" w:hAnsiTheme="minorHAnsi" w:cstheme="minorHAnsi"/>
          <w:lang w:val="en-AU"/>
        </w:rPr>
        <w:t>ting mental health problems, medications</w:t>
      </w:r>
      <w:r w:rsidRPr="006968AA">
        <w:rPr>
          <w:rFonts w:asciiTheme="minorHAnsi" w:hAnsiTheme="minorHAnsi" w:cstheme="minorHAnsi"/>
          <w:lang w:val="en-AU"/>
        </w:rPr>
        <w:t xml:space="preserve"> </w:t>
      </w:r>
      <w:proofErr w:type="gramStart"/>
      <w:r w:rsidRPr="006968AA">
        <w:rPr>
          <w:rFonts w:asciiTheme="minorHAnsi" w:hAnsiTheme="minorHAnsi" w:cstheme="minorHAnsi"/>
          <w:lang w:val="en-AU"/>
        </w:rPr>
        <w:t>are often prescribed</w:t>
      </w:r>
      <w:proofErr w:type="gramEnd"/>
      <w:r w:rsidRPr="006968AA">
        <w:rPr>
          <w:rFonts w:asciiTheme="minorHAnsi" w:hAnsiTheme="minorHAnsi" w:cstheme="minorHAnsi"/>
          <w:lang w:val="en-AU"/>
        </w:rPr>
        <w:t xml:space="preserve"> without a diagnosis of a psychiatric disorder. Antipsychotics </w:t>
      </w:r>
      <w:proofErr w:type="gramStart"/>
      <w:r w:rsidRPr="006968AA">
        <w:rPr>
          <w:rFonts w:asciiTheme="minorHAnsi" w:hAnsiTheme="minorHAnsi" w:cstheme="minorHAnsi"/>
          <w:lang w:val="en-AU"/>
        </w:rPr>
        <w:t>are also frequently prescribed</w:t>
      </w:r>
      <w:proofErr w:type="gramEnd"/>
      <w:r w:rsidRPr="006968AA">
        <w:rPr>
          <w:rFonts w:asciiTheme="minorHAnsi" w:hAnsiTheme="minorHAnsi" w:cstheme="minorHAnsi"/>
          <w:lang w:val="en-AU"/>
        </w:rPr>
        <w:t xml:space="preserve"> to manage behaviours of concern, such as self-injury or aggression.</w:t>
      </w:r>
    </w:p>
    <w:p w:rsidR="00FE1A5E" w:rsidRPr="006968AA" w:rsidRDefault="00FE1A5E" w:rsidP="0067621B">
      <w:pPr>
        <w:pStyle w:val="Heading2"/>
      </w:pPr>
      <w:r w:rsidRPr="006968AA">
        <w:lastRenderedPageBreak/>
        <w:t>When is polypharmacy more likely?</w:t>
      </w:r>
    </w:p>
    <w:p w:rsidR="00FE1A5E" w:rsidRPr="006968AA" w:rsidRDefault="00FE1A5E" w:rsidP="00FF634B">
      <w:pPr>
        <w:pStyle w:val="BodyA"/>
        <w:spacing w:before="120" w:after="120" w:line="276" w:lineRule="auto"/>
        <w:contextualSpacing/>
        <w:rPr>
          <w:rFonts w:asciiTheme="minorHAnsi" w:hAnsiTheme="minorHAnsi" w:cstheme="minorHAnsi"/>
          <w:lang w:val="en-AU"/>
        </w:rPr>
      </w:pPr>
      <w:r w:rsidRPr="006968AA">
        <w:rPr>
          <w:rFonts w:asciiTheme="minorHAnsi" w:hAnsiTheme="minorHAnsi" w:cstheme="minorHAnsi"/>
          <w:lang w:val="en-AU"/>
        </w:rPr>
        <w:t>High rates of polypharmacy are associated with participants who:</w:t>
      </w:r>
    </w:p>
    <w:p w:rsidR="00FE1A5E" w:rsidRPr="006968AA" w:rsidRDefault="00FE1A5E" w:rsidP="00FF634B">
      <w:pPr>
        <w:pStyle w:val="Bullet2"/>
        <w:numPr>
          <w:ilvl w:val="0"/>
          <w:numId w:val="29"/>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 xml:space="preserve">live in a residential setting </w:t>
      </w:r>
    </w:p>
    <w:p w:rsidR="00FE1A5E" w:rsidRPr="006968AA" w:rsidRDefault="00FE1A5E" w:rsidP="00FF634B">
      <w:pPr>
        <w:pStyle w:val="Bullet2"/>
        <w:numPr>
          <w:ilvl w:val="0"/>
          <w:numId w:val="29"/>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receive prescriptions from multiple prescribers</w:t>
      </w:r>
    </w:p>
    <w:p w:rsidR="00FE1A5E" w:rsidRPr="006968AA" w:rsidRDefault="00FE1A5E" w:rsidP="00FF634B">
      <w:pPr>
        <w:pStyle w:val="Bullet2"/>
        <w:numPr>
          <w:ilvl w:val="0"/>
          <w:numId w:val="29"/>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 xml:space="preserve">have moderate to severe </w:t>
      </w:r>
      <w:r w:rsidR="00B0476B" w:rsidRPr="006968AA">
        <w:rPr>
          <w:rFonts w:asciiTheme="minorHAnsi" w:hAnsiTheme="minorHAnsi" w:cstheme="minorHAnsi"/>
        </w:rPr>
        <w:t xml:space="preserve">intellectual or developmental </w:t>
      </w:r>
      <w:r w:rsidRPr="006968AA">
        <w:rPr>
          <w:rFonts w:asciiTheme="minorHAnsi" w:hAnsiTheme="minorHAnsi" w:cstheme="minorHAnsi"/>
        </w:rPr>
        <w:t>disability</w:t>
      </w:r>
    </w:p>
    <w:p w:rsidR="00FE1A5E" w:rsidRPr="006968AA" w:rsidRDefault="00FE1A5E" w:rsidP="00FF634B">
      <w:pPr>
        <w:pStyle w:val="Bullet2"/>
        <w:numPr>
          <w:ilvl w:val="0"/>
          <w:numId w:val="29"/>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 xml:space="preserve">have a poorer overall health status </w:t>
      </w:r>
    </w:p>
    <w:p w:rsidR="00FE1A5E" w:rsidRPr="006968AA" w:rsidRDefault="00FE1A5E" w:rsidP="00FF634B">
      <w:pPr>
        <w:pStyle w:val="Bullet2"/>
        <w:numPr>
          <w:ilvl w:val="0"/>
          <w:numId w:val="29"/>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have co-occurring psychiatric, neurological or developmental disorders</w:t>
      </w:r>
    </w:p>
    <w:p w:rsidR="00FE1A5E" w:rsidRPr="006968AA" w:rsidRDefault="00FE1A5E" w:rsidP="00FF634B">
      <w:pPr>
        <w:pStyle w:val="Bullet2"/>
        <w:numPr>
          <w:ilvl w:val="0"/>
          <w:numId w:val="29"/>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have multiple neurological or psychiatric diagnoses</w:t>
      </w:r>
    </w:p>
    <w:p w:rsidR="00FE1A5E" w:rsidRPr="006968AA" w:rsidRDefault="00FE1A5E" w:rsidP="0067621B">
      <w:pPr>
        <w:pStyle w:val="Heading2"/>
      </w:pPr>
      <w:r w:rsidRPr="006968AA">
        <w:t>What are the risks associated with polypharmacy?</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Large-scale studies have shown that polypharmacy increases the risk of drug-related adverse effects. It is a leading reason for medication-related hospitalisations, can decrease the benefit of individual medications, and is associated with poor health outcomes. </w:t>
      </w:r>
    </w:p>
    <w:p w:rsidR="00FE1A5E" w:rsidRPr="006968AA" w:rsidRDefault="00FE1A5E" w:rsidP="00FF634B">
      <w:pPr>
        <w:pStyle w:val="BodyA"/>
        <w:spacing w:before="120" w:after="120" w:line="276" w:lineRule="auto"/>
        <w:contextualSpacing/>
        <w:rPr>
          <w:rFonts w:asciiTheme="minorHAnsi" w:hAnsiTheme="minorHAnsi" w:cstheme="minorHAnsi"/>
          <w:lang w:val="en-AU"/>
        </w:rPr>
      </w:pPr>
      <w:r w:rsidRPr="006968AA">
        <w:rPr>
          <w:rFonts w:asciiTheme="minorHAnsi" w:hAnsiTheme="minorHAnsi" w:cstheme="minorHAnsi"/>
          <w:lang w:val="en-AU"/>
        </w:rPr>
        <w:t xml:space="preserve">The use of multiple antipsychotics can increase the risk </w:t>
      </w:r>
      <w:proofErr w:type="gramStart"/>
      <w:r w:rsidRPr="006968AA">
        <w:rPr>
          <w:rFonts w:asciiTheme="minorHAnsi" w:hAnsiTheme="minorHAnsi" w:cstheme="minorHAnsi"/>
          <w:lang w:val="en-AU"/>
        </w:rPr>
        <w:t>of</w:t>
      </w:r>
      <w:proofErr w:type="gramEnd"/>
      <w:r w:rsidRPr="006968AA">
        <w:rPr>
          <w:rFonts w:asciiTheme="minorHAnsi" w:hAnsiTheme="minorHAnsi" w:cstheme="minorHAnsi"/>
          <w:lang w:val="en-AU"/>
        </w:rPr>
        <w:t>:</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movement disorders</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hormone disorders</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sexual dysfunction</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obesity</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diabetes</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stroke and heart attack</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memory issues</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falls</w:t>
      </w:r>
    </w:p>
    <w:p w:rsidR="00FE1A5E" w:rsidRPr="006968AA" w:rsidRDefault="00FE1A5E" w:rsidP="00FF634B">
      <w:pPr>
        <w:pStyle w:val="Bullet2"/>
        <w:numPr>
          <w:ilvl w:val="0"/>
          <w:numId w:val="30"/>
        </w:numPr>
        <w:pBdr>
          <w:top w:val="nil"/>
          <w:left w:val="nil"/>
          <w:bottom w:val="nil"/>
          <w:right w:val="nil"/>
          <w:between w:val="nil"/>
          <w:bar w:val="nil"/>
        </w:pBdr>
        <w:suppressAutoHyphens/>
        <w:spacing w:before="120" w:after="120"/>
        <w:rPr>
          <w:rFonts w:asciiTheme="minorHAnsi" w:hAnsiTheme="minorHAnsi" w:cstheme="minorHAnsi"/>
        </w:rPr>
      </w:pPr>
      <w:proofErr w:type="gramStart"/>
      <w:r w:rsidRPr="006968AA">
        <w:rPr>
          <w:rFonts w:asciiTheme="minorHAnsi" w:hAnsiTheme="minorHAnsi" w:cstheme="minorHAnsi"/>
        </w:rPr>
        <w:t>sedation</w:t>
      </w:r>
      <w:proofErr w:type="gramEnd"/>
      <w:r w:rsidRPr="006968AA">
        <w:rPr>
          <w:rFonts w:asciiTheme="minorHAnsi" w:hAnsiTheme="minorHAnsi" w:cstheme="minorHAnsi"/>
        </w:rPr>
        <w:t>.</w:t>
      </w:r>
    </w:p>
    <w:p w:rsidR="00FE1A5E" w:rsidRPr="006968AA" w:rsidRDefault="00FE1A5E" w:rsidP="00FF634B">
      <w:pPr>
        <w:pStyle w:val="BodyA"/>
        <w:spacing w:before="120" w:after="120" w:line="276" w:lineRule="auto"/>
        <w:rPr>
          <w:rFonts w:asciiTheme="minorHAnsi" w:hAnsiTheme="minorHAnsi" w:cstheme="minorHAnsi"/>
          <w:shd w:val="clear" w:color="auto" w:fill="FFFF00"/>
          <w:lang w:val="en-AU"/>
        </w:rPr>
      </w:pPr>
      <w:r w:rsidRPr="006968AA">
        <w:rPr>
          <w:rFonts w:asciiTheme="minorHAnsi" w:hAnsiTheme="minorHAnsi" w:cstheme="minorHAnsi"/>
          <w:lang w:val="en-AU"/>
        </w:rPr>
        <w:t>The World Health Organisation and Australian Commission on Safety and Quality in Health Care have identified reducing the risks associated with polypharmacy as a major priority.</w:t>
      </w:r>
    </w:p>
    <w:p w:rsidR="00FE1A5E" w:rsidRPr="006968AA" w:rsidRDefault="00FE1A5E" w:rsidP="0067621B">
      <w:pPr>
        <w:pStyle w:val="Heading2"/>
      </w:pPr>
      <w:r w:rsidRPr="006968AA">
        <w:t>Importance of polypharmacy review</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Despite the risks associated with polypharmacy, it may be the most appropriate treatment, particularly for people with multiple conditions. </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To ensure participants are receiving the correct medications, a review of all medications by a medical practitioner and pharmacist allows each drug to </w:t>
      </w:r>
      <w:proofErr w:type="gramStart"/>
      <w:r w:rsidRPr="006968AA">
        <w:rPr>
          <w:rFonts w:asciiTheme="minorHAnsi" w:hAnsiTheme="minorHAnsi" w:cstheme="minorHAnsi"/>
          <w:lang w:val="en-AU"/>
        </w:rPr>
        <w:t>be assessed</w:t>
      </w:r>
      <w:proofErr w:type="gramEnd"/>
      <w:r w:rsidRPr="006968AA">
        <w:rPr>
          <w:rFonts w:asciiTheme="minorHAnsi" w:hAnsiTheme="minorHAnsi" w:cstheme="minorHAnsi"/>
          <w:lang w:val="en-AU"/>
        </w:rPr>
        <w:t xml:space="preserve"> in terms of need, current and recommended dosages, benefit versus risk of potential adverse effects or other side effects, and possible interactions between medications. </w:t>
      </w:r>
    </w:p>
    <w:p w:rsidR="00FE1A5E" w:rsidRPr="006968AA" w:rsidRDefault="00FE1A5E" w:rsidP="00FF634B">
      <w:pPr>
        <w:pStyle w:val="BodyA"/>
        <w:suppressAutoHyphens w:val="0"/>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Regular medication reviews can prevent or minimise polypharmacy-related adverse effects and related hospitalisations, by helping participants, support workers, carers and caregivers </w:t>
      </w:r>
      <w:proofErr w:type="gramStart"/>
      <w:r w:rsidRPr="006968AA">
        <w:rPr>
          <w:rFonts w:asciiTheme="minorHAnsi" w:hAnsiTheme="minorHAnsi" w:cstheme="minorHAnsi"/>
          <w:lang w:val="en-AU"/>
        </w:rPr>
        <w:t>to better understand</w:t>
      </w:r>
      <w:proofErr w:type="gramEnd"/>
      <w:r w:rsidRPr="006968AA">
        <w:rPr>
          <w:rFonts w:asciiTheme="minorHAnsi" w:hAnsiTheme="minorHAnsi" w:cstheme="minorHAnsi"/>
          <w:lang w:val="en-AU"/>
        </w:rPr>
        <w:t xml:space="preserve"> how to use the medications correctly, and how to manage potential adverse effects. </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People with disability are among those most at risk of polypharmacy due to comorbid health conditions and the common use of several medicines of the same class (e.g. antipsychotics). A </w:t>
      </w:r>
      <w:r w:rsidRPr="006968AA">
        <w:rPr>
          <w:rFonts w:asciiTheme="minorHAnsi" w:hAnsiTheme="minorHAnsi" w:cstheme="minorHAnsi"/>
          <w:lang w:val="en-AU"/>
        </w:rPr>
        <w:lastRenderedPageBreak/>
        <w:t xml:space="preserve">medical practitioner should conduct a medication review every 3–6 </w:t>
      </w:r>
      <w:proofErr w:type="gramStart"/>
      <w:r w:rsidRPr="006968AA">
        <w:rPr>
          <w:rFonts w:asciiTheme="minorHAnsi" w:hAnsiTheme="minorHAnsi" w:cstheme="minorHAnsi"/>
          <w:lang w:val="en-AU"/>
        </w:rPr>
        <w:t>months,</w:t>
      </w:r>
      <w:proofErr w:type="gramEnd"/>
      <w:r w:rsidRPr="006968AA">
        <w:rPr>
          <w:rFonts w:asciiTheme="minorHAnsi" w:hAnsiTheme="minorHAnsi" w:cstheme="minorHAnsi"/>
          <w:lang w:val="en-AU"/>
        </w:rPr>
        <w:t xml:space="preserve"> or when requested by the participant, their carer or other health or disability professionals. </w:t>
      </w:r>
    </w:p>
    <w:p w:rsidR="00FE1A5E" w:rsidRPr="006968AA" w:rsidRDefault="00FE1A5E" w:rsidP="0067621B">
      <w:pPr>
        <w:pStyle w:val="Heading3"/>
      </w:pPr>
      <w:r w:rsidRPr="006968AA">
        <w:t>Home Medicines Reviews</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A Home Medicines Review </w:t>
      </w:r>
      <w:r w:rsidR="00FF634B" w:rsidRPr="006968AA">
        <w:rPr>
          <w:rFonts w:asciiTheme="minorHAnsi" w:hAnsiTheme="minorHAnsi" w:cstheme="minorHAnsi"/>
          <w:lang w:val="en-AU"/>
        </w:rPr>
        <w:t xml:space="preserve">(HMR) </w:t>
      </w:r>
      <w:r w:rsidRPr="006968AA">
        <w:rPr>
          <w:rFonts w:asciiTheme="minorHAnsi" w:hAnsiTheme="minorHAnsi" w:cstheme="minorHAnsi"/>
          <w:lang w:val="en-AU"/>
        </w:rPr>
        <w:t>is a collaborative medication review for people in the community. A</w:t>
      </w:r>
      <w:r w:rsidR="00FF634B" w:rsidRPr="006968AA">
        <w:rPr>
          <w:rFonts w:asciiTheme="minorHAnsi" w:hAnsiTheme="minorHAnsi" w:cstheme="minorHAnsi"/>
          <w:lang w:val="en-AU"/>
        </w:rPr>
        <w:t xml:space="preserve"> referral from a</w:t>
      </w:r>
      <w:r w:rsidRPr="006968AA">
        <w:rPr>
          <w:rFonts w:asciiTheme="minorHAnsi" w:hAnsiTheme="minorHAnsi" w:cstheme="minorHAnsi"/>
          <w:lang w:val="en-AU"/>
        </w:rPr>
        <w:t xml:space="preserve"> GP or medical specialist</w:t>
      </w:r>
      <w:r w:rsidR="00FF634B" w:rsidRPr="006968AA">
        <w:rPr>
          <w:rFonts w:asciiTheme="minorHAnsi" w:hAnsiTheme="minorHAnsi" w:cstheme="minorHAnsi"/>
          <w:lang w:val="en-AU"/>
        </w:rPr>
        <w:t xml:space="preserve"> is required</w:t>
      </w:r>
      <w:r w:rsidRPr="006968AA">
        <w:rPr>
          <w:rFonts w:asciiTheme="minorHAnsi" w:hAnsiTheme="minorHAnsi" w:cstheme="minorHAnsi"/>
          <w:lang w:val="en-AU"/>
        </w:rPr>
        <w:t xml:space="preserve">. An accredited pharmacist interviews the patient and reviews their medications, then provides a report to the participant’s doctor. It aims to maximise the patient's benefit from their medication regimen, and prevent medication-related problems. It is fully subsidised by Medicare for eligible patients and is available every 24 months to any person at risk </w:t>
      </w:r>
      <w:r w:rsidRPr="006968AA">
        <w:rPr>
          <w:lang w:val="en-AU"/>
        </w:rPr>
        <w:t>of, or experiencing medication related adverse effects</w:t>
      </w:r>
      <w:r w:rsidRPr="006968AA">
        <w:rPr>
          <w:rFonts w:asciiTheme="minorHAnsi" w:hAnsiTheme="minorHAnsi" w:cstheme="minorHAnsi"/>
          <w:lang w:val="en-AU"/>
        </w:rPr>
        <w:t xml:space="preserve">. </w:t>
      </w:r>
    </w:p>
    <w:p w:rsidR="00FE1A5E" w:rsidRPr="006968AA" w:rsidRDefault="00FE1A5E" w:rsidP="00FF634B">
      <w:pPr>
        <w:pBdr>
          <w:top w:val="nil"/>
          <w:left w:val="nil"/>
          <w:bottom w:val="nil"/>
          <w:right w:val="nil"/>
          <w:between w:val="nil"/>
          <w:bar w:val="nil"/>
        </w:pBdr>
        <w:suppressAutoHyphens/>
        <w:spacing w:before="120" w:after="120"/>
        <w:contextualSpacing/>
        <w:rPr>
          <w:rFonts w:asciiTheme="minorHAnsi" w:hAnsiTheme="minorHAnsi" w:cstheme="minorHAnsi"/>
        </w:rPr>
      </w:pPr>
      <w:r w:rsidRPr="006968AA">
        <w:rPr>
          <w:rFonts w:asciiTheme="minorHAnsi" w:hAnsiTheme="minorHAnsi" w:cstheme="minorHAnsi"/>
        </w:rPr>
        <w:t xml:space="preserve">If clinically necessary, a HMR can occur more frequently than 24 months in the following scenarios: </w:t>
      </w:r>
    </w:p>
    <w:p w:rsidR="00FE1A5E" w:rsidRPr="006968AA" w:rsidRDefault="00FF634B" w:rsidP="00FF634B">
      <w:pPr>
        <w:pStyle w:val="ListParagraph"/>
        <w:numPr>
          <w:ilvl w:val="0"/>
          <w:numId w:val="31"/>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s</w:t>
      </w:r>
      <w:r w:rsidR="00FE1A5E" w:rsidRPr="006968AA">
        <w:rPr>
          <w:rFonts w:asciiTheme="minorHAnsi" w:hAnsiTheme="minorHAnsi" w:cstheme="minorHAnsi"/>
        </w:rPr>
        <w:t xml:space="preserve">ignificant change to a patient’s medication regimen in the past three months </w:t>
      </w:r>
    </w:p>
    <w:p w:rsidR="00FE1A5E" w:rsidRPr="006968AA" w:rsidRDefault="00FF634B" w:rsidP="00FF634B">
      <w:pPr>
        <w:pStyle w:val="ListParagraph"/>
        <w:numPr>
          <w:ilvl w:val="0"/>
          <w:numId w:val="31"/>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c</w:t>
      </w:r>
      <w:r w:rsidR="00FE1A5E" w:rsidRPr="006968AA">
        <w:rPr>
          <w:rFonts w:asciiTheme="minorHAnsi" w:hAnsiTheme="minorHAnsi" w:cstheme="minorHAnsi"/>
        </w:rPr>
        <w:t xml:space="preserve">hange in medical condition or abilities (including falls, cognition, physical function) </w:t>
      </w:r>
    </w:p>
    <w:p w:rsidR="00FE1A5E" w:rsidRPr="006968AA" w:rsidRDefault="00FF634B" w:rsidP="00FF634B">
      <w:pPr>
        <w:pStyle w:val="ListParagraph"/>
        <w:numPr>
          <w:ilvl w:val="0"/>
          <w:numId w:val="31"/>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p</w:t>
      </w:r>
      <w:r w:rsidR="00FE1A5E" w:rsidRPr="006968AA">
        <w:rPr>
          <w:rFonts w:asciiTheme="minorHAnsi" w:hAnsiTheme="minorHAnsi" w:cstheme="minorHAnsi"/>
        </w:rPr>
        <w:t>rescription of a medicine that may be more likely to cause harms</w:t>
      </w:r>
    </w:p>
    <w:p w:rsidR="00FE1A5E" w:rsidRPr="006968AA" w:rsidRDefault="00FF634B" w:rsidP="00FF634B">
      <w:pPr>
        <w:pStyle w:val="ListParagraph"/>
        <w:numPr>
          <w:ilvl w:val="0"/>
          <w:numId w:val="31"/>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s</w:t>
      </w:r>
      <w:r w:rsidR="00FE1A5E" w:rsidRPr="006968AA">
        <w:rPr>
          <w:rFonts w:asciiTheme="minorHAnsi" w:hAnsiTheme="minorHAnsi" w:cstheme="minorHAnsi"/>
        </w:rPr>
        <w:t>ymptoms</w:t>
      </w:r>
      <w:r w:rsidRPr="006968AA">
        <w:rPr>
          <w:rFonts w:asciiTheme="minorHAnsi" w:hAnsiTheme="minorHAnsi" w:cstheme="minorHAnsi"/>
        </w:rPr>
        <w:t xml:space="preserve"> that suggest</w:t>
      </w:r>
      <w:r w:rsidR="00FE1A5E" w:rsidRPr="006968AA">
        <w:rPr>
          <w:rFonts w:asciiTheme="minorHAnsi" w:hAnsiTheme="minorHAnsi" w:cstheme="minorHAnsi"/>
        </w:rPr>
        <w:t xml:space="preserve"> an adverse drug reaction</w:t>
      </w:r>
    </w:p>
    <w:p w:rsidR="00FE1A5E" w:rsidRPr="006968AA" w:rsidRDefault="00FE1A5E" w:rsidP="00FF634B">
      <w:pPr>
        <w:pStyle w:val="ListParagraph"/>
        <w:numPr>
          <w:ilvl w:val="0"/>
          <w:numId w:val="31"/>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inadequate response to medications </w:t>
      </w:r>
    </w:p>
    <w:p w:rsidR="00FE1A5E" w:rsidRPr="006968AA" w:rsidRDefault="00FF634B" w:rsidP="00FF634B">
      <w:pPr>
        <w:pStyle w:val="ListParagraph"/>
        <w:numPr>
          <w:ilvl w:val="0"/>
          <w:numId w:val="31"/>
        </w:numPr>
        <w:pBdr>
          <w:top w:val="nil"/>
          <w:left w:val="nil"/>
          <w:bottom w:val="nil"/>
          <w:right w:val="nil"/>
          <w:between w:val="nil"/>
          <w:bar w:val="nil"/>
        </w:pBdr>
        <w:suppressAutoHyphens/>
        <w:spacing w:before="120" w:after="120"/>
        <w:contextualSpacing w:val="0"/>
        <w:rPr>
          <w:rFonts w:asciiTheme="minorHAnsi" w:hAnsiTheme="minorHAnsi" w:cstheme="minorHAnsi"/>
        </w:rPr>
      </w:pPr>
      <w:proofErr w:type="gramStart"/>
      <w:r w:rsidRPr="006968AA">
        <w:rPr>
          <w:rFonts w:asciiTheme="minorHAnsi" w:hAnsiTheme="minorHAnsi" w:cstheme="minorHAnsi"/>
        </w:rPr>
        <w:t>s</w:t>
      </w:r>
      <w:r w:rsidR="00FE1A5E" w:rsidRPr="006968AA">
        <w:rPr>
          <w:rFonts w:asciiTheme="minorHAnsi" w:hAnsiTheme="minorHAnsi" w:cstheme="minorHAnsi"/>
        </w:rPr>
        <w:t>uspected</w:t>
      </w:r>
      <w:proofErr w:type="gramEnd"/>
      <w:r w:rsidR="00FE1A5E" w:rsidRPr="006968AA">
        <w:rPr>
          <w:rFonts w:asciiTheme="minorHAnsi" w:hAnsiTheme="minorHAnsi" w:cstheme="minorHAnsi"/>
        </w:rPr>
        <w:t xml:space="preserve"> non-compliance or pro</w:t>
      </w:r>
      <w:r w:rsidRPr="006968AA">
        <w:rPr>
          <w:rFonts w:asciiTheme="minorHAnsi" w:hAnsiTheme="minorHAnsi" w:cstheme="minorHAnsi"/>
        </w:rPr>
        <w:t>blems with managing medications.</w:t>
      </w:r>
    </w:p>
    <w:p w:rsidR="00FE1A5E" w:rsidRPr="006968AA" w:rsidRDefault="00FE1A5E" w:rsidP="0067621B">
      <w:pPr>
        <w:pStyle w:val="Heading"/>
        <w:rPr>
          <w:lang w:val="en-AU"/>
        </w:rPr>
      </w:pPr>
      <w:r w:rsidRPr="006968AA">
        <w:rPr>
          <w:lang w:val="en-AU"/>
        </w:rPr>
        <w:t xml:space="preserve">Recommended ways to support NDIS participants receiving polypharmacy </w:t>
      </w:r>
    </w:p>
    <w:p w:rsidR="00FF634B" w:rsidRPr="006968AA" w:rsidRDefault="00FE1A5E" w:rsidP="00FF634B">
      <w:pPr>
        <w:pStyle w:val="Bullet2"/>
        <w:numPr>
          <w:ilvl w:val="0"/>
          <w:numId w:val="32"/>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If participants are receiving multiple medications, arrange for a medical practitioner or pharmacist to review these every 3 to 6 months. </w:t>
      </w:r>
      <w:r w:rsidR="00FF634B" w:rsidRPr="006968AA">
        <w:rPr>
          <w:rFonts w:asciiTheme="minorHAnsi" w:hAnsiTheme="minorHAnsi" w:cstheme="minorHAnsi"/>
        </w:rPr>
        <w:t>This is because a participant may experience adverse effects when they take multiple medications.</w:t>
      </w:r>
    </w:p>
    <w:p w:rsidR="00FE1A5E" w:rsidRPr="006968AA" w:rsidRDefault="00FE1A5E" w:rsidP="00FF634B">
      <w:pPr>
        <w:pStyle w:val="Bullet2"/>
        <w:numPr>
          <w:ilvl w:val="0"/>
          <w:numId w:val="32"/>
        </w:num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In addition, if participants take five or more medications </w:t>
      </w:r>
      <w:r w:rsidR="00FF634B" w:rsidRPr="006968AA">
        <w:rPr>
          <w:rFonts w:asciiTheme="minorHAnsi" w:hAnsiTheme="minorHAnsi" w:cstheme="minorHAnsi"/>
        </w:rPr>
        <w:t>(</w:t>
      </w:r>
      <w:r w:rsidRPr="006968AA">
        <w:rPr>
          <w:rFonts w:asciiTheme="minorHAnsi" w:hAnsiTheme="minorHAnsi" w:cstheme="minorHAnsi"/>
        </w:rPr>
        <w:t>or two or more antipsychotics</w:t>
      </w:r>
      <w:r w:rsidR="00FF634B" w:rsidRPr="006968AA">
        <w:rPr>
          <w:rFonts w:asciiTheme="minorHAnsi" w:hAnsiTheme="minorHAnsi" w:cstheme="minorHAnsi"/>
        </w:rPr>
        <w:t>)</w:t>
      </w:r>
      <w:r w:rsidRPr="006968AA">
        <w:rPr>
          <w:rFonts w:asciiTheme="minorHAnsi" w:hAnsiTheme="minorHAnsi" w:cstheme="minorHAnsi"/>
        </w:rPr>
        <w:t xml:space="preserve">, arrange to have their medications reviewed by a pharmacist through the </w:t>
      </w:r>
      <w:r w:rsidR="00FF634B" w:rsidRPr="006968AA">
        <w:rPr>
          <w:rFonts w:asciiTheme="minorHAnsi" w:hAnsiTheme="minorHAnsi" w:cstheme="minorHAnsi"/>
        </w:rPr>
        <w:t xml:space="preserve">HMR </w:t>
      </w:r>
      <w:r w:rsidRPr="006968AA">
        <w:rPr>
          <w:rFonts w:asciiTheme="minorHAnsi" w:hAnsiTheme="minorHAnsi" w:cstheme="minorHAnsi"/>
        </w:rPr>
        <w:t xml:space="preserve">program. </w:t>
      </w:r>
    </w:p>
    <w:p w:rsidR="00FE1A5E" w:rsidRPr="006968AA" w:rsidRDefault="00FE1A5E" w:rsidP="00FF634B">
      <w:pPr>
        <w:pStyle w:val="ListParagraph"/>
        <w:numPr>
          <w:ilvl w:val="0"/>
          <w:numId w:val="32"/>
        </w:numPr>
        <w:pBdr>
          <w:top w:val="nil"/>
          <w:left w:val="nil"/>
          <w:bottom w:val="nil"/>
          <w:right w:val="nil"/>
          <w:between w:val="nil"/>
          <w:bar w:val="nil"/>
        </w:pBdr>
        <w:suppressAutoHyphens/>
        <w:spacing w:before="120" w:after="120"/>
        <w:contextualSpacing w:val="0"/>
        <w:rPr>
          <w:rFonts w:asciiTheme="minorHAnsi" w:hAnsiTheme="minorHAnsi" w:cstheme="minorHAnsi"/>
        </w:rPr>
      </w:pPr>
      <w:r w:rsidRPr="006968AA">
        <w:rPr>
          <w:rFonts w:asciiTheme="minorHAnsi" w:hAnsiTheme="minorHAnsi" w:cstheme="minorHAnsi"/>
        </w:rPr>
        <w:t>Keep a record of when participants last had their medications reviewed.</w:t>
      </w:r>
    </w:p>
    <w:p w:rsidR="00FE1A5E" w:rsidRPr="006968AA" w:rsidRDefault="00FE1A5E" w:rsidP="00FF634B">
      <w:pPr>
        <w:pStyle w:val="ListParagraph"/>
        <w:numPr>
          <w:ilvl w:val="0"/>
          <w:numId w:val="32"/>
        </w:numPr>
        <w:pBdr>
          <w:top w:val="nil"/>
          <w:left w:val="nil"/>
          <w:bottom w:val="nil"/>
          <w:right w:val="nil"/>
          <w:between w:val="nil"/>
          <w:bar w:val="nil"/>
        </w:pBdr>
        <w:suppressAutoHyphens/>
        <w:spacing w:before="120" w:after="120"/>
        <w:contextualSpacing w:val="0"/>
        <w:rPr>
          <w:rFonts w:asciiTheme="minorHAnsi" w:hAnsiTheme="minorHAnsi" w:cstheme="minorHAnsi"/>
        </w:rPr>
      </w:pPr>
      <w:r w:rsidRPr="006968AA">
        <w:rPr>
          <w:rFonts w:asciiTheme="minorHAnsi" w:hAnsiTheme="minorHAnsi" w:cstheme="minorHAnsi"/>
        </w:rPr>
        <w:t xml:space="preserve">Ensure that participants, carers and/or support staff have ready access to a full list of the participant’s current medicines. Tools such as the </w:t>
      </w:r>
      <w:hyperlink r:id="rId9" w:history="1">
        <w:r w:rsidRPr="006968AA">
          <w:rPr>
            <w:rStyle w:val="Hyperlink"/>
            <w:rFonts w:asciiTheme="minorHAnsi" w:hAnsiTheme="minorHAnsi" w:cstheme="minorHAnsi"/>
          </w:rPr>
          <w:t>NPS MedicineWise App</w:t>
        </w:r>
      </w:hyperlink>
      <w:r w:rsidRPr="006968AA">
        <w:rPr>
          <w:rFonts w:asciiTheme="minorHAnsi" w:hAnsiTheme="minorHAnsi" w:cstheme="minorHAnsi"/>
        </w:rPr>
        <w:t xml:space="preserve"> or electronic medication records such as </w:t>
      </w:r>
      <w:hyperlink r:id="rId10" w:history="1">
        <w:r w:rsidRPr="006968AA">
          <w:rPr>
            <w:rStyle w:val="Hyperlink"/>
            <w:rFonts w:asciiTheme="minorHAnsi" w:hAnsiTheme="minorHAnsi" w:cstheme="minorHAnsi"/>
          </w:rPr>
          <w:t>My Health Record</w:t>
        </w:r>
      </w:hyperlink>
      <w:r w:rsidRPr="006968AA">
        <w:rPr>
          <w:rFonts w:asciiTheme="minorHAnsi" w:hAnsiTheme="minorHAnsi" w:cstheme="minorHAnsi"/>
        </w:rPr>
        <w:t xml:space="preserve"> can assist with this.</w:t>
      </w:r>
    </w:p>
    <w:p w:rsidR="00FE1A5E" w:rsidRPr="006968AA" w:rsidRDefault="00FE1A5E" w:rsidP="00FF634B">
      <w:pPr>
        <w:pStyle w:val="ListParagraph"/>
        <w:numPr>
          <w:ilvl w:val="0"/>
          <w:numId w:val="32"/>
        </w:numPr>
        <w:pBdr>
          <w:top w:val="nil"/>
          <w:left w:val="nil"/>
          <w:bottom w:val="nil"/>
          <w:right w:val="nil"/>
          <w:between w:val="nil"/>
          <w:bar w:val="nil"/>
        </w:pBdr>
        <w:suppressAutoHyphens/>
        <w:spacing w:before="120" w:after="120"/>
        <w:contextualSpacing w:val="0"/>
        <w:rPr>
          <w:rFonts w:asciiTheme="minorHAnsi" w:hAnsiTheme="minorHAnsi" w:cstheme="minorHAnsi"/>
        </w:rPr>
      </w:pPr>
      <w:r w:rsidRPr="006968AA">
        <w:rPr>
          <w:rFonts w:asciiTheme="minorHAnsi" w:hAnsiTheme="minorHAnsi" w:cstheme="minorHAnsi"/>
        </w:rPr>
        <w:t>Make an appointment with a medical practitioner if you suspect that a participant may be experiencing adverse effects due to medications, particularly if there has been a recent change in medication.</w:t>
      </w:r>
    </w:p>
    <w:p w:rsidR="00FE1A5E" w:rsidRPr="006968AA" w:rsidRDefault="00FE1A5E" w:rsidP="0067621B">
      <w:pPr>
        <w:pStyle w:val="Heading"/>
        <w:rPr>
          <w:lang w:val="en-AU"/>
        </w:rPr>
      </w:pPr>
      <w:r w:rsidRPr="006968AA">
        <w:rPr>
          <w:lang w:val="en-AU"/>
        </w:rPr>
        <w:lastRenderedPageBreak/>
        <w:t>Provider obligations related to polypharmacy</w:t>
      </w:r>
    </w:p>
    <w:p w:rsidR="00FE1A5E" w:rsidRPr="006968AA" w:rsidRDefault="00FE1A5E" w:rsidP="0067621B">
      <w:pPr>
        <w:pStyle w:val="Heading2"/>
      </w:pPr>
      <w:r w:rsidRPr="006968AA">
        <w:t xml:space="preserve">NDIS Code of Conduct </w:t>
      </w:r>
    </w:p>
    <w:p w:rsidR="00FE1A5E" w:rsidRPr="006968AA" w:rsidRDefault="00FE1A5E" w:rsidP="00FE1A5E">
      <w:pPr>
        <w:pStyle w:val="Default"/>
        <w:spacing w:before="120" w:after="120" w:line="276" w:lineRule="auto"/>
        <w:rPr>
          <w:rFonts w:asciiTheme="minorHAnsi" w:eastAsia="Calibri" w:hAnsiTheme="minorHAnsi" w:cstheme="minorHAnsi"/>
          <w:sz w:val="22"/>
          <w:szCs w:val="22"/>
          <w:lang w:val="en-AU"/>
        </w:rPr>
      </w:pPr>
      <w:r w:rsidRPr="006968AA">
        <w:rPr>
          <w:rFonts w:asciiTheme="minorHAnsi" w:eastAsia="Calibri" w:hAnsiTheme="minorHAnsi" w:cstheme="minorHAnsi"/>
          <w:sz w:val="22"/>
          <w:szCs w:val="22"/>
          <w:lang w:val="en-AU"/>
        </w:rPr>
        <w:t xml:space="preserve">The NDIS Code of Conduct requires all NDIS providers and workers who deliver NDIS supports to NDIS participants to, among other things: </w:t>
      </w:r>
    </w:p>
    <w:p w:rsidR="00FE1A5E" w:rsidRPr="006968AA" w:rsidRDefault="00FE1A5E" w:rsidP="00FF634B">
      <w:pPr>
        <w:pStyle w:val="Default"/>
        <w:numPr>
          <w:ilvl w:val="0"/>
          <w:numId w:val="33"/>
        </w:numPr>
        <w:spacing w:before="120" w:after="120" w:line="276" w:lineRule="auto"/>
        <w:rPr>
          <w:rFonts w:asciiTheme="minorHAnsi" w:eastAsia="Calibri" w:hAnsiTheme="minorHAnsi" w:cstheme="minorHAnsi"/>
          <w:sz w:val="22"/>
          <w:szCs w:val="22"/>
          <w:lang w:val="en-AU"/>
        </w:rPr>
      </w:pPr>
      <w:r w:rsidRPr="006968AA">
        <w:rPr>
          <w:rFonts w:asciiTheme="minorHAnsi" w:eastAsia="Calibri" w:hAnsiTheme="minorHAnsi" w:cstheme="minorHAnsi"/>
          <w:sz w:val="22"/>
          <w:szCs w:val="22"/>
          <w:lang w:val="en-AU"/>
        </w:rPr>
        <w:t>provide supports and services in a safe and competent manner with care and skill</w:t>
      </w:r>
    </w:p>
    <w:p w:rsidR="00FE1A5E" w:rsidRPr="006968AA" w:rsidRDefault="00FE1A5E" w:rsidP="00FF634B">
      <w:pPr>
        <w:pStyle w:val="Default"/>
        <w:numPr>
          <w:ilvl w:val="0"/>
          <w:numId w:val="33"/>
        </w:numPr>
        <w:spacing w:before="120" w:after="120" w:line="276" w:lineRule="auto"/>
        <w:rPr>
          <w:rFonts w:asciiTheme="minorHAnsi" w:eastAsia="Calibri" w:hAnsiTheme="minorHAnsi" w:cstheme="minorHAnsi"/>
          <w:sz w:val="22"/>
          <w:szCs w:val="22"/>
          <w:lang w:val="en-AU"/>
        </w:rPr>
      </w:pPr>
      <w:proofErr w:type="gramStart"/>
      <w:r w:rsidRPr="006968AA">
        <w:rPr>
          <w:rFonts w:asciiTheme="minorHAnsi" w:eastAsia="Calibri" w:hAnsiTheme="minorHAnsi" w:cstheme="minorHAnsi"/>
          <w:sz w:val="22"/>
          <w:szCs w:val="22"/>
          <w:lang w:val="en-AU"/>
        </w:rPr>
        <w:t>promptly</w:t>
      </w:r>
      <w:proofErr w:type="gramEnd"/>
      <w:r w:rsidRPr="006968AA">
        <w:rPr>
          <w:rFonts w:asciiTheme="minorHAnsi" w:eastAsia="Calibri" w:hAnsiTheme="minorHAnsi" w:cstheme="minorHAnsi"/>
          <w:sz w:val="22"/>
          <w:szCs w:val="22"/>
          <w:lang w:val="en-AU"/>
        </w:rPr>
        <w:t xml:space="preserve"> take steps to raise and act on concerns about matters that might have an impact on the quality and safety of supports provided to people with disability. </w:t>
      </w:r>
    </w:p>
    <w:p w:rsidR="00FE1A5E" w:rsidRPr="006968AA" w:rsidRDefault="00FE1A5E" w:rsidP="0067621B">
      <w:pPr>
        <w:pStyle w:val="Heading2"/>
      </w:pPr>
      <w:r w:rsidRPr="006968AA">
        <w:t xml:space="preserve">NDIS Practice Standards </w:t>
      </w:r>
    </w:p>
    <w:p w:rsidR="00FE1A5E" w:rsidRPr="006968AA" w:rsidRDefault="00FE1A5E" w:rsidP="00FF634B">
      <w:pPr>
        <w:pStyle w:val="BodyA"/>
        <w:spacing w:before="120" w:after="120" w:line="276" w:lineRule="auto"/>
        <w:rPr>
          <w:rFonts w:asciiTheme="minorHAnsi" w:hAnsiTheme="minorHAnsi" w:cstheme="minorHAnsi"/>
          <w:lang w:val="en-AU"/>
        </w:rPr>
      </w:pPr>
      <w:r w:rsidRPr="006968AA">
        <w:rPr>
          <w:rFonts w:asciiTheme="minorHAnsi" w:hAnsiTheme="minorHAnsi" w:cstheme="minorHAnsi"/>
          <w:lang w:val="en-AU"/>
        </w:rPr>
        <w:t xml:space="preserve">As a registered NDIS provider, you also have obligations under the </w:t>
      </w:r>
      <w:hyperlink r:id="rId11" w:history="1">
        <w:r w:rsidRPr="006968AA">
          <w:rPr>
            <w:rStyle w:val="Hyperlink0"/>
            <w:rFonts w:asciiTheme="minorHAnsi" w:hAnsiTheme="minorHAnsi" w:cstheme="minorHAnsi"/>
            <w:lang w:val="en-AU"/>
          </w:rPr>
          <w:t>NDIS Practice Standards and Quality Indicators</w:t>
        </w:r>
      </w:hyperlink>
      <w:r w:rsidRPr="006968AA">
        <w:rPr>
          <w:rFonts w:asciiTheme="minorHAnsi" w:hAnsiTheme="minorHAnsi" w:cstheme="minorHAnsi"/>
          <w:lang w:val="en-AU"/>
        </w:rPr>
        <w:t>, as part of your conditions of registration, that relate to the delivery of safe, quality supports and services, and the management of risks associated with the supports you provide to NDIS participants.</w:t>
      </w:r>
    </w:p>
    <w:p w:rsidR="00FE1A5E" w:rsidRPr="006968AA" w:rsidRDefault="00FE1A5E" w:rsidP="00FF634B">
      <w:pPr>
        <w:pStyle w:val="BodyA"/>
        <w:spacing w:before="120" w:after="120" w:line="276" w:lineRule="auto"/>
        <w:rPr>
          <w:rStyle w:val="None"/>
          <w:rFonts w:asciiTheme="minorHAnsi" w:hAnsiTheme="minorHAnsi" w:cstheme="minorHAnsi"/>
          <w:lang w:val="en-AU"/>
        </w:rPr>
      </w:pPr>
      <w:r w:rsidRPr="006968AA">
        <w:rPr>
          <w:rStyle w:val="None"/>
          <w:rFonts w:asciiTheme="minorHAnsi" w:hAnsiTheme="minorHAnsi" w:cstheme="minorHAnsi"/>
          <w:lang w:val="en-AU"/>
        </w:rPr>
        <w:t xml:space="preserve">The NDIS Practice Standard and Quality Indicator that </w:t>
      </w:r>
      <w:r w:rsidR="00FF634B" w:rsidRPr="006968AA">
        <w:rPr>
          <w:rStyle w:val="None"/>
          <w:rFonts w:asciiTheme="minorHAnsi" w:hAnsiTheme="minorHAnsi" w:cstheme="minorHAnsi"/>
          <w:lang w:val="en-AU"/>
        </w:rPr>
        <w:t xml:space="preserve">is </w:t>
      </w:r>
      <w:r w:rsidRPr="006968AA">
        <w:rPr>
          <w:rStyle w:val="None"/>
          <w:rFonts w:asciiTheme="minorHAnsi" w:hAnsiTheme="minorHAnsi" w:cstheme="minorHAnsi"/>
          <w:lang w:val="en-AU"/>
        </w:rPr>
        <w:t>most relevant to this alert relate</w:t>
      </w:r>
      <w:r w:rsidR="00FF634B" w:rsidRPr="006968AA">
        <w:rPr>
          <w:rStyle w:val="None"/>
          <w:rFonts w:asciiTheme="minorHAnsi" w:hAnsiTheme="minorHAnsi" w:cstheme="minorHAnsi"/>
          <w:lang w:val="en-AU"/>
        </w:rPr>
        <w:t xml:space="preserve">s to </w:t>
      </w:r>
      <w:r w:rsidRPr="006968AA">
        <w:rPr>
          <w:rStyle w:val="None"/>
          <w:rFonts w:asciiTheme="minorHAnsi" w:hAnsiTheme="minorHAnsi" w:cstheme="minorHAnsi"/>
          <w:b/>
          <w:bCs/>
          <w:lang w:val="en-AU"/>
        </w:rPr>
        <w:t xml:space="preserve">Medication </w:t>
      </w:r>
      <w:r w:rsidR="00FF634B" w:rsidRPr="006968AA">
        <w:rPr>
          <w:rStyle w:val="None"/>
          <w:rFonts w:asciiTheme="minorHAnsi" w:hAnsiTheme="minorHAnsi" w:cstheme="minorHAnsi"/>
          <w:b/>
          <w:bCs/>
          <w:lang w:val="en-AU"/>
        </w:rPr>
        <w:t>M</w:t>
      </w:r>
      <w:r w:rsidRPr="006968AA">
        <w:rPr>
          <w:rStyle w:val="None"/>
          <w:rFonts w:asciiTheme="minorHAnsi" w:hAnsiTheme="minorHAnsi" w:cstheme="minorHAnsi"/>
          <w:b/>
          <w:bCs/>
          <w:lang w:val="en-AU"/>
        </w:rPr>
        <w:t>anagement</w:t>
      </w:r>
      <w:r w:rsidR="00FF634B" w:rsidRPr="006968AA">
        <w:rPr>
          <w:rStyle w:val="None"/>
          <w:rFonts w:asciiTheme="minorHAnsi" w:hAnsiTheme="minorHAnsi" w:cstheme="minorHAnsi"/>
          <w:b/>
          <w:bCs/>
          <w:lang w:val="en-AU"/>
        </w:rPr>
        <w:t xml:space="preserve">. </w:t>
      </w:r>
      <w:r w:rsidRPr="006968AA">
        <w:rPr>
          <w:rStyle w:val="None"/>
          <w:rFonts w:asciiTheme="minorHAnsi" w:hAnsiTheme="minorHAnsi" w:cstheme="minorHAnsi"/>
          <w:lang w:val="en-AU"/>
        </w:rPr>
        <w:t xml:space="preserve">This standard applies to a provider that is responsible for administering medication to participants. The standard expects that each participant requiring medication is confident their provider administers, </w:t>
      </w:r>
      <w:proofErr w:type="gramStart"/>
      <w:r w:rsidRPr="006968AA">
        <w:rPr>
          <w:rStyle w:val="None"/>
          <w:rFonts w:asciiTheme="minorHAnsi" w:hAnsiTheme="minorHAnsi" w:cstheme="minorHAnsi"/>
          <w:lang w:val="en-AU"/>
        </w:rPr>
        <w:t>stores and monitors the effects of their medication</w:t>
      </w:r>
      <w:proofErr w:type="gramEnd"/>
      <w:r w:rsidRPr="006968AA">
        <w:rPr>
          <w:rStyle w:val="None"/>
          <w:rFonts w:asciiTheme="minorHAnsi" w:hAnsiTheme="minorHAnsi" w:cstheme="minorHAnsi"/>
          <w:lang w:val="en-AU"/>
        </w:rPr>
        <w:t xml:space="preserve"> and works to prevent errors or incidents.</w:t>
      </w:r>
    </w:p>
    <w:p w:rsidR="00FE1A5E" w:rsidRPr="006968AA" w:rsidRDefault="00FE1A5E" w:rsidP="00FF634B">
      <w:pPr>
        <w:pStyle w:val="BodyA"/>
        <w:spacing w:before="120" w:after="120" w:line="276" w:lineRule="auto"/>
        <w:contextualSpacing/>
        <w:rPr>
          <w:rStyle w:val="None"/>
          <w:rFonts w:asciiTheme="minorHAnsi" w:hAnsiTheme="minorHAnsi" w:cstheme="minorHAnsi"/>
          <w:lang w:val="en-AU"/>
        </w:rPr>
      </w:pPr>
      <w:r w:rsidRPr="006968AA">
        <w:rPr>
          <w:rStyle w:val="None"/>
          <w:rFonts w:asciiTheme="minorHAnsi" w:hAnsiTheme="minorHAnsi" w:cstheme="minorHAnsi"/>
          <w:lang w:val="en-AU"/>
        </w:rPr>
        <w:t xml:space="preserve">To achieve this outcome, the Quality Indicators state the following </w:t>
      </w:r>
      <w:proofErr w:type="gramStart"/>
      <w:r w:rsidRPr="006968AA">
        <w:rPr>
          <w:rStyle w:val="None"/>
          <w:rFonts w:asciiTheme="minorHAnsi" w:hAnsiTheme="minorHAnsi" w:cstheme="minorHAnsi"/>
          <w:lang w:val="en-AU"/>
        </w:rPr>
        <w:t>should be demonstrated</w:t>
      </w:r>
      <w:proofErr w:type="gramEnd"/>
      <w:r w:rsidRPr="006968AA">
        <w:rPr>
          <w:rStyle w:val="None"/>
          <w:rFonts w:asciiTheme="minorHAnsi" w:hAnsiTheme="minorHAnsi" w:cstheme="minorHAnsi"/>
          <w:lang w:val="en-AU"/>
        </w:rPr>
        <w:t>:</w:t>
      </w:r>
    </w:p>
    <w:p w:rsidR="00FE1A5E" w:rsidRPr="006968AA" w:rsidRDefault="00FE1A5E" w:rsidP="00FF634B">
      <w:pPr>
        <w:pStyle w:val="ListParagraph"/>
        <w:numPr>
          <w:ilvl w:val="0"/>
          <w:numId w:val="34"/>
        </w:numPr>
        <w:pBdr>
          <w:top w:val="nil"/>
          <w:left w:val="nil"/>
          <w:bottom w:val="nil"/>
          <w:right w:val="nil"/>
          <w:between w:val="nil"/>
          <w:bar w:val="nil"/>
        </w:pBdr>
        <w:suppressAutoHyphens/>
        <w:spacing w:before="120" w:after="120"/>
        <w:rPr>
          <w:rFonts w:asciiTheme="minorHAnsi" w:hAnsiTheme="minorHAnsi" w:cstheme="minorHAnsi"/>
        </w:rPr>
      </w:pPr>
      <w:r w:rsidRPr="006968AA">
        <w:rPr>
          <w:rStyle w:val="None"/>
          <w:rFonts w:asciiTheme="minorHAnsi" w:hAnsiTheme="minorHAnsi" w:cstheme="minorHAnsi"/>
          <w:color w:val="000000"/>
          <w:u w:color="000000"/>
        </w:rPr>
        <w:t xml:space="preserve">Records clearly identify the medication and dosage required by each participant, including all information required </w:t>
      </w:r>
      <w:proofErr w:type="gramStart"/>
      <w:r w:rsidRPr="006968AA">
        <w:rPr>
          <w:rStyle w:val="None"/>
          <w:rFonts w:asciiTheme="minorHAnsi" w:hAnsiTheme="minorHAnsi" w:cstheme="minorHAnsi"/>
          <w:color w:val="000000"/>
          <w:u w:color="000000"/>
        </w:rPr>
        <w:t>to correctly identify</w:t>
      </w:r>
      <w:proofErr w:type="gramEnd"/>
      <w:r w:rsidRPr="006968AA">
        <w:rPr>
          <w:rStyle w:val="None"/>
          <w:rFonts w:asciiTheme="minorHAnsi" w:hAnsiTheme="minorHAnsi" w:cstheme="minorHAnsi"/>
          <w:color w:val="000000"/>
          <w:u w:color="000000"/>
        </w:rPr>
        <w:t xml:space="preserve"> the participant and to safely administer the medication.</w:t>
      </w:r>
    </w:p>
    <w:p w:rsidR="00FE1A5E" w:rsidRPr="006968AA" w:rsidRDefault="00FE1A5E" w:rsidP="00FF634B">
      <w:pPr>
        <w:pStyle w:val="ListParagraph"/>
        <w:numPr>
          <w:ilvl w:val="0"/>
          <w:numId w:val="34"/>
        </w:numPr>
        <w:pBdr>
          <w:top w:val="nil"/>
          <w:left w:val="nil"/>
          <w:bottom w:val="nil"/>
          <w:right w:val="nil"/>
          <w:between w:val="nil"/>
          <w:bar w:val="nil"/>
        </w:pBdr>
        <w:suppressAutoHyphens/>
        <w:spacing w:before="120" w:after="120"/>
        <w:rPr>
          <w:rFonts w:asciiTheme="minorHAnsi" w:hAnsiTheme="minorHAnsi" w:cstheme="minorHAnsi"/>
        </w:rPr>
      </w:pPr>
      <w:r w:rsidRPr="006968AA">
        <w:rPr>
          <w:rStyle w:val="None"/>
          <w:rFonts w:asciiTheme="minorHAnsi" w:hAnsiTheme="minorHAnsi" w:cstheme="minorHAnsi"/>
          <w:color w:val="000000"/>
          <w:u w:color="000000"/>
        </w:rPr>
        <w:t xml:space="preserve">All workers responsible for administering medication understand the effects and </w:t>
      </w:r>
      <w:proofErr w:type="gramStart"/>
      <w:r w:rsidRPr="006968AA">
        <w:rPr>
          <w:rStyle w:val="None"/>
          <w:rFonts w:asciiTheme="minorHAnsi" w:hAnsiTheme="minorHAnsi" w:cstheme="minorHAnsi"/>
          <w:color w:val="000000"/>
          <w:u w:color="000000"/>
        </w:rPr>
        <w:t>side-effects</w:t>
      </w:r>
      <w:proofErr w:type="gramEnd"/>
      <w:r w:rsidRPr="006968AA">
        <w:rPr>
          <w:rStyle w:val="None"/>
          <w:rFonts w:asciiTheme="minorHAnsi" w:hAnsiTheme="minorHAnsi" w:cstheme="minorHAnsi"/>
          <w:color w:val="000000"/>
          <w:u w:color="000000"/>
        </w:rPr>
        <w:t xml:space="preserve"> of the medication and the steps to take in the event of an incident involving medication.</w:t>
      </w:r>
    </w:p>
    <w:p w:rsidR="00FE1A5E" w:rsidRPr="006968AA" w:rsidRDefault="00FE1A5E" w:rsidP="00FF634B">
      <w:pPr>
        <w:pStyle w:val="ListParagraph"/>
        <w:numPr>
          <w:ilvl w:val="0"/>
          <w:numId w:val="34"/>
        </w:numPr>
        <w:pBdr>
          <w:top w:val="nil"/>
          <w:left w:val="nil"/>
          <w:bottom w:val="nil"/>
          <w:right w:val="nil"/>
          <w:between w:val="nil"/>
          <w:bar w:val="nil"/>
        </w:pBdr>
        <w:suppressAutoHyphens/>
        <w:spacing w:before="120" w:after="120"/>
        <w:rPr>
          <w:rStyle w:val="None"/>
          <w:rFonts w:asciiTheme="minorHAnsi" w:hAnsiTheme="minorHAnsi" w:cstheme="minorHAnsi"/>
        </w:rPr>
      </w:pPr>
      <w:r w:rsidRPr="006968AA">
        <w:rPr>
          <w:rStyle w:val="None"/>
          <w:rFonts w:asciiTheme="minorHAnsi" w:hAnsiTheme="minorHAnsi" w:cstheme="minorHAnsi"/>
          <w:color w:val="000000"/>
          <w:u w:color="000000"/>
        </w:rPr>
        <w:t xml:space="preserve">All medications are stored safely and securely, can be easily identified and differentiated, and </w:t>
      </w:r>
      <w:proofErr w:type="gramStart"/>
      <w:r w:rsidRPr="006968AA">
        <w:rPr>
          <w:rStyle w:val="None"/>
          <w:rFonts w:asciiTheme="minorHAnsi" w:hAnsiTheme="minorHAnsi" w:cstheme="minorHAnsi"/>
          <w:color w:val="000000"/>
          <w:u w:color="000000"/>
        </w:rPr>
        <w:t>are only accessed</w:t>
      </w:r>
      <w:proofErr w:type="gramEnd"/>
      <w:r w:rsidRPr="006968AA">
        <w:rPr>
          <w:rStyle w:val="None"/>
          <w:rFonts w:asciiTheme="minorHAnsi" w:hAnsiTheme="minorHAnsi" w:cstheme="minorHAnsi"/>
          <w:color w:val="000000"/>
          <w:u w:color="000000"/>
        </w:rPr>
        <w:t xml:space="preserve"> by appropriately trained workers. </w:t>
      </w:r>
    </w:p>
    <w:p w:rsidR="00FE1A5E" w:rsidRPr="006968AA" w:rsidRDefault="00FE1A5E" w:rsidP="0067621B">
      <w:pPr>
        <w:pStyle w:val="Heading"/>
        <w:rPr>
          <w:rStyle w:val="None"/>
          <w:rFonts w:asciiTheme="minorHAnsi" w:hAnsiTheme="minorHAnsi" w:cstheme="minorHAnsi"/>
          <w:color w:val="5F2E74"/>
          <w:u w:color="5F2E74"/>
          <w:lang w:val="en-AU"/>
        </w:rPr>
      </w:pPr>
      <w:r w:rsidRPr="006968AA">
        <w:rPr>
          <w:rStyle w:val="None"/>
          <w:rFonts w:asciiTheme="minorHAnsi" w:hAnsiTheme="minorHAnsi" w:cstheme="minorHAnsi"/>
          <w:color w:val="5F2E74"/>
          <w:u w:color="5F2E74"/>
          <w:lang w:val="en-AU"/>
        </w:rPr>
        <w:t>References</w:t>
      </w:r>
      <w:r w:rsidRPr="006968AA">
        <w:rPr>
          <w:rStyle w:val="None"/>
          <w:rFonts w:asciiTheme="minorHAnsi" w:hAnsiTheme="minorHAnsi" w:cstheme="minorHAnsi"/>
          <w:color w:val="5F2E74"/>
          <w:u w:color="5F2E74"/>
          <w:lang w:val="en-AU"/>
        </w:rPr>
        <w:tab/>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Australian Commission on Safety and Quality in Health Care (2019). </w:t>
      </w:r>
      <w:hyperlink r:id="rId12" w:history="1">
        <w:r w:rsidRPr="006968AA">
          <w:rPr>
            <w:rStyle w:val="Hyperlink1"/>
            <w:rFonts w:asciiTheme="minorHAnsi" w:hAnsiTheme="minorHAnsi" w:cstheme="minorHAnsi"/>
          </w:rPr>
          <w:t>Medication without harm WHO global patient safety challenge</w:t>
        </w:r>
      </w:hyperlink>
      <w:r w:rsidRPr="006968AA">
        <w:rPr>
          <w:rFonts w:asciiTheme="minorHAnsi" w:hAnsiTheme="minorHAnsi" w:cstheme="minorHAnsi"/>
        </w:rPr>
        <w:t xml:space="preserve">.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Australian Department of Health (2020). </w:t>
      </w:r>
      <w:hyperlink r:id="rId13" w:history="1">
        <w:r w:rsidRPr="006968AA">
          <w:rPr>
            <w:rStyle w:val="Hyperlink0"/>
            <w:rFonts w:asciiTheme="minorHAnsi" w:hAnsiTheme="minorHAnsi" w:cstheme="minorHAnsi"/>
          </w:rPr>
          <w:t>Medicare Benefits Schedule item 900</w:t>
        </w:r>
      </w:hyperlink>
      <w:r w:rsidRPr="006968AA">
        <w:rPr>
          <w:rFonts w:asciiTheme="minorHAnsi" w:hAnsiTheme="minorHAnsi" w:cstheme="minorHAnsi"/>
        </w:rPr>
        <w:t xml:space="preserve">.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Australian Department of Health (2020). </w:t>
      </w:r>
      <w:hyperlink r:id="rId14" w:history="1">
        <w:r w:rsidRPr="006968AA">
          <w:rPr>
            <w:rStyle w:val="Hyperlink"/>
            <w:rFonts w:asciiTheme="minorHAnsi" w:hAnsiTheme="minorHAnsi" w:cstheme="minorHAnsi"/>
          </w:rPr>
          <w:t>Home Medicines Review</w:t>
        </w:r>
      </w:hyperlink>
      <w:r w:rsidRPr="006968AA">
        <w:rPr>
          <w:rFonts w:asciiTheme="minorHAnsi" w:hAnsiTheme="minorHAnsi" w:cstheme="minorHAnsi"/>
        </w:rPr>
        <w:t>.</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Australian Government Aged Care Quality and Safeguards Commission (2020). </w:t>
      </w:r>
      <w:hyperlink r:id="rId15" w:history="1">
        <w:r w:rsidRPr="006968AA">
          <w:rPr>
            <w:rStyle w:val="Hyperlink2"/>
            <w:rFonts w:asciiTheme="minorHAnsi" w:hAnsiTheme="minorHAnsi" w:cstheme="minorHAnsi"/>
          </w:rPr>
          <w:t>Psychotropic Medications used in Australia information for aged care</w:t>
        </w:r>
      </w:hyperlink>
      <w:r w:rsidRPr="006968AA">
        <w:rPr>
          <w:rFonts w:asciiTheme="minorHAnsi" w:hAnsiTheme="minorHAnsi" w:cstheme="minorHAnsi"/>
        </w:rPr>
        <w:t>.</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lastRenderedPageBreak/>
        <w:t xml:space="preserve">Branford D, Gerrard D, </w:t>
      </w:r>
      <w:proofErr w:type="spellStart"/>
      <w:r w:rsidRPr="006968AA">
        <w:rPr>
          <w:rFonts w:asciiTheme="minorHAnsi" w:hAnsiTheme="minorHAnsi" w:cstheme="minorHAnsi"/>
        </w:rPr>
        <w:t>Saleem</w:t>
      </w:r>
      <w:proofErr w:type="spellEnd"/>
      <w:r w:rsidRPr="006968AA">
        <w:rPr>
          <w:rFonts w:asciiTheme="minorHAnsi" w:hAnsiTheme="minorHAnsi" w:cstheme="minorHAnsi"/>
        </w:rPr>
        <w:t xml:space="preserve"> N, Shaw C, Webster A. (2019). Stopping over-medication of people with an intellectual disability, autism or both (STOMP) in England part 2 – The story so far. Advances in Mental Health and Intellectual Disabilities, 13 (1): 41-51.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Brett J, Daniels B, </w:t>
      </w:r>
      <w:proofErr w:type="spellStart"/>
      <w:r w:rsidRPr="006968AA">
        <w:rPr>
          <w:rFonts w:asciiTheme="minorHAnsi" w:hAnsiTheme="minorHAnsi" w:cstheme="minorHAnsi"/>
        </w:rPr>
        <w:t>Karanges</w:t>
      </w:r>
      <w:proofErr w:type="spellEnd"/>
      <w:r w:rsidRPr="006968AA">
        <w:rPr>
          <w:rFonts w:asciiTheme="minorHAnsi" w:hAnsiTheme="minorHAnsi" w:cstheme="minorHAnsi"/>
        </w:rPr>
        <w:t xml:space="preserve"> E, Buckley N, Schneider C, Nassir A et al. (2017). Psychotropic polypharmacy in Australia, 2006 to 2015: a descriptive cohort study. British Journal of Clinical Pharmacology, 2017, 83: 2581-8.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096EE8">
        <w:rPr>
          <w:rFonts w:asciiTheme="minorHAnsi" w:hAnsiTheme="minorHAnsi" w:cstheme="minorHAnsi"/>
          <w:lang w:val="fr-FR"/>
        </w:rPr>
        <w:t xml:space="preserve">Carmona-Huerta J, </w:t>
      </w:r>
      <w:proofErr w:type="spellStart"/>
      <w:r w:rsidRPr="00096EE8">
        <w:rPr>
          <w:rFonts w:asciiTheme="minorHAnsi" w:hAnsiTheme="minorHAnsi" w:cstheme="minorHAnsi"/>
          <w:lang w:val="fr-FR"/>
        </w:rPr>
        <w:t>Castiello</w:t>
      </w:r>
      <w:proofErr w:type="spellEnd"/>
      <w:r w:rsidRPr="00096EE8">
        <w:rPr>
          <w:rFonts w:asciiTheme="minorHAnsi" w:hAnsiTheme="minorHAnsi" w:cstheme="minorHAnsi"/>
          <w:lang w:val="fr-FR"/>
        </w:rPr>
        <w:t xml:space="preserve">-de </w:t>
      </w:r>
      <w:proofErr w:type="spellStart"/>
      <w:r w:rsidRPr="00096EE8">
        <w:rPr>
          <w:rFonts w:asciiTheme="minorHAnsi" w:hAnsiTheme="minorHAnsi" w:cstheme="minorHAnsi"/>
          <w:lang w:val="fr-FR"/>
        </w:rPr>
        <w:t>Obeso</w:t>
      </w:r>
      <w:proofErr w:type="spellEnd"/>
      <w:r w:rsidRPr="00096EE8">
        <w:rPr>
          <w:rFonts w:asciiTheme="minorHAnsi" w:hAnsiTheme="minorHAnsi" w:cstheme="minorHAnsi"/>
          <w:lang w:val="fr-FR"/>
        </w:rPr>
        <w:t xml:space="preserve"> S, Ramirez-</w:t>
      </w:r>
      <w:proofErr w:type="spellStart"/>
      <w:r w:rsidRPr="00096EE8">
        <w:rPr>
          <w:rFonts w:asciiTheme="minorHAnsi" w:hAnsiTheme="minorHAnsi" w:cstheme="minorHAnsi"/>
          <w:lang w:val="fr-FR"/>
        </w:rPr>
        <w:t>Palomino</w:t>
      </w:r>
      <w:proofErr w:type="spellEnd"/>
      <w:r w:rsidRPr="00096EE8">
        <w:rPr>
          <w:rFonts w:asciiTheme="minorHAnsi" w:hAnsiTheme="minorHAnsi" w:cstheme="minorHAnsi"/>
          <w:lang w:val="fr-FR"/>
        </w:rPr>
        <w:t xml:space="preserve"> J, Duran-Gutierrez R, </w:t>
      </w:r>
      <w:proofErr w:type="spellStart"/>
      <w:r w:rsidRPr="00096EE8">
        <w:rPr>
          <w:rFonts w:asciiTheme="minorHAnsi" w:hAnsiTheme="minorHAnsi" w:cstheme="minorHAnsi"/>
          <w:lang w:val="fr-FR"/>
        </w:rPr>
        <w:t>Cardona</w:t>
      </w:r>
      <w:proofErr w:type="spellEnd"/>
      <w:r w:rsidRPr="00096EE8">
        <w:rPr>
          <w:rFonts w:asciiTheme="minorHAnsi" w:hAnsiTheme="minorHAnsi" w:cstheme="minorHAnsi"/>
          <w:lang w:val="fr-FR"/>
        </w:rPr>
        <w:t xml:space="preserve">-Muller D, </w:t>
      </w:r>
      <w:proofErr w:type="spellStart"/>
      <w:r w:rsidRPr="00096EE8">
        <w:rPr>
          <w:rFonts w:asciiTheme="minorHAnsi" w:hAnsiTheme="minorHAnsi" w:cstheme="minorHAnsi"/>
          <w:lang w:val="fr-FR"/>
        </w:rPr>
        <w:t>Grover-Paez</w:t>
      </w:r>
      <w:proofErr w:type="spellEnd"/>
      <w:r w:rsidRPr="00096EE8">
        <w:rPr>
          <w:rFonts w:asciiTheme="minorHAnsi" w:hAnsiTheme="minorHAnsi" w:cstheme="minorHAnsi"/>
          <w:lang w:val="fr-FR"/>
        </w:rPr>
        <w:t xml:space="preserve"> F. et al. </w:t>
      </w:r>
      <w:r w:rsidRPr="006968AA">
        <w:rPr>
          <w:rFonts w:asciiTheme="minorHAnsi" w:hAnsiTheme="minorHAnsi" w:cstheme="minorHAnsi"/>
        </w:rPr>
        <w:t xml:space="preserve">(2019). Polypharmacy in a hospitalized psychiatric population: risk estimation and damage quantification. BMC Psychiatry, 19:78.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Chitty K, Evans E, </w:t>
      </w:r>
      <w:proofErr w:type="spellStart"/>
      <w:r w:rsidRPr="006968AA">
        <w:rPr>
          <w:rFonts w:asciiTheme="minorHAnsi" w:hAnsiTheme="minorHAnsi" w:cstheme="minorHAnsi"/>
        </w:rPr>
        <w:t>Torr</w:t>
      </w:r>
      <w:proofErr w:type="spellEnd"/>
      <w:r w:rsidRPr="006968AA">
        <w:rPr>
          <w:rFonts w:asciiTheme="minorHAnsi" w:hAnsiTheme="minorHAnsi" w:cstheme="minorHAnsi"/>
        </w:rPr>
        <w:t xml:space="preserve"> J, </w:t>
      </w:r>
      <w:proofErr w:type="spellStart"/>
      <w:r w:rsidRPr="006968AA">
        <w:rPr>
          <w:rFonts w:asciiTheme="minorHAnsi" w:hAnsiTheme="minorHAnsi" w:cstheme="minorHAnsi"/>
        </w:rPr>
        <w:t>Iacono</w:t>
      </w:r>
      <w:proofErr w:type="spellEnd"/>
      <w:r w:rsidRPr="006968AA">
        <w:rPr>
          <w:rFonts w:asciiTheme="minorHAnsi" w:hAnsiTheme="minorHAnsi" w:cstheme="minorHAnsi"/>
        </w:rPr>
        <w:t xml:space="preserve"> T, </w:t>
      </w:r>
      <w:proofErr w:type="spellStart"/>
      <w:r w:rsidRPr="006968AA">
        <w:rPr>
          <w:rFonts w:asciiTheme="minorHAnsi" w:hAnsiTheme="minorHAnsi" w:cstheme="minorHAnsi"/>
        </w:rPr>
        <w:t>Brodaty</w:t>
      </w:r>
      <w:proofErr w:type="spellEnd"/>
      <w:r w:rsidRPr="006968AA">
        <w:rPr>
          <w:rFonts w:asciiTheme="minorHAnsi" w:hAnsiTheme="minorHAnsi" w:cstheme="minorHAnsi"/>
        </w:rPr>
        <w:t xml:space="preserve"> H, </w:t>
      </w:r>
      <w:proofErr w:type="spellStart"/>
      <w:r w:rsidRPr="006968AA">
        <w:rPr>
          <w:rFonts w:asciiTheme="minorHAnsi" w:hAnsiTheme="minorHAnsi" w:cstheme="minorHAnsi"/>
        </w:rPr>
        <w:t>Sachdev</w:t>
      </w:r>
      <w:proofErr w:type="spellEnd"/>
      <w:r w:rsidRPr="006968AA">
        <w:rPr>
          <w:rFonts w:asciiTheme="minorHAnsi" w:hAnsiTheme="minorHAnsi" w:cstheme="minorHAnsi"/>
        </w:rPr>
        <w:t xml:space="preserve"> P et al. (2016). Central nervous system medication use in older adults with intellectual disability: results from the successful ageing in intellectual disability study. Australian and New Zealand journal of psychiatry, 50 (4): 352-62. DOI: 10.1177/0004867415587951</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Deb S, Kwok H, </w:t>
      </w:r>
      <w:proofErr w:type="spellStart"/>
      <w:r w:rsidRPr="006968AA">
        <w:rPr>
          <w:rFonts w:asciiTheme="minorHAnsi" w:hAnsiTheme="minorHAnsi" w:cstheme="minorHAnsi"/>
        </w:rPr>
        <w:t>Bertelli</w:t>
      </w:r>
      <w:proofErr w:type="spellEnd"/>
      <w:r w:rsidRPr="006968AA">
        <w:rPr>
          <w:rFonts w:asciiTheme="minorHAnsi" w:hAnsiTheme="minorHAnsi" w:cstheme="minorHAnsi"/>
        </w:rPr>
        <w:t xml:space="preserve"> M, Salvador-</w:t>
      </w:r>
      <w:proofErr w:type="spellStart"/>
      <w:r w:rsidRPr="006968AA">
        <w:rPr>
          <w:rFonts w:asciiTheme="minorHAnsi" w:hAnsiTheme="minorHAnsi" w:cstheme="minorHAnsi"/>
        </w:rPr>
        <w:t>Carulla</w:t>
      </w:r>
      <w:proofErr w:type="spellEnd"/>
      <w:r w:rsidRPr="006968AA">
        <w:rPr>
          <w:rFonts w:asciiTheme="minorHAnsi" w:hAnsiTheme="minorHAnsi" w:cstheme="minorHAnsi"/>
        </w:rPr>
        <w:t xml:space="preserve"> L, Bradley E, </w:t>
      </w:r>
      <w:proofErr w:type="spellStart"/>
      <w:r w:rsidRPr="006968AA">
        <w:rPr>
          <w:rFonts w:asciiTheme="minorHAnsi" w:hAnsiTheme="minorHAnsi" w:cstheme="minorHAnsi"/>
        </w:rPr>
        <w:t>Torr</w:t>
      </w:r>
      <w:proofErr w:type="spellEnd"/>
      <w:r w:rsidRPr="006968AA">
        <w:rPr>
          <w:rFonts w:asciiTheme="minorHAnsi" w:hAnsiTheme="minorHAnsi" w:cstheme="minorHAnsi"/>
        </w:rPr>
        <w:t xml:space="preserve"> J. (2009). International guide to prescribing psychotropic medication for the management of problem behaviours in adults with intellectual disabilities. World Psychiatry, 8: 181-6.</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Deb S, Unwin G, Deb T. (2015). Characteristics and the trajectory of psychotropic medication use in general and antipsychotics in particular among adults with an intellectual disability who exhibit aggressive behaviour. Journal of Intellectual Disability Research, 59 (1): 11-25.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Erickson S, </w:t>
      </w:r>
      <w:proofErr w:type="spellStart"/>
      <w:r w:rsidRPr="006968AA">
        <w:rPr>
          <w:rFonts w:asciiTheme="minorHAnsi" w:hAnsiTheme="minorHAnsi" w:cstheme="minorHAnsi"/>
        </w:rPr>
        <w:t>Nicaj</w:t>
      </w:r>
      <w:proofErr w:type="spellEnd"/>
      <w:r w:rsidRPr="006968AA">
        <w:rPr>
          <w:rFonts w:asciiTheme="minorHAnsi" w:hAnsiTheme="minorHAnsi" w:cstheme="minorHAnsi"/>
        </w:rPr>
        <w:t xml:space="preserve"> D, Barron S. (2018). Complexity of medication regimens of people with intellectual and developmental disabilities. Journal of Intellectual and developmental Disability, 43 (3): 351-61.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Gallego</w:t>
      </w:r>
      <w:proofErr w:type="spellEnd"/>
      <w:r w:rsidRPr="006968AA">
        <w:rPr>
          <w:rFonts w:asciiTheme="minorHAnsi" w:hAnsiTheme="minorHAnsi" w:cstheme="minorHAnsi"/>
        </w:rPr>
        <w:t xml:space="preserve"> J, Nielson J, </w:t>
      </w:r>
      <w:proofErr w:type="spellStart"/>
      <w:r w:rsidRPr="006968AA">
        <w:rPr>
          <w:rFonts w:asciiTheme="minorHAnsi" w:hAnsiTheme="minorHAnsi" w:cstheme="minorHAnsi"/>
        </w:rPr>
        <w:t>Hert</w:t>
      </w:r>
      <w:proofErr w:type="spellEnd"/>
      <w:r w:rsidRPr="006968AA">
        <w:rPr>
          <w:rFonts w:asciiTheme="minorHAnsi" w:hAnsiTheme="minorHAnsi" w:cstheme="minorHAnsi"/>
        </w:rPr>
        <w:t xml:space="preserve"> M, Kane J, </w:t>
      </w:r>
      <w:proofErr w:type="spellStart"/>
      <w:r w:rsidRPr="006968AA">
        <w:rPr>
          <w:rFonts w:asciiTheme="minorHAnsi" w:hAnsiTheme="minorHAnsi" w:cstheme="minorHAnsi"/>
        </w:rPr>
        <w:t>Correll</w:t>
      </w:r>
      <w:proofErr w:type="spellEnd"/>
      <w:r w:rsidRPr="006968AA">
        <w:rPr>
          <w:rFonts w:asciiTheme="minorHAnsi" w:hAnsiTheme="minorHAnsi" w:cstheme="minorHAnsi"/>
        </w:rPr>
        <w:t xml:space="preserve"> C. (2012). Safety and tolerability of antipsychotic polypharmacy. Expert opinion on Drug Safety, 11 (4): 527-42.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Haider</w:t>
      </w:r>
      <w:proofErr w:type="spellEnd"/>
      <w:r w:rsidRPr="006968AA">
        <w:rPr>
          <w:rFonts w:asciiTheme="minorHAnsi" w:hAnsiTheme="minorHAnsi" w:cstheme="minorHAnsi"/>
        </w:rPr>
        <w:t xml:space="preserve"> S, </w:t>
      </w:r>
      <w:proofErr w:type="spellStart"/>
      <w:r w:rsidRPr="006968AA">
        <w:rPr>
          <w:rFonts w:asciiTheme="minorHAnsi" w:hAnsiTheme="minorHAnsi" w:cstheme="minorHAnsi"/>
        </w:rPr>
        <w:t>Anzari</w:t>
      </w:r>
      <w:proofErr w:type="spellEnd"/>
      <w:r w:rsidRPr="006968AA">
        <w:rPr>
          <w:rFonts w:asciiTheme="minorHAnsi" w:hAnsiTheme="minorHAnsi" w:cstheme="minorHAnsi"/>
        </w:rPr>
        <w:t xml:space="preserve"> Z, Vaughan L, Matters H, Emerson E. (2014). Prevalence and factors associated with polypharmacy in Victorian adults with intellectual disability. Research in Developmental Disabilities, 35 (11): 3071-80.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Hert</w:t>
      </w:r>
      <w:proofErr w:type="spellEnd"/>
      <w:r w:rsidRPr="006968AA">
        <w:rPr>
          <w:rFonts w:asciiTheme="minorHAnsi" w:hAnsiTheme="minorHAnsi" w:cstheme="minorHAnsi"/>
        </w:rPr>
        <w:t xml:space="preserve"> M, </w:t>
      </w:r>
      <w:proofErr w:type="spellStart"/>
      <w:r w:rsidRPr="006968AA">
        <w:rPr>
          <w:rFonts w:asciiTheme="minorHAnsi" w:hAnsiTheme="minorHAnsi" w:cstheme="minorHAnsi"/>
        </w:rPr>
        <w:t>Detraux</w:t>
      </w:r>
      <w:proofErr w:type="spellEnd"/>
      <w:r w:rsidRPr="006968AA">
        <w:rPr>
          <w:rFonts w:asciiTheme="minorHAnsi" w:hAnsiTheme="minorHAnsi" w:cstheme="minorHAnsi"/>
        </w:rPr>
        <w:t xml:space="preserve"> J, van </w:t>
      </w:r>
      <w:proofErr w:type="spellStart"/>
      <w:r w:rsidRPr="006968AA">
        <w:rPr>
          <w:rFonts w:asciiTheme="minorHAnsi" w:hAnsiTheme="minorHAnsi" w:cstheme="minorHAnsi"/>
        </w:rPr>
        <w:t>Winkel</w:t>
      </w:r>
      <w:proofErr w:type="spellEnd"/>
      <w:r w:rsidRPr="006968AA">
        <w:rPr>
          <w:rFonts w:asciiTheme="minorHAnsi" w:hAnsiTheme="minorHAnsi" w:cstheme="minorHAnsi"/>
        </w:rPr>
        <w:t xml:space="preserve"> R, Yu W, </w:t>
      </w:r>
      <w:proofErr w:type="spellStart"/>
      <w:r w:rsidRPr="006968AA">
        <w:rPr>
          <w:rFonts w:asciiTheme="minorHAnsi" w:hAnsiTheme="minorHAnsi" w:cstheme="minorHAnsi"/>
        </w:rPr>
        <w:t>Correll</w:t>
      </w:r>
      <w:proofErr w:type="spellEnd"/>
      <w:r w:rsidRPr="006968AA">
        <w:rPr>
          <w:rFonts w:asciiTheme="minorHAnsi" w:hAnsiTheme="minorHAnsi" w:cstheme="minorHAnsi"/>
        </w:rPr>
        <w:t xml:space="preserve"> C. (2012). Metabolic and cardiovascular adverse effects associated with antipsychotic drugs. Nature, 8: 114-26.</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Leendertse</w:t>
      </w:r>
      <w:proofErr w:type="spellEnd"/>
      <w:r w:rsidRPr="006968AA">
        <w:rPr>
          <w:rFonts w:asciiTheme="minorHAnsi" w:hAnsiTheme="minorHAnsi" w:cstheme="minorHAnsi"/>
        </w:rPr>
        <w:t xml:space="preserve"> A, Egberts A, Stoker L, van den </w:t>
      </w:r>
      <w:proofErr w:type="spellStart"/>
      <w:r w:rsidRPr="006968AA">
        <w:rPr>
          <w:rFonts w:asciiTheme="minorHAnsi" w:hAnsiTheme="minorHAnsi" w:cstheme="minorHAnsi"/>
        </w:rPr>
        <w:t>Bemt</w:t>
      </w:r>
      <w:proofErr w:type="spellEnd"/>
      <w:r w:rsidRPr="006968AA">
        <w:rPr>
          <w:rFonts w:asciiTheme="minorHAnsi" w:hAnsiTheme="minorHAnsi" w:cstheme="minorHAnsi"/>
        </w:rPr>
        <w:t xml:space="preserve"> P. (2008). Frequency of and risk factors for preventable medication-related hospital admissions in the Netherlands. Archive of Internal Medicine, 168 (17): 1890-6.</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Lunsky</w:t>
      </w:r>
      <w:proofErr w:type="spellEnd"/>
      <w:r w:rsidRPr="006968AA">
        <w:rPr>
          <w:rFonts w:asciiTheme="minorHAnsi" w:hAnsiTheme="minorHAnsi" w:cstheme="minorHAnsi"/>
        </w:rPr>
        <w:t xml:space="preserve"> Y, Modi M. (2018). Predictors of psychotropic polypharmacy among outpatients with psychiatric disorders and intellectual disability. Psychiatric Services, 9 (2): 242-6.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Mangin</w:t>
      </w:r>
      <w:proofErr w:type="spellEnd"/>
      <w:r w:rsidRPr="006968AA">
        <w:rPr>
          <w:rFonts w:asciiTheme="minorHAnsi" w:hAnsiTheme="minorHAnsi" w:cstheme="minorHAnsi"/>
        </w:rPr>
        <w:t xml:space="preserve"> D, </w:t>
      </w:r>
      <w:proofErr w:type="spellStart"/>
      <w:r w:rsidRPr="006968AA">
        <w:rPr>
          <w:rFonts w:asciiTheme="minorHAnsi" w:hAnsiTheme="minorHAnsi" w:cstheme="minorHAnsi"/>
        </w:rPr>
        <w:t>Bahat</w:t>
      </w:r>
      <w:proofErr w:type="spellEnd"/>
      <w:r w:rsidRPr="006968AA">
        <w:rPr>
          <w:rFonts w:asciiTheme="minorHAnsi" w:hAnsiTheme="minorHAnsi" w:cstheme="minorHAnsi"/>
        </w:rPr>
        <w:t xml:space="preserve"> G, </w:t>
      </w:r>
      <w:proofErr w:type="spellStart"/>
      <w:r w:rsidRPr="006968AA">
        <w:rPr>
          <w:rFonts w:asciiTheme="minorHAnsi" w:hAnsiTheme="minorHAnsi" w:cstheme="minorHAnsi"/>
        </w:rPr>
        <w:t>Golomb</w:t>
      </w:r>
      <w:proofErr w:type="spellEnd"/>
      <w:r w:rsidRPr="006968AA">
        <w:rPr>
          <w:rFonts w:asciiTheme="minorHAnsi" w:hAnsiTheme="minorHAnsi" w:cstheme="minorHAnsi"/>
        </w:rPr>
        <w:t xml:space="preserve"> B, </w:t>
      </w:r>
      <w:proofErr w:type="spellStart"/>
      <w:r w:rsidRPr="006968AA">
        <w:rPr>
          <w:rFonts w:asciiTheme="minorHAnsi" w:hAnsiTheme="minorHAnsi" w:cstheme="minorHAnsi"/>
        </w:rPr>
        <w:t>Mallery</w:t>
      </w:r>
      <w:proofErr w:type="spellEnd"/>
      <w:r w:rsidRPr="006968AA">
        <w:rPr>
          <w:rFonts w:asciiTheme="minorHAnsi" w:hAnsiTheme="minorHAnsi" w:cstheme="minorHAnsi"/>
        </w:rPr>
        <w:t xml:space="preserve"> L, </w:t>
      </w:r>
      <w:proofErr w:type="spellStart"/>
      <w:r w:rsidRPr="006968AA">
        <w:rPr>
          <w:rFonts w:asciiTheme="minorHAnsi" w:hAnsiTheme="minorHAnsi" w:cstheme="minorHAnsi"/>
        </w:rPr>
        <w:t>Moorhouse</w:t>
      </w:r>
      <w:proofErr w:type="spellEnd"/>
      <w:r w:rsidRPr="006968AA">
        <w:rPr>
          <w:rFonts w:asciiTheme="minorHAnsi" w:hAnsiTheme="minorHAnsi" w:cstheme="minorHAnsi"/>
        </w:rPr>
        <w:t xml:space="preserve"> P, </w:t>
      </w:r>
      <w:proofErr w:type="spellStart"/>
      <w:r w:rsidRPr="006968AA">
        <w:rPr>
          <w:rFonts w:asciiTheme="minorHAnsi" w:hAnsiTheme="minorHAnsi" w:cstheme="minorHAnsi"/>
        </w:rPr>
        <w:t>Onder</w:t>
      </w:r>
      <w:proofErr w:type="spellEnd"/>
      <w:r w:rsidRPr="006968AA">
        <w:rPr>
          <w:rFonts w:asciiTheme="minorHAnsi" w:hAnsiTheme="minorHAnsi" w:cstheme="minorHAnsi"/>
        </w:rPr>
        <w:t xml:space="preserve"> G. (2018). </w:t>
      </w:r>
      <w:hyperlink r:id="rId16" w:history="1">
        <w:r w:rsidRPr="006968AA">
          <w:rPr>
            <w:rStyle w:val="Hyperlink0"/>
            <w:rFonts w:asciiTheme="minorHAnsi" w:hAnsiTheme="minorHAnsi" w:cstheme="minorHAnsi"/>
          </w:rPr>
          <w:t>International group for reducing inappropriate medication use and polypharmacy (IGRIMUP). Position statement and 10 recommendations for action</w:t>
        </w:r>
      </w:hyperlink>
      <w:r w:rsidRPr="006968AA">
        <w:rPr>
          <w:rFonts w:asciiTheme="minorHAnsi" w:hAnsiTheme="minorHAnsi" w:cstheme="minorHAnsi"/>
        </w:rPr>
        <w:t xml:space="preserve">. Drugs and Ageing, 35: 575-87. </w:t>
      </w:r>
      <w:proofErr w:type="spellStart"/>
      <w:r w:rsidRPr="006968AA">
        <w:rPr>
          <w:rFonts w:asciiTheme="minorHAnsi" w:hAnsiTheme="minorHAnsi" w:cstheme="minorHAnsi"/>
        </w:rPr>
        <w:t>Doi</w:t>
      </w:r>
      <w:proofErr w:type="spellEnd"/>
      <w:r w:rsidRPr="006968AA">
        <w:rPr>
          <w:rFonts w:asciiTheme="minorHAnsi" w:hAnsiTheme="minorHAnsi" w:cstheme="minorHAnsi"/>
        </w:rPr>
        <w:t xml:space="preserve">: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Murray M, Hsia Y, Glaser K, </w:t>
      </w:r>
      <w:proofErr w:type="spellStart"/>
      <w:r w:rsidRPr="006968AA">
        <w:rPr>
          <w:rFonts w:asciiTheme="minorHAnsi" w:hAnsiTheme="minorHAnsi" w:cstheme="minorHAnsi"/>
        </w:rPr>
        <w:t>Simonoff</w:t>
      </w:r>
      <w:proofErr w:type="spellEnd"/>
      <w:r w:rsidRPr="006968AA">
        <w:rPr>
          <w:rFonts w:asciiTheme="minorHAnsi" w:hAnsiTheme="minorHAnsi" w:cstheme="minorHAnsi"/>
        </w:rPr>
        <w:t xml:space="preserve"> E, Murphy D, </w:t>
      </w:r>
      <w:proofErr w:type="spellStart"/>
      <w:r w:rsidRPr="006968AA">
        <w:rPr>
          <w:rFonts w:asciiTheme="minorHAnsi" w:hAnsiTheme="minorHAnsi" w:cstheme="minorHAnsi"/>
        </w:rPr>
        <w:t>Asherson</w:t>
      </w:r>
      <w:proofErr w:type="spellEnd"/>
      <w:r w:rsidRPr="006968AA">
        <w:rPr>
          <w:rFonts w:asciiTheme="minorHAnsi" w:hAnsiTheme="minorHAnsi" w:cstheme="minorHAnsi"/>
        </w:rPr>
        <w:t xml:space="preserve"> P. (2014). Pharmacological treatments prescribed to people with autism spectrum disorder (ASD) in primary health care. Psychopharmacology, 231: 1011-21. DOI 10.1007/s00213-013-3140-7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lastRenderedPageBreak/>
        <w:t xml:space="preserve">NSW Health (2006). </w:t>
      </w:r>
      <w:hyperlink r:id="rId17" w:history="1">
        <w:r w:rsidRPr="006968AA">
          <w:rPr>
            <w:rStyle w:val="Hyperlink0"/>
            <w:rFonts w:asciiTheme="minorHAnsi" w:hAnsiTheme="minorHAnsi" w:cstheme="minorHAnsi"/>
          </w:rPr>
          <w:t>Health care in people with intellectual disability – Guidelines for general practitioners</w:t>
        </w:r>
      </w:hyperlink>
      <w:r w:rsidRPr="006968AA">
        <w:rPr>
          <w:rFonts w:asciiTheme="minorHAnsi" w:hAnsiTheme="minorHAnsi" w:cstheme="minorHAnsi"/>
        </w:rPr>
        <w:t xml:space="preserve">.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O’Dwyer</w:t>
      </w:r>
      <w:proofErr w:type="spellEnd"/>
      <w:r w:rsidRPr="006968AA">
        <w:rPr>
          <w:rFonts w:asciiTheme="minorHAnsi" w:hAnsiTheme="minorHAnsi" w:cstheme="minorHAnsi"/>
        </w:rPr>
        <w:t xml:space="preserve"> M, </w:t>
      </w:r>
      <w:proofErr w:type="spellStart"/>
      <w:r w:rsidRPr="006968AA">
        <w:rPr>
          <w:rFonts w:asciiTheme="minorHAnsi" w:hAnsiTheme="minorHAnsi" w:cstheme="minorHAnsi"/>
        </w:rPr>
        <w:t>Peklar</w:t>
      </w:r>
      <w:proofErr w:type="spellEnd"/>
      <w:r w:rsidRPr="006968AA">
        <w:rPr>
          <w:rFonts w:asciiTheme="minorHAnsi" w:hAnsiTheme="minorHAnsi" w:cstheme="minorHAnsi"/>
        </w:rPr>
        <w:t xml:space="preserve"> J, </w:t>
      </w:r>
      <w:proofErr w:type="spellStart"/>
      <w:r w:rsidRPr="006968AA">
        <w:rPr>
          <w:rFonts w:asciiTheme="minorHAnsi" w:hAnsiTheme="minorHAnsi" w:cstheme="minorHAnsi"/>
        </w:rPr>
        <w:t>McCallion</w:t>
      </w:r>
      <w:proofErr w:type="spellEnd"/>
      <w:r w:rsidRPr="006968AA">
        <w:rPr>
          <w:rFonts w:asciiTheme="minorHAnsi" w:hAnsiTheme="minorHAnsi" w:cstheme="minorHAnsi"/>
        </w:rPr>
        <w:t xml:space="preserve"> P, McCarron M, Henman M. (2016). Factors associated with polypharmacy and excessive polypharmacy in older people with intellectual disability differ from the general population: a cross-sectional observational nationwide study. British Medical Journal Open 6: e010505. </w:t>
      </w:r>
      <w:proofErr w:type="gramStart"/>
      <w:r w:rsidRPr="006968AA">
        <w:rPr>
          <w:rFonts w:asciiTheme="minorHAnsi" w:hAnsiTheme="minorHAnsi" w:cstheme="minorHAnsi"/>
        </w:rPr>
        <w:t>doi:</w:t>
      </w:r>
      <w:proofErr w:type="gramEnd"/>
      <w:r w:rsidRPr="006968AA">
        <w:rPr>
          <w:rFonts w:asciiTheme="minorHAnsi" w:hAnsiTheme="minorHAnsi" w:cstheme="minorHAnsi"/>
        </w:rPr>
        <w:t>10.1136/ bmjopen-2015-010505</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Rashed</w:t>
      </w:r>
      <w:proofErr w:type="spellEnd"/>
      <w:r w:rsidRPr="006968AA">
        <w:rPr>
          <w:rFonts w:asciiTheme="minorHAnsi" w:hAnsiTheme="minorHAnsi" w:cstheme="minorHAnsi"/>
        </w:rPr>
        <w:t xml:space="preserve"> A, Wong I, </w:t>
      </w:r>
      <w:proofErr w:type="spellStart"/>
      <w:r w:rsidRPr="006968AA">
        <w:rPr>
          <w:rFonts w:asciiTheme="minorHAnsi" w:hAnsiTheme="minorHAnsi" w:cstheme="minorHAnsi"/>
        </w:rPr>
        <w:t>Cranswick</w:t>
      </w:r>
      <w:proofErr w:type="spellEnd"/>
      <w:r w:rsidRPr="006968AA">
        <w:rPr>
          <w:rFonts w:asciiTheme="minorHAnsi" w:hAnsiTheme="minorHAnsi" w:cstheme="minorHAnsi"/>
        </w:rPr>
        <w:t xml:space="preserve"> N, Tomlin S, </w:t>
      </w:r>
      <w:proofErr w:type="spellStart"/>
      <w:r w:rsidRPr="006968AA">
        <w:rPr>
          <w:rFonts w:asciiTheme="minorHAnsi" w:hAnsiTheme="minorHAnsi" w:cstheme="minorHAnsi"/>
        </w:rPr>
        <w:t>Rascher</w:t>
      </w:r>
      <w:proofErr w:type="spellEnd"/>
      <w:r w:rsidRPr="006968AA">
        <w:rPr>
          <w:rFonts w:asciiTheme="minorHAnsi" w:hAnsiTheme="minorHAnsi" w:cstheme="minorHAnsi"/>
        </w:rPr>
        <w:t xml:space="preserve"> W, </w:t>
      </w:r>
      <w:proofErr w:type="spellStart"/>
      <w:r w:rsidRPr="006968AA">
        <w:rPr>
          <w:rFonts w:asciiTheme="minorHAnsi" w:hAnsiTheme="minorHAnsi" w:cstheme="minorHAnsi"/>
        </w:rPr>
        <w:t>Neubert</w:t>
      </w:r>
      <w:proofErr w:type="spellEnd"/>
      <w:r w:rsidRPr="006968AA">
        <w:rPr>
          <w:rFonts w:asciiTheme="minorHAnsi" w:hAnsiTheme="minorHAnsi" w:cstheme="minorHAnsi"/>
        </w:rPr>
        <w:t xml:space="preserve"> A. (2012). Risk factors associated with adverse drug reactions in hospitalised children: international multicentre study. European Journal of Clinical Pharmacology, 68: 801-10.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Saldana S, </w:t>
      </w:r>
      <w:proofErr w:type="spellStart"/>
      <w:r w:rsidRPr="006968AA">
        <w:rPr>
          <w:rFonts w:asciiTheme="minorHAnsi" w:hAnsiTheme="minorHAnsi" w:cstheme="minorHAnsi"/>
        </w:rPr>
        <w:t>Keeshin</w:t>
      </w:r>
      <w:proofErr w:type="spellEnd"/>
      <w:r w:rsidRPr="006968AA">
        <w:rPr>
          <w:rFonts w:asciiTheme="minorHAnsi" w:hAnsiTheme="minorHAnsi" w:cstheme="minorHAnsi"/>
        </w:rPr>
        <w:t xml:space="preserve"> B, </w:t>
      </w:r>
      <w:proofErr w:type="spellStart"/>
      <w:r w:rsidRPr="006968AA">
        <w:rPr>
          <w:rFonts w:asciiTheme="minorHAnsi" w:hAnsiTheme="minorHAnsi" w:cstheme="minorHAnsi"/>
        </w:rPr>
        <w:t>Wehry</w:t>
      </w:r>
      <w:proofErr w:type="spellEnd"/>
      <w:r w:rsidRPr="006968AA">
        <w:rPr>
          <w:rFonts w:asciiTheme="minorHAnsi" w:hAnsiTheme="minorHAnsi" w:cstheme="minorHAnsi"/>
        </w:rPr>
        <w:t xml:space="preserve"> A, </w:t>
      </w:r>
      <w:proofErr w:type="spellStart"/>
      <w:r w:rsidRPr="006968AA">
        <w:rPr>
          <w:rFonts w:asciiTheme="minorHAnsi" w:hAnsiTheme="minorHAnsi" w:cstheme="minorHAnsi"/>
        </w:rPr>
        <w:t>Blom</w:t>
      </w:r>
      <w:proofErr w:type="spellEnd"/>
      <w:r w:rsidRPr="006968AA">
        <w:rPr>
          <w:rFonts w:asciiTheme="minorHAnsi" w:hAnsiTheme="minorHAnsi" w:cstheme="minorHAnsi"/>
        </w:rPr>
        <w:t xml:space="preserve"> T, Sorter M, </w:t>
      </w:r>
      <w:proofErr w:type="spellStart"/>
      <w:r w:rsidRPr="006968AA">
        <w:rPr>
          <w:rFonts w:asciiTheme="minorHAnsi" w:hAnsiTheme="minorHAnsi" w:cstheme="minorHAnsi"/>
        </w:rPr>
        <w:t>DelBello</w:t>
      </w:r>
      <w:proofErr w:type="spellEnd"/>
      <w:r w:rsidRPr="006968AA">
        <w:rPr>
          <w:rFonts w:asciiTheme="minorHAnsi" w:hAnsiTheme="minorHAnsi" w:cstheme="minorHAnsi"/>
        </w:rPr>
        <w:t xml:space="preserve"> M. et al (2014). Antipsychotic polypharmacy in children and adolescents at discharge from psychiatric hospitalization. Pharmacotherapy, 34 (8): 836-44.</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Saucedo R, Liu X, </w:t>
      </w:r>
      <w:proofErr w:type="spellStart"/>
      <w:r w:rsidRPr="006968AA">
        <w:rPr>
          <w:rFonts w:asciiTheme="minorHAnsi" w:hAnsiTheme="minorHAnsi" w:cstheme="minorHAnsi"/>
        </w:rPr>
        <w:t>Hincapie</w:t>
      </w:r>
      <w:proofErr w:type="spellEnd"/>
      <w:r w:rsidRPr="006968AA">
        <w:rPr>
          <w:rFonts w:asciiTheme="minorHAnsi" w:hAnsiTheme="minorHAnsi" w:cstheme="minorHAnsi"/>
        </w:rPr>
        <w:t xml:space="preserve">-Castillo J, Zambrano D, Bussing R, </w:t>
      </w:r>
      <w:proofErr w:type="spellStart"/>
      <w:r w:rsidRPr="006968AA">
        <w:rPr>
          <w:rFonts w:asciiTheme="minorHAnsi" w:hAnsiTheme="minorHAnsi" w:cstheme="minorHAnsi"/>
        </w:rPr>
        <w:t>Winterstein</w:t>
      </w:r>
      <w:proofErr w:type="spellEnd"/>
      <w:r w:rsidRPr="006968AA">
        <w:rPr>
          <w:rFonts w:asciiTheme="minorHAnsi" w:hAnsiTheme="minorHAnsi" w:cstheme="minorHAnsi"/>
        </w:rPr>
        <w:t xml:space="preserve"> A. (2018). Prevalence, time trends, and utilization patterns of psychotropic polypharmacy among </w:t>
      </w:r>
      <w:proofErr w:type="spellStart"/>
      <w:r w:rsidRPr="006968AA">
        <w:rPr>
          <w:rFonts w:asciiTheme="minorHAnsi" w:hAnsiTheme="minorHAnsi" w:cstheme="minorHAnsi"/>
        </w:rPr>
        <w:t>pediatric</w:t>
      </w:r>
      <w:proofErr w:type="spellEnd"/>
      <w:r w:rsidRPr="006968AA">
        <w:rPr>
          <w:rFonts w:asciiTheme="minorHAnsi" w:hAnsiTheme="minorHAnsi" w:cstheme="minorHAnsi"/>
        </w:rPr>
        <w:t xml:space="preserve"> Medicaid beneficiaries 1999-2010. Psychiatric Services, 69: 919-26.</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Shankar R, Wilcock M. (2018). Improving knowledge of psychotropic prescribing in people with intellectual disability in primary care. </w:t>
      </w:r>
      <w:proofErr w:type="spellStart"/>
      <w:r w:rsidRPr="006968AA">
        <w:rPr>
          <w:rFonts w:asciiTheme="minorHAnsi" w:hAnsiTheme="minorHAnsi" w:cstheme="minorHAnsi"/>
        </w:rPr>
        <w:t>PLoS</w:t>
      </w:r>
      <w:proofErr w:type="spellEnd"/>
      <w:r w:rsidRPr="006968AA">
        <w:rPr>
          <w:rFonts w:asciiTheme="minorHAnsi" w:hAnsiTheme="minorHAnsi" w:cstheme="minorHAnsi"/>
        </w:rPr>
        <w:t xml:space="preserve"> ONE 13 (9): e0204178</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Spencer D, Marshall J, Post B, </w:t>
      </w:r>
      <w:proofErr w:type="spellStart"/>
      <w:r w:rsidRPr="006968AA">
        <w:rPr>
          <w:rFonts w:asciiTheme="minorHAnsi" w:hAnsiTheme="minorHAnsi" w:cstheme="minorHAnsi"/>
        </w:rPr>
        <w:t>Kulakodlu</w:t>
      </w:r>
      <w:proofErr w:type="spellEnd"/>
      <w:r w:rsidRPr="006968AA">
        <w:rPr>
          <w:rFonts w:asciiTheme="minorHAnsi" w:hAnsiTheme="minorHAnsi" w:cstheme="minorHAnsi"/>
        </w:rPr>
        <w:t xml:space="preserve"> M, </w:t>
      </w:r>
      <w:proofErr w:type="spellStart"/>
      <w:r w:rsidRPr="006968AA">
        <w:rPr>
          <w:rFonts w:asciiTheme="minorHAnsi" w:hAnsiTheme="minorHAnsi" w:cstheme="minorHAnsi"/>
        </w:rPr>
        <w:t>Newshaffer</w:t>
      </w:r>
      <w:proofErr w:type="spellEnd"/>
      <w:r w:rsidRPr="006968AA">
        <w:rPr>
          <w:rFonts w:asciiTheme="minorHAnsi" w:hAnsiTheme="minorHAnsi" w:cstheme="minorHAnsi"/>
        </w:rPr>
        <w:t xml:space="preserve"> C, </w:t>
      </w:r>
      <w:proofErr w:type="spellStart"/>
      <w:r w:rsidRPr="006968AA">
        <w:rPr>
          <w:rFonts w:asciiTheme="minorHAnsi" w:hAnsiTheme="minorHAnsi" w:cstheme="minorHAnsi"/>
        </w:rPr>
        <w:t>Dennen</w:t>
      </w:r>
      <w:proofErr w:type="spellEnd"/>
      <w:r w:rsidRPr="006968AA">
        <w:rPr>
          <w:rFonts w:asciiTheme="minorHAnsi" w:hAnsiTheme="minorHAnsi" w:cstheme="minorHAnsi"/>
        </w:rPr>
        <w:t xml:space="preserve"> T. (2013). Psychotropic medication use and polypharmacy in children with autism spectrum disorders. </w:t>
      </w:r>
      <w:proofErr w:type="spellStart"/>
      <w:r w:rsidRPr="006968AA">
        <w:rPr>
          <w:rFonts w:asciiTheme="minorHAnsi" w:hAnsiTheme="minorHAnsi" w:cstheme="minorHAnsi"/>
        </w:rPr>
        <w:t>Pediatrics</w:t>
      </w:r>
      <w:proofErr w:type="spellEnd"/>
      <w:r w:rsidRPr="006968AA">
        <w:rPr>
          <w:rFonts w:asciiTheme="minorHAnsi" w:hAnsiTheme="minorHAnsi" w:cstheme="minorHAnsi"/>
        </w:rPr>
        <w:t xml:space="preserve">, 132: 833-40.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Scheifes</w:t>
      </w:r>
      <w:proofErr w:type="spellEnd"/>
      <w:r w:rsidRPr="006968AA">
        <w:rPr>
          <w:rFonts w:asciiTheme="minorHAnsi" w:hAnsiTheme="minorHAnsi" w:cstheme="minorHAnsi"/>
        </w:rPr>
        <w:t xml:space="preserve"> A, </w:t>
      </w:r>
      <w:proofErr w:type="spellStart"/>
      <w:r w:rsidRPr="006968AA">
        <w:rPr>
          <w:rFonts w:asciiTheme="minorHAnsi" w:hAnsiTheme="minorHAnsi" w:cstheme="minorHAnsi"/>
        </w:rPr>
        <w:t>Walraven</w:t>
      </w:r>
      <w:proofErr w:type="spellEnd"/>
      <w:r w:rsidRPr="006968AA">
        <w:rPr>
          <w:rFonts w:asciiTheme="minorHAnsi" w:hAnsiTheme="minorHAnsi" w:cstheme="minorHAnsi"/>
        </w:rPr>
        <w:t xml:space="preserve"> S, </w:t>
      </w:r>
      <w:proofErr w:type="spellStart"/>
      <w:r w:rsidRPr="006968AA">
        <w:rPr>
          <w:rFonts w:asciiTheme="minorHAnsi" w:hAnsiTheme="minorHAnsi" w:cstheme="minorHAnsi"/>
        </w:rPr>
        <w:t>Stolker</w:t>
      </w:r>
      <w:proofErr w:type="spellEnd"/>
      <w:r w:rsidRPr="006968AA">
        <w:rPr>
          <w:rFonts w:asciiTheme="minorHAnsi" w:hAnsiTheme="minorHAnsi" w:cstheme="minorHAnsi"/>
        </w:rPr>
        <w:t xml:space="preserve"> JJ, </w:t>
      </w:r>
      <w:proofErr w:type="spellStart"/>
      <w:r w:rsidRPr="006968AA">
        <w:rPr>
          <w:rFonts w:asciiTheme="minorHAnsi" w:hAnsiTheme="minorHAnsi" w:cstheme="minorHAnsi"/>
        </w:rPr>
        <w:t>Henk</w:t>
      </w:r>
      <w:proofErr w:type="spellEnd"/>
      <w:r w:rsidRPr="006968AA">
        <w:rPr>
          <w:rFonts w:asciiTheme="minorHAnsi" w:hAnsiTheme="minorHAnsi" w:cstheme="minorHAnsi"/>
        </w:rPr>
        <w:t xml:space="preserve"> L.I. Nijman HLI, Egberts TCG, </w:t>
      </w:r>
      <w:proofErr w:type="spellStart"/>
      <w:r w:rsidRPr="006968AA">
        <w:rPr>
          <w:rFonts w:asciiTheme="minorHAnsi" w:hAnsiTheme="minorHAnsi" w:cstheme="minorHAnsi"/>
        </w:rPr>
        <w:t>Heerdink</w:t>
      </w:r>
      <w:proofErr w:type="spellEnd"/>
      <w:r w:rsidRPr="006968AA">
        <w:rPr>
          <w:rFonts w:asciiTheme="minorHAnsi" w:hAnsiTheme="minorHAnsi" w:cstheme="minorHAnsi"/>
        </w:rPr>
        <w:t xml:space="preserve"> ER (2016). Adverse events and the relation with quality of life in adults with intellectual disability and challenging behaviour using psychotropic drugs. Research in Developmental Disabilities, 49-50: 13-21.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Schoufour</w:t>
      </w:r>
      <w:proofErr w:type="spellEnd"/>
      <w:r w:rsidRPr="006968AA">
        <w:rPr>
          <w:rFonts w:asciiTheme="minorHAnsi" w:hAnsiTheme="minorHAnsi" w:cstheme="minorHAnsi"/>
        </w:rPr>
        <w:t xml:space="preserve">, J. D., </w:t>
      </w:r>
      <w:proofErr w:type="spellStart"/>
      <w:r w:rsidRPr="006968AA">
        <w:rPr>
          <w:rFonts w:asciiTheme="minorHAnsi" w:hAnsiTheme="minorHAnsi" w:cstheme="minorHAnsi"/>
        </w:rPr>
        <w:t>Oppewal</w:t>
      </w:r>
      <w:proofErr w:type="spellEnd"/>
      <w:r w:rsidRPr="006968AA">
        <w:rPr>
          <w:rFonts w:asciiTheme="minorHAnsi" w:hAnsiTheme="minorHAnsi" w:cstheme="minorHAnsi"/>
        </w:rPr>
        <w:t xml:space="preserve">, A., van der </w:t>
      </w:r>
      <w:proofErr w:type="spellStart"/>
      <w:r w:rsidRPr="006968AA">
        <w:rPr>
          <w:rFonts w:asciiTheme="minorHAnsi" w:hAnsiTheme="minorHAnsi" w:cstheme="minorHAnsi"/>
        </w:rPr>
        <w:t>Maarl</w:t>
      </w:r>
      <w:proofErr w:type="spellEnd"/>
      <w:r w:rsidRPr="006968AA">
        <w:rPr>
          <w:rFonts w:asciiTheme="minorHAnsi" w:hAnsiTheme="minorHAnsi" w:cstheme="minorHAnsi"/>
        </w:rPr>
        <w:t xml:space="preserve">, H. J. K., </w:t>
      </w:r>
      <w:proofErr w:type="spellStart"/>
      <w:r w:rsidRPr="006968AA">
        <w:rPr>
          <w:rFonts w:asciiTheme="minorHAnsi" w:hAnsiTheme="minorHAnsi" w:cstheme="minorHAnsi"/>
        </w:rPr>
        <w:t>Hermans</w:t>
      </w:r>
      <w:proofErr w:type="spellEnd"/>
      <w:r w:rsidRPr="006968AA">
        <w:rPr>
          <w:rFonts w:asciiTheme="minorHAnsi" w:hAnsiTheme="minorHAnsi" w:cstheme="minorHAnsi"/>
        </w:rPr>
        <w:t xml:space="preserve">, H., </w:t>
      </w:r>
      <w:proofErr w:type="spellStart"/>
      <w:r w:rsidRPr="006968AA">
        <w:rPr>
          <w:rFonts w:asciiTheme="minorHAnsi" w:hAnsiTheme="minorHAnsi" w:cstheme="minorHAnsi"/>
        </w:rPr>
        <w:t>Evenhuis</w:t>
      </w:r>
      <w:proofErr w:type="spellEnd"/>
      <w:r w:rsidRPr="006968AA">
        <w:rPr>
          <w:rFonts w:asciiTheme="minorHAnsi" w:hAnsiTheme="minorHAnsi" w:cstheme="minorHAnsi"/>
        </w:rPr>
        <w:t xml:space="preserve">, H. M., </w:t>
      </w:r>
      <w:proofErr w:type="spellStart"/>
      <w:r w:rsidRPr="006968AA">
        <w:rPr>
          <w:rFonts w:asciiTheme="minorHAnsi" w:hAnsiTheme="minorHAnsi" w:cstheme="minorHAnsi"/>
        </w:rPr>
        <w:t>Hilgenkamp</w:t>
      </w:r>
      <w:proofErr w:type="spellEnd"/>
      <w:r w:rsidRPr="006968AA">
        <w:rPr>
          <w:rFonts w:asciiTheme="minorHAnsi" w:hAnsiTheme="minorHAnsi" w:cstheme="minorHAnsi"/>
        </w:rPr>
        <w:t xml:space="preserve">, T. I. M., &amp; </w:t>
      </w:r>
      <w:proofErr w:type="spellStart"/>
      <w:r w:rsidRPr="006968AA">
        <w:rPr>
          <w:rFonts w:asciiTheme="minorHAnsi" w:hAnsiTheme="minorHAnsi" w:cstheme="minorHAnsi"/>
        </w:rPr>
        <w:t>Festen</w:t>
      </w:r>
      <w:proofErr w:type="spellEnd"/>
      <w:r w:rsidRPr="006968AA">
        <w:rPr>
          <w:rFonts w:asciiTheme="minorHAnsi" w:hAnsiTheme="minorHAnsi" w:cstheme="minorHAnsi"/>
        </w:rPr>
        <w:t xml:space="preserve">, D. A. (2018). </w:t>
      </w:r>
      <w:hyperlink r:id="rId18" w:history="1">
        <w:proofErr w:type="spellStart"/>
        <w:r w:rsidRPr="006968AA">
          <w:rPr>
            <w:rStyle w:val="Hyperlink0"/>
            <w:rFonts w:asciiTheme="minorHAnsi" w:hAnsiTheme="minorHAnsi" w:cstheme="minorHAnsi"/>
          </w:rPr>
          <w:t>Multimorbidity</w:t>
        </w:r>
        <w:proofErr w:type="spellEnd"/>
        <w:r w:rsidRPr="006968AA">
          <w:rPr>
            <w:rStyle w:val="Hyperlink0"/>
            <w:rFonts w:asciiTheme="minorHAnsi" w:hAnsiTheme="minorHAnsi" w:cstheme="minorHAnsi"/>
          </w:rPr>
          <w:t xml:space="preserve"> and polypharmacy are independently associated with mortality in older people with intellectual disabilities</w:t>
        </w:r>
      </w:hyperlink>
      <w:r w:rsidRPr="006968AA">
        <w:rPr>
          <w:rFonts w:asciiTheme="minorHAnsi" w:hAnsiTheme="minorHAnsi" w:cstheme="minorHAnsi"/>
        </w:rPr>
        <w:t xml:space="preserve">: A 5‐year follow‐up from the HA‐ID study. American Journal on Intellectual and Developmental Disabilities, 123(1), 72–82.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Sullivan W, </w:t>
      </w:r>
      <w:proofErr w:type="spellStart"/>
      <w:r w:rsidRPr="006968AA">
        <w:rPr>
          <w:rFonts w:asciiTheme="minorHAnsi" w:hAnsiTheme="minorHAnsi" w:cstheme="minorHAnsi"/>
        </w:rPr>
        <w:t>Diepstra</w:t>
      </w:r>
      <w:proofErr w:type="spellEnd"/>
      <w:r w:rsidRPr="006968AA">
        <w:rPr>
          <w:rFonts w:asciiTheme="minorHAnsi" w:hAnsiTheme="minorHAnsi" w:cstheme="minorHAnsi"/>
        </w:rPr>
        <w:t xml:space="preserve"> H, </w:t>
      </w:r>
      <w:proofErr w:type="spellStart"/>
      <w:r w:rsidRPr="006968AA">
        <w:rPr>
          <w:rFonts w:asciiTheme="minorHAnsi" w:hAnsiTheme="minorHAnsi" w:cstheme="minorHAnsi"/>
        </w:rPr>
        <w:t>Heng</w:t>
      </w:r>
      <w:proofErr w:type="spellEnd"/>
      <w:r w:rsidRPr="006968AA">
        <w:rPr>
          <w:rFonts w:asciiTheme="minorHAnsi" w:hAnsiTheme="minorHAnsi" w:cstheme="minorHAnsi"/>
        </w:rPr>
        <w:t xml:space="preserve"> J, Ally S, Bradley E, </w:t>
      </w:r>
      <w:proofErr w:type="spellStart"/>
      <w:r w:rsidRPr="006968AA">
        <w:rPr>
          <w:rFonts w:asciiTheme="minorHAnsi" w:hAnsiTheme="minorHAnsi" w:cstheme="minorHAnsi"/>
        </w:rPr>
        <w:t>Casson</w:t>
      </w:r>
      <w:proofErr w:type="spellEnd"/>
      <w:r w:rsidRPr="006968AA">
        <w:rPr>
          <w:rFonts w:asciiTheme="minorHAnsi" w:hAnsiTheme="minorHAnsi" w:cstheme="minorHAnsi"/>
        </w:rPr>
        <w:t xml:space="preserve"> I. et al. (2018). Primary care of adults with intellectual and developmental disabilities – 2018 Canadian consensus guidelines. Canadian Family Physician, 64: 254-79.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Tracy J, Davis R, </w:t>
      </w:r>
      <w:proofErr w:type="spellStart"/>
      <w:r w:rsidRPr="006968AA">
        <w:rPr>
          <w:rFonts w:asciiTheme="minorHAnsi" w:hAnsiTheme="minorHAnsi" w:cstheme="minorHAnsi"/>
        </w:rPr>
        <w:t>Macgibbon</w:t>
      </w:r>
      <w:proofErr w:type="spellEnd"/>
      <w:r w:rsidRPr="006968AA">
        <w:rPr>
          <w:rFonts w:asciiTheme="minorHAnsi" w:hAnsiTheme="minorHAnsi" w:cstheme="minorHAnsi"/>
        </w:rPr>
        <w:t xml:space="preserve"> P, Graham M, MacDonald R, </w:t>
      </w:r>
      <w:proofErr w:type="spellStart"/>
      <w:r w:rsidRPr="006968AA">
        <w:rPr>
          <w:rFonts w:asciiTheme="minorHAnsi" w:hAnsiTheme="minorHAnsi" w:cstheme="minorHAnsi"/>
        </w:rPr>
        <w:t>Leuner</w:t>
      </w:r>
      <w:proofErr w:type="spellEnd"/>
      <w:r w:rsidRPr="006968AA">
        <w:rPr>
          <w:rFonts w:asciiTheme="minorHAnsi" w:hAnsiTheme="minorHAnsi" w:cstheme="minorHAnsi"/>
        </w:rPr>
        <w:t xml:space="preserve"> B. 2015. </w:t>
      </w:r>
      <w:hyperlink r:id="rId19" w:history="1">
        <w:r w:rsidRPr="006968AA">
          <w:rPr>
            <w:rStyle w:val="Hyperlink0"/>
            <w:rFonts w:asciiTheme="minorHAnsi" w:hAnsiTheme="minorHAnsi" w:cstheme="minorHAnsi"/>
          </w:rPr>
          <w:t>Medication Review Guide for GPs: A Guide for GPs on the use of psychoactive medications for adults with intellectual disability who present with behaviours of concern</w:t>
        </w:r>
      </w:hyperlink>
      <w:r w:rsidRPr="006968AA">
        <w:rPr>
          <w:rFonts w:asciiTheme="minorHAnsi" w:hAnsiTheme="minorHAnsi" w:cstheme="minorHAnsi"/>
        </w:rPr>
        <w:t xml:space="preserve">. Melbourne: Centre for Developmental Disability Health Victoria (CDDHV).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Troller J, Salomon C, Franklin C. (2016). </w:t>
      </w:r>
      <w:hyperlink r:id="rId20" w:history="1">
        <w:r w:rsidRPr="006968AA">
          <w:rPr>
            <w:rStyle w:val="Hyperlink0"/>
            <w:rFonts w:asciiTheme="minorHAnsi" w:hAnsiTheme="minorHAnsi" w:cstheme="minorHAnsi"/>
          </w:rPr>
          <w:t>Prescribing psychotropic drugs to adults with an intellectual disability</w:t>
        </w:r>
      </w:hyperlink>
      <w:r w:rsidRPr="006968AA">
        <w:rPr>
          <w:rFonts w:asciiTheme="minorHAnsi" w:hAnsiTheme="minorHAnsi" w:cstheme="minorHAnsi"/>
        </w:rPr>
        <w:t xml:space="preserve">. Australian Prescriber. </w:t>
      </w:r>
      <w:proofErr w:type="gramStart"/>
      <w:r w:rsidRPr="006968AA">
        <w:rPr>
          <w:rFonts w:asciiTheme="minorHAnsi" w:hAnsiTheme="minorHAnsi" w:cstheme="minorHAnsi"/>
        </w:rPr>
        <w:t>39</w:t>
      </w:r>
      <w:proofErr w:type="gramEnd"/>
      <w:r w:rsidRPr="006968AA">
        <w:rPr>
          <w:rFonts w:asciiTheme="minorHAnsi" w:hAnsiTheme="minorHAnsi" w:cstheme="minorHAnsi"/>
        </w:rPr>
        <w:t xml:space="preserve"> (4): 126-30.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t>Tsiouris</w:t>
      </w:r>
      <w:proofErr w:type="spellEnd"/>
      <w:r w:rsidRPr="006968AA">
        <w:rPr>
          <w:rFonts w:asciiTheme="minorHAnsi" w:hAnsiTheme="minorHAnsi" w:cstheme="minorHAnsi"/>
        </w:rPr>
        <w:t xml:space="preserve"> J. (2010). Pharmacotherapy for aggressive behaviours in persons with intellectual disabilities: treatment or mistreatment? Journal of Intellectual Disability Research. </w:t>
      </w:r>
      <w:proofErr w:type="gramStart"/>
      <w:r w:rsidRPr="006968AA">
        <w:rPr>
          <w:rFonts w:asciiTheme="minorHAnsi" w:hAnsiTheme="minorHAnsi" w:cstheme="minorHAnsi"/>
        </w:rPr>
        <w:t>54</w:t>
      </w:r>
      <w:proofErr w:type="gramEnd"/>
      <w:r w:rsidRPr="006968AA">
        <w:rPr>
          <w:rFonts w:asciiTheme="minorHAnsi" w:hAnsiTheme="minorHAnsi" w:cstheme="minorHAnsi"/>
        </w:rPr>
        <w:t xml:space="preserve"> (1). </w:t>
      </w:r>
      <w:proofErr w:type="spellStart"/>
      <w:proofErr w:type="gramStart"/>
      <w:r w:rsidRPr="006968AA">
        <w:rPr>
          <w:rFonts w:asciiTheme="minorHAnsi" w:hAnsiTheme="minorHAnsi" w:cstheme="minorHAnsi"/>
        </w:rPr>
        <w:t>doi</w:t>
      </w:r>
      <w:proofErr w:type="spellEnd"/>
      <w:proofErr w:type="gramEnd"/>
      <w:r w:rsidRPr="006968AA">
        <w:rPr>
          <w:rFonts w:asciiTheme="minorHAnsi" w:hAnsiTheme="minorHAnsi" w:cstheme="minorHAnsi"/>
        </w:rPr>
        <w:t>: 10.1111/j.1365-2788.2009.01232.x</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proofErr w:type="spellStart"/>
      <w:r w:rsidRPr="006968AA">
        <w:rPr>
          <w:rFonts w:asciiTheme="minorHAnsi" w:hAnsiTheme="minorHAnsi" w:cstheme="minorHAnsi"/>
        </w:rPr>
        <w:lastRenderedPageBreak/>
        <w:t>Tsiouris</w:t>
      </w:r>
      <w:proofErr w:type="spellEnd"/>
      <w:r w:rsidRPr="006968AA">
        <w:rPr>
          <w:rFonts w:asciiTheme="minorHAnsi" w:hAnsiTheme="minorHAnsi" w:cstheme="minorHAnsi"/>
        </w:rPr>
        <w:t xml:space="preserve"> J. (2012). Prevalence of psychotropic drug use in adults with intellectual disability: Positive and negative findings from a </w:t>
      </w:r>
      <w:proofErr w:type="gramStart"/>
      <w:r w:rsidRPr="006968AA">
        <w:rPr>
          <w:rFonts w:asciiTheme="minorHAnsi" w:hAnsiTheme="minorHAnsi" w:cstheme="minorHAnsi"/>
        </w:rPr>
        <w:t>large scale</w:t>
      </w:r>
      <w:proofErr w:type="gramEnd"/>
      <w:r w:rsidRPr="006968AA">
        <w:rPr>
          <w:rFonts w:asciiTheme="minorHAnsi" w:hAnsiTheme="minorHAnsi" w:cstheme="minorHAnsi"/>
        </w:rPr>
        <w:t xml:space="preserve"> study. Journal of Autism and Developmental Disorders. </w:t>
      </w:r>
      <w:proofErr w:type="gramStart"/>
      <w:r w:rsidRPr="006968AA">
        <w:rPr>
          <w:rFonts w:asciiTheme="minorHAnsi" w:hAnsiTheme="minorHAnsi" w:cstheme="minorHAnsi"/>
        </w:rPr>
        <w:t>43</w:t>
      </w:r>
      <w:proofErr w:type="gramEnd"/>
      <w:r w:rsidRPr="006968AA">
        <w:rPr>
          <w:rFonts w:asciiTheme="minorHAnsi" w:hAnsiTheme="minorHAnsi" w:cstheme="minorHAnsi"/>
        </w:rPr>
        <w:t xml:space="preserve">: 719-31. </w:t>
      </w:r>
      <w:proofErr w:type="spellStart"/>
      <w:r w:rsidRPr="006968AA">
        <w:rPr>
          <w:rFonts w:asciiTheme="minorHAnsi" w:hAnsiTheme="minorHAnsi" w:cstheme="minorHAnsi"/>
        </w:rPr>
        <w:t>Doi</w:t>
      </w:r>
      <w:proofErr w:type="spellEnd"/>
      <w:r w:rsidRPr="006968AA">
        <w:rPr>
          <w:rFonts w:asciiTheme="minorHAnsi" w:hAnsiTheme="minorHAnsi" w:cstheme="minorHAnsi"/>
        </w:rPr>
        <w:t>: 0.1007/s10803-012-1617-6</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Victorian (DHHS) Department of Health and Human Services (2013). </w:t>
      </w:r>
      <w:hyperlink r:id="rId21" w:history="1">
        <w:r w:rsidRPr="006968AA">
          <w:rPr>
            <w:rStyle w:val="Hyperlink0"/>
            <w:rFonts w:asciiTheme="minorHAnsi" w:hAnsiTheme="minorHAnsi" w:cstheme="minorHAnsi"/>
          </w:rPr>
          <w:t>Health survey of people with an intellectual disability 2013</w:t>
        </w:r>
      </w:hyperlink>
      <w:r w:rsidRPr="006968AA">
        <w:rPr>
          <w:rFonts w:asciiTheme="minorHAnsi" w:hAnsiTheme="minorHAnsi" w:cstheme="minorHAnsi"/>
        </w:rPr>
        <w:t xml:space="preserve">. </w:t>
      </w:r>
    </w:p>
    <w:p w:rsidR="00FE1A5E" w:rsidRPr="006968AA" w:rsidRDefault="00FE1A5E" w:rsidP="00FE1A5E">
      <w:pPr>
        <w:pBdr>
          <w:top w:val="nil"/>
          <w:left w:val="nil"/>
          <w:bottom w:val="nil"/>
          <w:right w:val="nil"/>
          <w:between w:val="nil"/>
          <w:bar w:val="nil"/>
        </w:pBdr>
        <w:suppressAutoHyphens/>
        <w:spacing w:before="120" w:after="120"/>
        <w:rPr>
          <w:rFonts w:asciiTheme="minorHAnsi" w:hAnsiTheme="minorHAnsi" w:cstheme="minorHAnsi"/>
        </w:rPr>
      </w:pPr>
      <w:r w:rsidRPr="006968AA">
        <w:rPr>
          <w:rFonts w:asciiTheme="minorHAnsi" w:hAnsiTheme="minorHAnsi" w:cstheme="minorHAnsi"/>
        </w:rPr>
        <w:t xml:space="preserve">World Health Organization (2019). </w:t>
      </w:r>
      <w:hyperlink r:id="rId22" w:history="1">
        <w:r w:rsidRPr="006968AA">
          <w:rPr>
            <w:rStyle w:val="Hyperlink0"/>
            <w:rFonts w:asciiTheme="minorHAnsi" w:hAnsiTheme="minorHAnsi" w:cstheme="minorHAnsi"/>
          </w:rPr>
          <w:t>Medication safety in polypharmacy</w:t>
        </w:r>
      </w:hyperlink>
      <w:r w:rsidRPr="006968AA">
        <w:rPr>
          <w:rFonts w:asciiTheme="minorHAnsi" w:hAnsiTheme="minorHAnsi" w:cstheme="minorHAnsi"/>
        </w:rPr>
        <w:t xml:space="preserve">. </w:t>
      </w:r>
    </w:p>
    <w:p w:rsidR="0067621B" w:rsidRPr="006968AA" w:rsidRDefault="0067621B" w:rsidP="0067621B">
      <w:pPr>
        <w:pStyle w:val="Heading1"/>
        <w:pBdr>
          <w:top w:val="single" w:sz="36" w:space="1" w:color="5F2E74" w:themeColor="accent1"/>
        </w:pBdr>
        <w:rPr>
          <w:rFonts w:eastAsia="Calibri" w:cs="Calibri"/>
        </w:rPr>
      </w:pPr>
      <w:r w:rsidRPr="006968AA">
        <w:t>General enquiries</w:t>
      </w:r>
    </w:p>
    <w:p w:rsidR="0067621B" w:rsidRPr="006968AA" w:rsidRDefault="0067621B" w:rsidP="00322DE3">
      <w:pPr>
        <w:pStyle w:val="Body"/>
        <w:spacing w:after="120" w:line="276" w:lineRule="auto"/>
        <w:ind w:right="-34"/>
        <w:rPr>
          <w:sz w:val="22"/>
          <w:szCs w:val="22"/>
          <w:lang w:val="en-AU"/>
        </w:rPr>
      </w:pPr>
      <w:r w:rsidRPr="006968AA">
        <w:rPr>
          <w:b/>
          <w:bCs/>
          <w:color w:val="auto"/>
          <w:sz w:val="22"/>
          <w:szCs w:val="22"/>
          <w:lang w:val="en-AU"/>
        </w:rPr>
        <w:t xml:space="preserve">Call: 1800 035 544 </w:t>
      </w:r>
      <w:r w:rsidRPr="006968AA">
        <w:rPr>
          <w:sz w:val="22"/>
          <w:szCs w:val="22"/>
          <w:lang w:val="en-AU"/>
        </w:rPr>
        <w:t xml:space="preserve">(free call from landlines). Our contact centre is open 9.00am to 4.30pm in the NT, </w:t>
      </w:r>
      <w:r w:rsidR="00322DE3" w:rsidRPr="006968AA">
        <w:rPr>
          <w:sz w:val="22"/>
          <w:szCs w:val="22"/>
          <w:lang w:val="en-AU"/>
        </w:rPr>
        <w:t xml:space="preserve">and </w:t>
      </w:r>
      <w:r w:rsidRPr="006968AA">
        <w:rPr>
          <w:sz w:val="22"/>
          <w:szCs w:val="22"/>
          <w:lang w:val="en-AU"/>
        </w:rPr>
        <w:t xml:space="preserve">9.00am to 5.00pm in </w:t>
      </w:r>
      <w:r w:rsidR="00322DE3" w:rsidRPr="006968AA">
        <w:rPr>
          <w:sz w:val="22"/>
          <w:szCs w:val="22"/>
          <w:lang w:val="en-AU"/>
        </w:rPr>
        <w:t>other states and territories</w:t>
      </w:r>
      <w:r w:rsidRPr="006968AA">
        <w:rPr>
          <w:sz w:val="22"/>
          <w:szCs w:val="22"/>
          <w:lang w:val="en-AU"/>
        </w:rPr>
        <w:t xml:space="preserve"> Monday to Friday, excluding public holidays. </w:t>
      </w:r>
    </w:p>
    <w:p w:rsidR="0067621B" w:rsidRPr="006968AA" w:rsidRDefault="0067621B" w:rsidP="0067621B">
      <w:pPr>
        <w:pStyle w:val="Body"/>
        <w:spacing w:after="120" w:line="276" w:lineRule="auto"/>
        <w:ind w:right="-34"/>
        <w:jc w:val="both"/>
        <w:rPr>
          <w:sz w:val="22"/>
          <w:szCs w:val="22"/>
          <w:lang w:val="en-AU"/>
        </w:rPr>
      </w:pPr>
      <w:r w:rsidRPr="006968AA">
        <w:rPr>
          <w:b/>
          <w:sz w:val="22"/>
          <w:szCs w:val="22"/>
          <w:lang w:val="en-AU"/>
        </w:rPr>
        <w:t>Email</w:t>
      </w:r>
      <w:r w:rsidRPr="006968AA">
        <w:rPr>
          <w:sz w:val="22"/>
          <w:szCs w:val="22"/>
          <w:lang w:val="en-AU"/>
        </w:rPr>
        <w:t xml:space="preserve">: </w:t>
      </w:r>
      <w:hyperlink r:id="rId23" w:history="1">
        <w:r w:rsidRPr="006968AA">
          <w:rPr>
            <w:rStyle w:val="Hyperlink"/>
            <w:sz w:val="22"/>
            <w:szCs w:val="22"/>
            <w:lang w:val="en-AU"/>
          </w:rPr>
          <w:t>contactcentre@ndiscommission.gov.au</w:t>
        </w:r>
      </w:hyperlink>
      <w:r w:rsidRPr="006968AA">
        <w:rPr>
          <w:sz w:val="22"/>
          <w:szCs w:val="22"/>
          <w:lang w:val="en-AU"/>
        </w:rPr>
        <w:t xml:space="preserve"> </w:t>
      </w:r>
    </w:p>
    <w:p w:rsidR="00FE1A5E" w:rsidRPr="006968AA" w:rsidRDefault="0067621B" w:rsidP="0067621B">
      <w:pPr>
        <w:pStyle w:val="Body"/>
        <w:spacing w:after="120" w:line="276" w:lineRule="auto"/>
        <w:ind w:right="-34"/>
        <w:jc w:val="both"/>
        <w:rPr>
          <w:lang w:val="en-AU"/>
        </w:rPr>
      </w:pPr>
      <w:r w:rsidRPr="006968AA">
        <w:rPr>
          <w:b/>
          <w:sz w:val="22"/>
          <w:szCs w:val="22"/>
          <w:lang w:val="en-AU"/>
        </w:rPr>
        <w:t>Website</w:t>
      </w:r>
      <w:r w:rsidRPr="006968AA">
        <w:rPr>
          <w:sz w:val="22"/>
          <w:szCs w:val="22"/>
          <w:lang w:val="en-AU"/>
        </w:rPr>
        <w:t xml:space="preserve">: </w:t>
      </w:r>
      <w:hyperlink r:id="rId24" w:history="1">
        <w:r w:rsidRPr="006968AA">
          <w:rPr>
            <w:rStyle w:val="Hyperlink"/>
            <w:sz w:val="22"/>
            <w:szCs w:val="22"/>
            <w:lang w:val="en-AU"/>
          </w:rPr>
          <w:t>www.ndiscommission.gov.au</w:t>
        </w:r>
      </w:hyperlink>
    </w:p>
    <w:p w:rsidR="00CB64BD" w:rsidRPr="006968AA" w:rsidRDefault="00CB64BD" w:rsidP="006D6D91">
      <w:pPr>
        <w:spacing w:before="120" w:after="120" w:line="240" w:lineRule="auto"/>
      </w:pPr>
    </w:p>
    <w:sectPr w:rsidR="00CB64BD" w:rsidRPr="006968AA" w:rsidSect="00362AB6">
      <w:headerReference w:type="default" r:id="rId25"/>
      <w:footerReference w:type="default" r:id="rId26"/>
      <w:headerReference w:type="first" r:id="rId27"/>
      <w:footerReference w:type="first" r:id="rId28"/>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B0" w:rsidRDefault="003D29B0" w:rsidP="008E21DE">
      <w:pPr>
        <w:spacing w:after="0"/>
      </w:pPr>
      <w:r>
        <w:separator/>
      </w:r>
    </w:p>
  </w:endnote>
  <w:endnote w:type="continuationSeparator" w:id="0">
    <w:p w:rsidR="003D29B0" w:rsidRDefault="003D29B0"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Pr="0067621B" w:rsidRDefault="0067621B" w:rsidP="0067621B">
    <w:pPr>
      <w:pStyle w:val="Footer"/>
      <w:pBdr>
        <w:top w:val="single" w:sz="4" w:space="1" w:color="auto"/>
      </w:pBdr>
      <w:jc w:val="both"/>
    </w:pPr>
    <w:r>
      <w:t>Practice Alert: Polypharmacy</w:t>
    </w:r>
    <w:r>
      <w:tab/>
    </w:r>
    <w:r>
      <w:tab/>
      <w:t xml:space="preserve">Page </w:t>
    </w:r>
    <w:r>
      <w:fldChar w:fldCharType="begin"/>
    </w:r>
    <w:r>
      <w:instrText xml:space="preserve"> PAGE   \* MERGEFORMAT </w:instrText>
    </w:r>
    <w:r>
      <w:fldChar w:fldCharType="separate"/>
    </w:r>
    <w:r w:rsidR="00096EE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67621B" w:rsidP="0067621B">
    <w:pPr>
      <w:pStyle w:val="Footer"/>
      <w:pBdr>
        <w:top w:val="single" w:sz="4" w:space="1" w:color="auto"/>
      </w:pBdr>
      <w:jc w:val="both"/>
    </w:pPr>
    <w:r>
      <w:t>Practice Alert: Polypharmacy</w:t>
    </w:r>
    <w:r>
      <w:tab/>
    </w:r>
    <w:r>
      <w:tab/>
      <w:t xml:space="preserve">Page </w:t>
    </w:r>
    <w:r>
      <w:fldChar w:fldCharType="begin"/>
    </w:r>
    <w:r>
      <w:instrText xml:space="preserve"> PAGE   \* MERGEFORMAT </w:instrText>
    </w:r>
    <w:r>
      <w:fldChar w:fldCharType="separate"/>
    </w:r>
    <w:r w:rsidR="00096E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B0" w:rsidRDefault="003D29B0" w:rsidP="008E21DE">
      <w:pPr>
        <w:spacing w:after="0"/>
      </w:pPr>
      <w:r>
        <w:separator/>
      </w:r>
    </w:p>
  </w:footnote>
  <w:footnote w:type="continuationSeparator" w:id="0">
    <w:p w:rsidR="003D29B0" w:rsidRDefault="003D29B0"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zh-CN" w:bidi="hi-IN"/>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56412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zh-CN" w:bidi="hi-IN"/>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94A"/>
    <w:multiLevelType w:val="hybridMultilevel"/>
    <w:tmpl w:val="2DE4DF04"/>
    <w:lvl w:ilvl="0" w:tplc="35FEC1EC">
      <w:start w:val="1"/>
      <w:numFmt w:val="bullet"/>
      <w:lvlText w:val=""/>
      <w:lvlJc w:val="left"/>
      <w:pPr>
        <w:ind w:left="714" w:hanging="357"/>
      </w:pPr>
      <w:rPr>
        <w:rFonts w:ascii="Symbol" w:hAnsi="Symbol" w:hint="default"/>
        <w:b w:val="0"/>
        <w:bCs w:val="0"/>
        <w:i w:val="0"/>
        <w:iCs w:val="0"/>
        <w:caps w:val="0"/>
        <w:smallCaps w:val="0"/>
        <w:strike w:val="0"/>
        <w:dstrike w:val="0"/>
        <w:outline w:val="0"/>
        <w:emboss w:val="0"/>
        <w:imprint w:val="0"/>
        <w:color w:val="962C8B" w:themeColor="accent2"/>
        <w:spacing w:val="0"/>
        <w:w w:val="100"/>
        <w:kern w:val="0"/>
        <w:position w:val="0"/>
        <w:highlight w:val="none"/>
        <w:vertAlign w:val="baseline"/>
      </w:rPr>
    </w:lvl>
    <w:lvl w:ilvl="1" w:tplc="2F5651B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0E7A4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0C394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A0477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AA973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0308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EE432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4888D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005EF4"/>
    <w:multiLevelType w:val="hybridMultilevel"/>
    <w:tmpl w:val="1194D1BA"/>
    <w:styleLink w:val="ImportedStyle7"/>
    <w:lvl w:ilvl="0" w:tplc="88243E6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8C33F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78F4A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CC4D2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2E426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9099E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DEA3A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7C799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6A45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D21877"/>
    <w:multiLevelType w:val="hybridMultilevel"/>
    <w:tmpl w:val="1194D1BA"/>
    <w:numStyleLink w:val="ImportedStyle7"/>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9F408F"/>
    <w:multiLevelType w:val="hybridMultilevel"/>
    <w:tmpl w:val="E48083BC"/>
    <w:styleLink w:val="ImportedStyle3"/>
    <w:lvl w:ilvl="0" w:tplc="48F66F5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BCE0C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0CDEA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6AB7B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58195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8026F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3A030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101C9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D8421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547A44"/>
    <w:multiLevelType w:val="hybridMultilevel"/>
    <w:tmpl w:val="A13ABF3A"/>
    <w:styleLink w:val="ImportedStyle9"/>
    <w:lvl w:ilvl="0" w:tplc="BBBEF12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9AA3A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EAF61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4CCC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8D30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0C6D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46F3F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C47ED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0612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4F17BA"/>
    <w:multiLevelType w:val="hybridMultilevel"/>
    <w:tmpl w:val="F7ECBDD6"/>
    <w:lvl w:ilvl="0" w:tplc="35FEC1EC">
      <w:start w:val="1"/>
      <w:numFmt w:val="bullet"/>
      <w:lvlText w:val=""/>
      <w:lvlJc w:val="left"/>
      <w:pPr>
        <w:ind w:left="714" w:hanging="357"/>
      </w:pPr>
      <w:rPr>
        <w:rFonts w:ascii="Symbol" w:hAnsi="Symbol" w:hint="default"/>
        <w:b w:val="0"/>
        <w:bCs w:val="0"/>
        <w:i w:val="0"/>
        <w:iCs w:val="0"/>
        <w:caps w:val="0"/>
        <w:smallCaps w:val="0"/>
        <w:strike w:val="0"/>
        <w:dstrike w:val="0"/>
        <w:outline w:val="0"/>
        <w:emboss w:val="0"/>
        <w:imprint w:val="0"/>
        <w:color w:val="962C8B" w:themeColor="accent2"/>
        <w:spacing w:val="0"/>
        <w:w w:val="100"/>
        <w:kern w:val="0"/>
        <w:position w:val="0"/>
        <w:highlight w:val="none"/>
        <w:vertAlign w:val="baseline"/>
      </w:rPr>
    </w:lvl>
    <w:lvl w:ilvl="1" w:tplc="5BFAF0E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A2E5D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4EC22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C6FB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B4F1B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B0F24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3A715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BEA1F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493A92"/>
    <w:multiLevelType w:val="hybridMultilevel"/>
    <w:tmpl w:val="5E22A42E"/>
    <w:numStyleLink w:val="ImportedStyle6"/>
  </w:abstractNum>
  <w:abstractNum w:abstractNumId="12" w15:restartNumberingAfterBreak="0">
    <w:nsid w:val="2D7B7E17"/>
    <w:multiLevelType w:val="hybridMultilevel"/>
    <w:tmpl w:val="F654B4FE"/>
    <w:lvl w:ilvl="0" w:tplc="35FEC1EC">
      <w:start w:val="1"/>
      <w:numFmt w:val="bullet"/>
      <w:lvlText w:val=""/>
      <w:lvlJc w:val="left"/>
      <w:pPr>
        <w:ind w:left="1077" w:hanging="360"/>
      </w:pPr>
      <w:rPr>
        <w:rFonts w:ascii="Symbol" w:hAnsi="Symbol" w:hint="default"/>
        <w:color w:val="962C8B" w:themeColor="accen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2A46938"/>
    <w:multiLevelType w:val="hybridMultilevel"/>
    <w:tmpl w:val="AF9A1B38"/>
    <w:lvl w:ilvl="0" w:tplc="35FEC1EC">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962C8B" w:themeColor="accent2"/>
        <w:spacing w:val="0"/>
        <w:w w:val="100"/>
        <w:kern w:val="0"/>
        <w:position w:val="0"/>
        <w:highlight w:val="none"/>
        <w:vertAlign w:val="baseline"/>
      </w:rPr>
    </w:lvl>
    <w:lvl w:ilvl="1" w:tplc="A7CE06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28E3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7ECF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3E6D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1C38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1221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78ED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2AAD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50870D58"/>
    <w:multiLevelType w:val="hybridMultilevel"/>
    <w:tmpl w:val="4E94FB12"/>
    <w:styleLink w:val="ImportedStyle2"/>
    <w:lvl w:ilvl="0" w:tplc="A830E8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ABA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F0AEB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3D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04E2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CD74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85F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A46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A412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A7344CC"/>
    <w:multiLevelType w:val="hybridMultilevel"/>
    <w:tmpl w:val="3170E92C"/>
    <w:styleLink w:val="ImportedStyle5"/>
    <w:lvl w:ilvl="0" w:tplc="E5CE97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AE3D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44F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B6D5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F2C6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D0AA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16C6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0AEB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7647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A8436DB"/>
    <w:multiLevelType w:val="hybridMultilevel"/>
    <w:tmpl w:val="5E22A42E"/>
    <w:styleLink w:val="ImportedStyle6"/>
    <w:lvl w:ilvl="0" w:tplc="014638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708C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46B3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3225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867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EC45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CDF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D8DC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CD5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995E73"/>
    <w:multiLevelType w:val="hybridMultilevel"/>
    <w:tmpl w:val="8B2E05A2"/>
    <w:numStyleLink w:val="ImportedStyle8"/>
  </w:abstractNum>
  <w:abstractNum w:abstractNumId="22" w15:restartNumberingAfterBreak="0">
    <w:nsid w:val="5D611EE2"/>
    <w:multiLevelType w:val="hybridMultilevel"/>
    <w:tmpl w:val="F60010A4"/>
    <w:lvl w:ilvl="0" w:tplc="35FEC1EC">
      <w:start w:val="1"/>
      <w:numFmt w:val="bullet"/>
      <w:lvlText w:val=""/>
      <w:lvlJc w:val="left"/>
      <w:pPr>
        <w:ind w:left="714" w:hanging="357"/>
      </w:pPr>
      <w:rPr>
        <w:rFonts w:ascii="Symbol" w:hAnsi="Symbol" w:hint="default"/>
        <w:b w:val="0"/>
        <w:bCs w:val="0"/>
        <w:i w:val="0"/>
        <w:iCs w:val="0"/>
        <w:caps w:val="0"/>
        <w:smallCaps w:val="0"/>
        <w:strike w:val="0"/>
        <w:dstrike w:val="0"/>
        <w:outline w:val="0"/>
        <w:emboss w:val="0"/>
        <w:imprint w:val="0"/>
        <w:color w:val="962C8B" w:themeColor="accent2"/>
        <w:spacing w:val="0"/>
        <w:w w:val="100"/>
        <w:kern w:val="0"/>
        <w:position w:val="0"/>
        <w:highlight w:val="none"/>
        <w:vertAlign w:val="baseline"/>
      </w:rPr>
    </w:lvl>
    <w:lvl w:ilvl="1" w:tplc="2F5651B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0E7A4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0C394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A0477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AA973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0308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EE432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4888D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D9C672C"/>
    <w:multiLevelType w:val="hybridMultilevel"/>
    <w:tmpl w:val="8B2E05A2"/>
    <w:styleLink w:val="ImportedStyle8"/>
    <w:lvl w:ilvl="0" w:tplc="9B56CAF8">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E68C91C">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9E22566">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38CBCE">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04922C">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0A02F4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B8486CE">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140F538">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6327E7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69E1443"/>
    <w:multiLevelType w:val="hybridMultilevel"/>
    <w:tmpl w:val="3170E92C"/>
    <w:numStyleLink w:val="ImportedStyle5"/>
  </w:abstractNum>
  <w:abstractNum w:abstractNumId="25" w15:restartNumberingAfterBreak="0">
    <w:nsid w:val="67CB14EB"/>
    <w:multiLevelType w:val="hybridMultilevel"/>
    <w:tmpl w:val="4E94FB12"/>
    <w:numStyleLink w:val="ImportedStyle2"/>
  </w:abstractNum>
  <w:abstractNum w:abstractNumId="26" w15:restartNumberingAfterBreak="0">
    <w:nsid w:val="685007B5"/>
    <w:multiLevelType w:val="hybridMultilevel"/>
    <w:tmpl w:val="A93609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F423B"/>
    <w:multiLevelType w:val="multilevel"/>
    <w:tmpl w:val="4A7CCC2C"/>
    <w:numStyleLink w:val="DefaultBullets"/>
  </w:abstractNum>
  <w:abstractNum w:abstractNumId="28" w15:restartNumberingAfterBreak="0">
    <w:nsid w:val="719A707A"/>
    <w:multiLevelType w:val="hybridMultilevel"/>
    <w:tmpl w:val="E48083BC"/>
    <w:numStyleLink w:val="ImportedStyle3"/>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64466A9"/>
    <w:multiLevelType w:val="hybridMultilevel"/>
    <w:tmpl w:val="A13ABF3A"/>
    <w:numStyleLink w:val="ImportedStyle9"/>
  </w:abstractNum>
  <w:abstractNum w:abstractNumId="31" w15:restartNumberingAfterBreak="0">
    <w:nsid w:val="790B67C4"/>
    <w:multiLevelType w:val="multilevel"/>
    <w:tmpl w:val="FE688822"/>
    <w:numStyleLink w:val="BoxedBullets"/>
  </w:abstractNum>
  <w:num w:numId="1">
    <w:abstractNumId w:val="3"/>
  </w:num>
  <w:num w:numId="2">
    <w:abstractNumId w:val="16"/>
  </w:num>
  <w:num w:numId="3">
    <w:abstractNumId w:val="31"/>
  </w:num>
  <w:num w:numId="4">
    <w:abstractNumId w:val="14"/>
  </w:num>
  <w:num w:numId="5">
    <w:abstractNumId w:val="8"/>
  </w:num>
  <w:num w:numId="6">
    <w:abstractNumId w:val="6"/>
  </w:num>
  <w:num w:numId="7">
    <w:abstractNumId w:val="18"/>
  </w:num>
  <w:num w:numId="8">
    <w:abstractNumId w:val="17"/>
  </w:num>
  <w:num w:numId="9">
    <w:abstractNumId w:val="9"/>
  </w:num>
  <w:num w:numId="10">
    <w:abstractNumId w:val="29"/>
  </w:num>
  <w:num w:numId="11">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5"/>
  </w:num>
  <w:num w:numId="13">
    <w:abstractNumId w:val="25"/>
  </w:num>
  <w:num w:numId="14">
    <w:abstractNumId w:val="4"/>
  </w:num>
  <w:num w:numId="15">
    <w:abstractNumId w:val="28"/>
  </w:num>
  <w:num w:numId="16">
    <w:abstractNumId w:val="19"/>
  </w:num>
  <w:num w:numId="17">
    <w:abstractNumId w:val="24"/>
  </w:num>
  <w:num w:numId="18">
    <w:abstractNumId w:val="20"/>
  </w:num>
  <w:num w:numId="19">
    <w:abstractNumId w:val="11"/>
  </w:num>
  <w:num w:numId="20">
    <w:abstractNumId w:val="1"/>
  </w:num>
  <w:num w:numId="21">
    <w:abstractNumId w:val="2"/>
  </w:num>
  <w:num w:numId="22">
    <w:abstractNumId w:val="2"/>
    <w:lvlOverride w:ilvl="0">
      <w:lvl w:ilvl="0" w:tplc="C7DE32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C0BD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F042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C2EA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5AB8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B107E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F83B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60FD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AA42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23"/>
  </w:num>
  <w:num w:numId="24">
    <w:abstractNumId w:val="21"/>
  </w:num>
  <w:num w:numId="25">
    <w:abstractNumId w:val="7"/>
  </w:num>
  <w:num w:numId="26">
    <w:abstractNumId w:val="30"/>
  </w:num>
  <w:num w:numId="27">
    <w:abstractNumId w:val="30"/>
    <w:lvlOverride w:ilvl="0">
      <w:lvl w:ilvl="0" w:tplc="C978B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20FA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8E4F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1B224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3A1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DACA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C229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5A2C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CCAAA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5"/>
  </w:num>
  <w:num w:numId="29">
    <w:abstractNumId w:val="22"/>
  </w:num>
  <w:num w:numId="30">
    <w:abstractNumId w:val="0"/>
  </w:num>
  <w:num w:numId="31">
    <w:abstractNumId w:val="13"/>
  </w:num>
  <w:num w:numId="32">
    <w:abstractNumId w:val="26"/>
  </w:num>
  <w:num w:numId="33">
    <w:abstractNumId w:val="12"/>
  </w:num>
  <w:num w:numId="3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5E"/>
    <w:rsid w:val="00043D08"/>
    <w:rsid w:val="00051DF7"/>
    <w:rsid w:val="00080615"/>
    <w:rsid w:val="00096EE8"/>
    <w:rsid w:val="000C252F"/>
    <w:rsid w:val="000F3A54"/>
    <w:rsid w:val="000F48FC"/>
    <w:rsid w:val="00182709"/>
    <w:rsid w:val="00201052"/>
    <w:rsid w:val="00231AAC"/>
    <w:rsid w:val="002804D3"/>
    <w:rsid w:val="00322DE3"/>
    <w:rsid w:val="003449A0"/>
    <w:rsid w:val="00362AB6"/>
    <w:rsid w:val="003D29B0"/>
    <w:rsid w:val="003F29B8"/>
    <w:rsid w:val="004154E2"/>
    <w:rsid w:val="004D4273"/>
    <w:rsid w:val="00534D53"/>
    <w:rsid w:val="005B053D"/>
    <w:rsid w:val="00625854"/>
    <w:rsid w:val="00651348"/>
    <w:rsid w:val="0067621B"/>
    <w:rsid w:val="00680A20"/>
    <w:rsid w:val="00680F04"/>
    <w:rsid w:val="006968AA"/>
    <w:rsid w:val="006D6D91"/>
    <w:rsid w:val="0078103B"/>
    <w:rsid w:val="008A649A"/>
    <w:rsid w:val="008B7938"/>
    <w:rsid w:val="008E21DE"/>
    <w:rsid w:val="0092679E"/>
    <w:rsid w:val="009539C8"/>
    <w:rsid w:val="009D06E2"/>
    <w:rsid w:val="009F4EAA"/>
    <w:rsid w:val="00A07E4A"/>
    <w:rsid w:val="00A60009"/>
    <w:rsid w:val="00A92EE6"/>
    <w:rsid w:val="00AA094B"/>
    <w:rsid w:val="00AB12D5"/>
    <w:rsid w:val="00AD735D"/>
    <w:rsid w:val="00AF0899"/>
    <w:rsid w:val="00B0476B"/>
    <w:rsid w:val="00B603C0"/>
    <w:rsid w:val="00B83AB4"/>
    <w:rsid w:val="00B90A43"/>
    <w:rsid w:val="00BA4FF9"/>
    <w:rsid w:val="00BC3BA1"/>
    <w:rsid w:val="00C0421C"/>
    <w:rsid w:val="00C10202"/>
    <w:rsid w:val="00C21944"/>
    <w:rsid w:val="00C2698C"/>
    <w:rsid w:val="00C52C59"/>
    <w:rsid w:val="00C90DF2"/>
    <w:rsid w:val="00CB64BD"/>
    <w:rsid w:val="00DF74BA"/>
    <w:rsid w:val="00E243C4"/>
    <w:rsid w:val="00E260AC"/>
    <w:rsid w:val="00E40290"/>
    <w:rsid w:val="00EE737C"/>
    <w:rsid w:val="00F41613"/>
    <w:rsid w:val="00F9318C"/>
    <w:rsid w:val="00FD66D7"/>
    <w:rsid w:val="00FE1A5E"/>
    <w:rsid w:val="00FE57A7"/>
    <w:rsid w:val="00FF634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3333B"/>
  <w15:chartTrackingRefBased/>
  <w15:docId w15:val="{C141A5A3-D1A8-4DA3-9CAE-AF09D8CD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5E"/>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qFormat/>
    <w:rsid w:val="00FE1A5E"/>
    <w:pPr>
      <w:ind w:left="720"/>
      <w:contextualSpacing/>
    </w:pPr>
  </w:style>
  <w:style w:type="paragraph" w:customStyle="1" w:styleId="Heading">
    <w:name w:val="Heading"/>
    <w:next w:val="BodyA"/>
    <w:rsid w:val="00FE1A5E"/>
    <w:pPr>
      <w:keepNext/>
      <w:keepLines/>
      <w:pBdr>
        <w:top w:val="nil"/>
        <w:left w:val="nil"/>
        <w:bottom w:val="nil"/>
        <w:right w:val="nil"/>
        <w:between w:val="nil"/>
        <w:bar w:val="nil"/>
      </w:pBdr>
      <w:suppressAutoHyphens/>
      <w:spacing w:before="360" w:after="200" w:line="280" w:lineRule="atLeast"/>
      <w:outlineLvl w:val="0"/>
    </w:pPr>
    <w:rPr>
      <w:rFonts w:ascii="Calibri" w:eastAsia="Calibri" w:hAnsi="Calibri" w:cs="Calibri"/>
      <w:b/>
      <w:bCs/>
      <w:color w:val="612C69"/>
      <w:sz w:val="40"/>
      <w:szCs w:val="40"/>
      <w:u w:color="612C69"/>
      <w:bdr w:val="nil"/>
      <w:lang w:val="en-US" w:eastAsia="en-AU"/>
    </w:rPr>
  </w:style>
  <w:style w:type="paragraph" w:customStyle="1" w:styleId="BodyA">
    <w:name w:val="Body A"/>
    <w:rsid w:val="00FE1A5E"/>
    <w:pPr>
      <w:pBdr>
        <w:top w:val="nil"/>
        <w:left w:val="nil"/>
        <w:bottom w:val="nil"/>
        <w:right w:val="nil"/>
        <w:between w:val="nil"/>
        <w:bar w:val="nil"/>
      </w:pBdr>
      <w:suppressAutoHyphens/>
      <w:spacing w:before="200" w:after="200" w:line="280" w:lineRule="atLeast"/>
    </w:pPr>
    <w:rPr>
      <w:rFonts w:ascii="Calibri" w:eastAsia="Calibri" w:hAnsi="Calibri" w:cs="Calibri"/>
      <w:color w:val="000000"/>
      <w:sz w:val="22"/>
      <w:szCs w:val="22"/>
      <w:u w:color="000000"/>
      <w:bdr w:val="nil"/>
      <w:lang w:val="en-US" w:eastAsia="en-AU"/>
    </w:rPr>
  </w:style>
  <w:style w:type="numbering" w:customStyle="1" w:styleId="ImportedStyle2">
    <w:name w:val="Imported Style 2"/>
    <w:rsid w:val="00FE1A5E"/>
    <w:pPr>
      <w:numPr>
        <w:numId w:val="12"/>
      </w:numPr>
    </w:pPr>
  </w:style>
  <w:style w:type="numbering" w:customStyle="1" w:styleId="ImportedStyle3">
    <w:name w:val="Imported Style 3"/>
    <w:rsid w:val="00FE1A5E"/>
    <w:pPr>
      <w:numPr>
        <w:numId w:val="14"/>
      </w:numPr>
    </w:pPr>
  </w:style>
  <w:style w:type="numbering" w:customStyle="1" w:styleId="ImportedStyle5">
    <w:name w:val="Imported Style 5"/>
    <w:rsid w:val="00FE1A5E"/>
    <w:pPr>
      <w:numPr>
        <w:numId w:val="16"/>
      </w:numPr>
    </w:pPr>
  </w:style>
  <w:style w:type="numbering" w:customStyle="1" w:styleId="ImportedStyle6">
    <w:name w:val="Imported Style 6"/>
    <w:rsid w:val="00FE1A5E"/>
    <w:pPr>
      <w:numPr>
        <w:numId w:val="18"/>
      </w:numPr>
    </w:pPr>
  </w:style>
  <w:style w:type="numbering" w:customStyle="1" w:styleId="ImportedStyle7">
    <w:name w:val="Imported Style 7"/>
    <w:rsid w:val="00FE1A5E"/>
    <w:pPr>
      <w:numPr>
        <w:numId w:val="20"/>
      </w:numPr>
    </w:pPr>
  </w:style>
  <w:style w:type="paragraph" w:customStyle="1" w:styleId="Default">
    <w:name w:val="Default"/>
    <w:rsid w:val="00FE1A5E"/>
    <w:pPr>
      <w:pBdr>
        <w:top w:val="nil"/>
        <w:left w:val="nil"/>
        <w:bottom w:val="nil"/>
        <w:right w:val="nil"/>
        <w:between w:val="nil"/>
        <w:bar w:val="nil"/>
      </w:pBdr>
      <w:suppressAutoHyphens/>
      <w:spacing w:before="0" w:after="0" w:line="280" w:lineRule="atLeast"/>
    </w:pPr>
    <w:rPr>
      <w:rFonts w:ascii="Times New Roman" w:eastAsia="Arial Unicode MS" w:hAnsi="Times New Roman" w:cs="Arial Unicode MS"/>
      <w:color w:val="000000"/>
      <w:sz w:val="24"/>
      <w:szCs w:val="24"/>
      <w:u w:color="000000"/>
      <w:bdr w:val="nil"/>
      <w:lang w:val="en-US" w:eastAsia="en-AU"/>
    </w:rPr>
  </w:style>
  <w:style w:type="numbering" w:customStyle="1" w:styleId="ImportedStyle8">
    <w:name w:val="Imported Style 8"/>
    <w:rsid w:val="00FE1A5E"/>
    <w:pPr>
      <w:numPr>
        <w:numId w:val="23"/>
      </w:numPr>
    </w:pPr>
  </w:style>
  <w:style w:type="numbering" w:customStyle="1" w:styleId="ImportedStyle9">
    <w:name w:val="Imported Style 9"/>
    <w:rsid w:val="00FE1A5E"/>
    <w:pPr>
      <w:numPr>
        <w:numId w:val="25"/>
      </w:numPr>
    </w:pPr>
  </w:style>
  <w:style w:type="character" w:customStyle="1" w:styleId="None">
    <w:name w:val="None"/>
    <w:rsid w:val="00FE1A5E"/>
  </w:style>
  <w:style w:type="character" w:customStyle="1" w:styleId="Hyperlink0">
    <w:name w:val="Hyperlink.0"/>
    <w:basedOn w:val="None"/>
    <w:rsid w:val="00FE1A5E"/>
    <w:rPr>
      <w:color w:val="943C84"/>
      <w:u w:val="single" w:color="943C84"/>
    </w:rPr>
  </w:style>
  <w:style w:type="character" w:customStyle="1" w:styleId="Hyperlink1">
    <w:name w:val="Hyperlink.1"/>
    <w:basedOn w:val="None"/>
    <w:rsid w:val="00FE1A5E"/>
    <w:rPr>
      <w:color w:val="962C8B"/>
      <w:u w:val="single" w:color="943C84"/>
    </w:rPr>
  </w:style>
  <w:style w:type="character" w:customStyle="1" w:styleId="Hyperlink2">
    <w:name w:val="Hyperlink.2"/>
    <w:basedOn w:val="DefaultParagraphFont"/>
    <w:rsid w:val="00FE1A5E"/>
    <w:rPr>
      <w:color w:val="962C8B"/>
      <w:u w:val="single" w:color="0000FF"/>
    </w:rPr>
  </w:style>
  <w:style w:type="paragraph" w:customStyle="1" w:styleId="ContactUsheadingh4">
    <w:name w:val="Contact Us heading h4"/>
    <w:next w:val="Heading4"/>
    <w:rsid w:val="00FE1A5E"/>
    <w:pPr>
      <w:keepNext/>
      <w:pBdr>
        <w:top w:val="single" w:sz="48" w:space="0" w:color="5F2E74"/>
        <w:left w:val="nil"/>
        <w:bottom w:val="nil"/>
        <w:right w:val="nil"/>
        <w:between w:val="nil"/>
        <w:bar w:val="nil"/>
      </w:pBdr>
      <w:spacing w:before="360" w:after="200"/>
      <w:outlineLvl w:val="1"/>
    </w:pPr>
    <w:rPr>
      <w:rFonts w:ascii="Calibri" w:eastAsia="Calibri" w:hAnsi="Calibri" w:cs="Calibri"/>
      <w:b/>
      <w:bCs/>
      <w:color w:val="612C69"/>
      <w:sz w:val="40"/>
      <w:szCs w:val="40"/>
      <w:u w:color="612C69"/>
      <w:bdr w:val="nil"/>
      <w:lang w:val="en-US" w:eastAsia="en-AU"/>
    </w:rPr>
  </w:style>
  <w:style w:type="paragraph" w:customStyle="1" w:styleId="BodyAA">
    <w:name w:val="Body A A"/>
    <w:next w:val="BodyA"/>
    <w:rsid w:val="00FE1A5E"/>
    <w:pPr>
      <w:pBdr>
        <w:top w:val="nil"/>
        <w:left w:val="nil"/>
        <w:bottom w:val="nil"/>
        <w:right w:val="nil"/>
        <w:between w:val="nil"/>
        <w:bar w:val="nil"/>
      </w:pBdr>
      <w:spacing w:after="240"/>
    </w:pPr>
    <w:rPr>
      <w:rFonts w:ascii="Calibri" w:eastAsia="Calibri" w:hAnsi="Calibri" w:cs="Calibri"/>
      <w:color w:val="000000"/>
      <w:sz w:val="24"/>
      <w:szCs w:val="24"/>
      <w:u w:color="000000"/>
      <w:bdr w:val="nil"/>
      <w:lang w:val="en-US" w:eastAsia="en-AU"/>
    </w:rPr>
  </w:style>
  <w:style w:type="character" w:customStyle="1" w:styleId="Hyperlink3">
    <w:name w:val="Hyperlink.3"/>
    <w:basedOn w:val="None"/>
    <w:rsid w:val="00FE1A5E"/>
    <w:rPr>
      <w:color w:val="943C84"/>
      <w:sz w:val="22"/>
      <w:szCs w:val="22"/>
      <w:u w:val="single" w:color="943C84"/>
    </w:rPr>
  </w:style>
  <w:style w:type="paragraph" w:customStyle="1" w:styleId="1Documentnameh1">
    <w:name w:val="1. Document name h1"/>
    <w:qFormat/>
    <w:rsid w:val="00FE57A7"/>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FE57A7"/>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FE57A7"/>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FE57A7"/>
    <w:pPr>
      <w:keepNext/>
      <w:pBdr>
        <w:top w:val="single" w:sz="8" w:space="10" w:color="FBF7FD"/>
        <w:left w:val="single" w:sz="8" w:space="10" w:color="FBF7FD"/>
        <w:bottom w:val="single" w:sz="8" w:space="10" w:color="FBF7FD"/>
        <w:right w:val="single" w:sz="8" w:space="10" w:color="FBF7FD"/>
      </w:pBdr>
      <w:shd w:val="clear" w:color="auto" w:fill="F7F0FA"/>
      <w:spacing w:line="240" w:lineRule="auto"/>
      <w:ind w:right="-35"/>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FE57A7"/>
    <w:pPr>
      <w:numPr>
        <w:numId w:val="28"/>
      </w:numPr>
      <w:pBdr>
        <w:top w:val="single" w:sz="8" w:space="10" w:color="FBF7FD"/>
        <w:left w:val="single" w:sz="8" w:space="10" w:color="FBF7FD"/>
        <w:bottom w:val="single" w:sz="8" w:space="10" w:color="FBF7FD"/>
        <w:right w:val="single" w:sz="8" w:space="10" w:color="FBF7FD"/>
      </w:pBdr>
      <w:shd w:val="clear" w:color="auto" w:fill="F7F0FA"/>
      <w:spacing w:before="120" w:after="240" w:line="240" w:lineRule="auto"/>
      <w:ind w:left="284" w:right="-35" w:hanging="284"/>
    </w:pPr>
    <w:rPr>
      <w:rFonts w:ascii="Calibri" w:eastAsia="Arial Unicode MS" w:hAnsi="Calibri"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FE57A7"/>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FE57A7"/>
    <w:pPr>
      <w:spacing w:after="120"/>
    </w:pPr>
  </w:style>
  <w:style w:type="character" w:customStyle="1" w:styleId="BodyTextChar">
    <w:name w:val="Body Text Char"/>
    <w:basedOn w:val="DefaultParagraphFont"/>
    <w:link w:val="BodyText"/>
    <w:uiPriority w:val="99"/>
    <w:semiHidden/>
    <w:rsid w:val="00FE57A7"/>
    <w:rPr>
      <w:rFonts w:ascii="Arial" w:hAnsi="Arial"/>
      <w:color w:val="auto"/>
      <w:sz w:val="22"/>
      <w:szCs w:val="22"/>
    </w:rPr>
  </w:style>
  <w:style w:type="paragraph" w:customStyle="1" w:styleId="Body">
    <w:name w:val="Body"/>
    <w:basedOn w:val="Normal"/>
    <w:next w:val="Normal"/>
    <w:qFormat/>
    <w:rsid w:val="0067621B"/>
    <w:pPr>
      <w:pBdr>
        <w:top w:val="nil"/>
        <w:left w:val="nil"/>
        <w:bottom w:val="nil"/>
        <w:right w:val="nil"/>
        <w:between w:val="nil"/>
        <w:bar w:val="nil"/>
      </w:pBdr>
      <w:spacing w:before="120" w:after="240" w:line="240" w:lineRule="auto"/>
      <w:ind w:right="-35"/>
    </w:pPr>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9.health.gov.au/mbs/fullDisplay.cfm?type=item&amp;q=900&amp;qt=ItemID%23assocNotes" TargetMode="External"/><Relationship Id="rId18" Type="http://schemas.openxmlformats.org/officeDocument/2006/relationships/hyperlink" Target="https://doi.org/10.1352/1944-7558-123.1.7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2.health.vic.gov.au/public-health/population-health-systems/health-status-of-victorians/survey-data-and-reports/health-survey-of-people-with-an-intellectual-disability/health-survey-of-people-with-an-intellectual-disability-2013" TargetMode="External"/><Relationship Id="rId7" Type="http://schemas.openxmlformats.org/officeDocument/2006/relationships/endnotes" Target="endnotes.xml"/><Relationship Id="rId12" Type="http://schemas.openxmlformats.org/officeDocument/2006/relationships/hyperlink" Target="https://www.safetyandquality.gov.au/sites/default/files/2019-06/medication-without-harm-who-global-patient-safety-challenge-discussion-paper-for-public-consultation-pdf-1.75mb.pdf" TargetMode="External"/><Relationship Id="rId17" Type="http://schemas.openxmlformats.org/officeDocument/2006/relationships/hyperlink" Target="https://www.aci.health.nsw.gov.au/__data/assets/pdf_file/0016/231514/Health_Care_in_People_with_Intellectual_Disability_Guideline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s40266-018-0554-2" TargetMode="External"/><Relationship Id="rId20" Type="http://schemas.openxmlformats.org/officeDocument/2006/relationships/hyperlink" Target="https://www.nps.org.au/australian-prescriber/articles/prescribing-psychotropic-drugs-to-adults-with-an-intellectual-disa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986" TargetMode="External"/><Relationship Id="rId24"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hyperlink" Target="https://www.agedcarequality.gov.au/sites/default/files/media/acqsc_psychotropic_medications_v10_hr.pdf" TargetMode="External"/><Relationship Id="rId23" Type="http://schemas.openxmlformats.org/officeDocument/2006/relationships/hyperlink" Target="mailto:contactcentre@ndiscommission.gov.au" TargetMode="External"/><Relationship Id="rId28" Type="http://schemas.openxmlformats.org/officeDocument/2006/relationships/footer" Target="footer2.xml"/><Relationship Id="rId10" Type="http://schemas.openxmlformats.org/officeDocument/2006/relationships/hyperlink" Target="https://www.myhealthrecord.gov.au/" TargetMode="External"/><Relationship Id="rId19" Type="http://schemas.openxmlformats.org/officeDocument/2006/relationships/hyperlink" Target="https://www.cddh.monashhealth.org/wp-content/uploads/2016/11/2015-medication-review-guide-for-gps.pdf" TargetMode="External"/><Relationship Id="rId4" Type="http://schemas.openxmlformats.org/officeDocument/2006/relationships/settings" Target="settings.xml"/><Relationship Id="rId9" Type="http://schemas.openxmlformats.org/officeDocument/2006/relationships/hyperlink" Target="https://www.nps.org.au/medicinewiseapp" TargetMode="External"/><Relationship Id="rId14" Type="http://schemas.openxmlformats.org/officeDocument/2006/relationships/hyperlink" Target="https://www.ppaonline.com.au/programs/medication-management-programs/home-medicines-review" TargetMode="External"/><Relationship Id="rId22" Type="http://schemas.openxmlformats.org/officeDocument/2006/relationships/hyperlink" Target="https://apps.who.int/iris/bitstream/handle/10665/325454/WHO-UHC-SDS-2019.11-eng.pdf?ua=1"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Apps\msoffice\2016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1653-4182-422A-B254-32E27751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29</TotalTime>
  <Pages>7</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Practice Alert: Polypharmacy</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Polypharmacy</dc:title>
  <dc:subject/>
  <dc:creator>NDIS Quality and Safeguards Commission</dc:creator>
  <cp:keywords/>
  <dc:description/>
  <cp:lastModifiedBy>LUNNEY, Heather</cp:lastModifiedBy>
  <cp:revision>7</cp:revision>
  <dcterms:created xsi:type="dcterms:W3CDTF">2020-11-23T23:31:00Z</dcterms:created>
  <dcterms:modified xsi:type="dcterms:W3CDTF">2020-11-24T02:25:00Z</dcterms:modified>
</cp:coreProperties>
</file>