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073A12" w:rsidRDefault="004F22E0" w:rsidP="00FF19E1">
      <w:pPr>
        <w:pStyle w:val="1Documentnameh1"/>
        <w:pBdr>
          <w:bottom w:val="single" w:sz="8" w:space="8" w:color="auto"/>
        </w:pBdr>
      </w:pPr>
      <w:r w:rsidRPr="00073A12">
        <w:rPr>
          <w:noProof/>
          <w:lang w:eastAsia="zh-CN" w:bidi="hi-IN"/>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073A12" w:rsidRDefault="00497C00" w:rsidP="00FF19E1">
      <w:pPr>
        <w:pStyle w:val="1Documentnameh1"/>
        <w:pBdr>
          <w:bottom w:val="single" w:sz="8" w:space="8" w:color="auto"/>
        </w:pBdr>
      </w:pPr>
      <w:r w:rsidRPr="00073A12">
        <w:t>Practice Alert</w:t>
      </w:r>
    </w:p>
    <w:p w:rsidR="00846BA6" w:rsidRPr="00073A12" w:rsidRDefault="00497C00" w:rsidP="00FF19E1">
      <w:pPr>
        <w:pStyle w:val="3Titleh3"/>
        <w:pBdr>
          <w:bottom w:val="single" w:sz="8" w:space="8" w:color="auto"/>
        </w:pBdr>
        <w:rPr>
          <w:lang w:val="en-AU"/>
        </w:rPr>
      </w:pPr>
      <w:r w:rsidRPr="00073A12">
        <w:rPr>
          <w:lang w:val="en-AU"/>
        </w:rPr>
        <w:t>Medicines associated with swallowing problems</w:t>
      </w:r>
      <w:r w:rsidR="00C016B4" w:rsidRPr="00073A12">
        <w:rPr>
          <w:lang w:val="en-AU"/>
        </w:rPr>
        <w:t xml:space="preserve"> </w:t>
      </w:r>
    </w:p>
    <w:p w:rsidR="006028D8" w:rsidRPr="00073A12" w:rsidRDefault="00244161" w:rsidP="00FF19E1">
      <w:pPr>
        <w:pStyle w:val="4Titledescription"/>
        <w:pBdr>
          <w:bottom w:val="single" w:sz="8" w:space="8" w:color="auto"/>
        </w:pBdr>
        <w:rPr>
          <w:lang w:val="en-AU"/>
        </w:rPr>
      </w:pPr>
      <w:r>
        <w:rPr>
          <w:lang w:val="en-AU"/>
        </w:rPr>
        <w:t>November</w:t>
      </w:r>
      <w:bookmarkStart w:id="0" w:name="_GoBack"/>
      <w:bookmarkEnd w:id="0"/>
      <w:r w:rsidR="00C11085" w:rsidRPr="00073A12">
        <w:rPr>
          <w:lang w:val="en-AU"/>
        </w:rPr>
        <w:t xml:space="preserve"> 2020</w:t>
      </w:r>
      <w:r w:rsidR="00497C00" w:rsidRPr="00073A12">
        <w:rPr>
          <w:lang w:val="en-AU"/>
        </w:rPr>
        <w:t xml:space="preserve"> </w:t>
      </w:r>
    </w:p>
    <w:p w:rsidR="00272BE4" w:rsidRPr="00073A12" w:rsidRDefault="00497C00" w:rsidP="00E065AB">
      <w:pPr>
        <w:pStyle w:val="5AboutHeadingh4"/>
        <w:spacing w:after="120"/>
        <w:ind w:right="-34"/>
        <w:rPr>
          <w:lang w:val="en-AU"/>
        </w:rPr>
      </w:pPr>
      <w:r w:rsidRPr="00073A12">
        <w:rPr>
          <w:lang w:val="en-AU"/>
        </w:rPr>
        <w:t>Key points</w:t>
      </w:r>
    </w:p>
    <w:p w:rsidR="00272BE4" w:rsidRPr="00073A12" w:rsidRDefault="00244760" w:rsidP="00B941B3">
      <w:pPr>
        <w:pStyle w:val="6Aboutbullet"/>
        <w:spacing w:after="120"/>
        <w:ind w:right="-34"/>
        <w:rPr>
          <w:lang w:val="en-AU"/>
        </w:rPr>
      </w:pPr>
      <w:r w:rsidRPr="00073A12">
        <w:rPr>
          <w:lang w:val="en-AU"/>
        </w:rPr>
        <w:t>Choking is a major cause of preventable deaths for people with disability</w:t>
      </w:r>
      <w:r w:rsidR="00B941B3" w:rsidRPr="00073A12">
        <w:rPr>
          <w:lang w:val="en-AU"/>
        </w:rPr>
        <w:t>.</w:t>
      </w:r>
      <w:r w:rsidRPr="00073A12">
        <w:rPr>
          <w:lang w:val="en-AU"/>
        </w:rPr>
        <w:t xml:space="preserve"> </w:t>
      </w:r>
    </w:p>
    <w:p w:rsidR="00244760" w:rsidRPr="00073A12" w:rsidRDefault="00244760" w:rsidP="00B941B3">
      <w:pPr>
        <w:pStyle w:val="6Aboutbullet"/>
        <w:spacing w:after="120"/>
        <w:ind w:right="-34"/>
        <w:rPr>
          <w:lang w:val="en-AU"/>
        </w:rPr>
      </w:pPr>
      <w:r w:rsidRPr="00073A12">
        <w:rPr>
          <w:lang w:val="en-AU"/>
        </w:rPr>
        <w:t xml:space="preserve">These deaths </w:t>
      </w:r>
      <w:proofErr w:type="gramStart"/>
      <w:r w:rsidRPr="00073A12">
        <w:rPr>
          <w:lang w:val="en-AU"/>
        </w:rPr>
        <w:t>can be prevented</w:t>
      </w:r>
      <w:proofErr w:type="gramEnd"/>
      <w:r w:rsidRPr="00073A12">
        <w:rPr>
          <w:lang w:val="en-AU"/>
        </w:rPr>
        <w:t xml:space="preserve"> by reducing a person’s exposure to factors that may increase their risk of choking.</w:t>
      </w:r>
    </w:p>
    <w:p w:rsidR="00EE2998" w:rsidRPr="00073A12" w:rsidRDefault="00244760" w:rsidP="00B941B3">
      <w:pPr>
        <w:pStyle w:val="6Aboutbullet"/>
        <w:spacing w:after="120"/>
        <w:ind w:right="-34"/>
        <w:rPr>
          <w:b/>
          <w:bCs/>
          <w:lang w:val="en-AU"/>
        </w:rPr>
      </w:pPr>
      <w:r w:rsidRPr="00073A12">
        <w:rPr>
          <w:lang w:val="en-AU"/>
        </w:rPr>
        <w:t>Certain medicines administered to people with disability can increase the risk of choking in two ways:</w:t>
      </w:r>
      <w:r w:rsidR="000C32B1" w:rsidRPr="00073A12">
        <w:rPr>
          <w:lang w:val="en-AU"/>
        </w:rPr>
        <w:t xml:space="preserve"> </w:t>
      </w:r>
      <w:r w:rsidRPr="00073A12">
        <w:rPr>
          <w:lang w:val="en-AU"/>
        </w:rPr>
        <w:t>by causing swallowing problems (dysphagia)</w:t>
      </w:r>
      <w:r w:rsidR="000C32B1" w:rsidRPr="00073A12">
        <w:rPr>
          <w:lang w:val="en-AU"/>
        </w:rPr>
        <w:t xml:space="preserve"> and, </w:t>
      </w:r>
      <w:r w:rsidRPr="00073A12">
        <w:rPr>
          <w:lang w:val="en-AU"/>
        </w:rPr>
        <w:t xml:space="preserve">to a lesser extent, by causing drowsiness (sedation). </w:t>
      </w:r>
    </w:p>
    <w:p w:rsidR="00AA3D65" w:rsidRPr="00073A12" w:rsidRDefault="00B941B3" w:rsidP="00B941B3">
      <w:pPr>
        <w:pStyle w:val="6Aboutbullet"/>
        <w:spacing w:after="120"/>
        <w:ind w:right="-34"/>
        <w:rPr>
          <w:bCs/>
          <w:lang w:val="en-AU"/>
        </w:rPr>
      </w:pPr>
      <w:r w:rsidRPr="00073A12">
        <w:rPr>
          <w:bCs/>
          <w:lang w:val="en-AU"/>
        </w:rPr>
        <w:t>T</w:t>
      </w:r>
      <w:r w:rsidR="00AA3D65" w:rsidRPr="00073A12">
        <w:rPr>
          <w:bCs/>
          <w:lang w:val="en-AU"/>
        </w:rPr>
        <w:t xml:space="preserve">hese medicines </w:t>
      </w:r>
      <w:proofErr w:type="gramStart"/>
      <w:r w:rsidR="00AA3D65" w:rsidRPr="00073A12">
        <w:rPr>
          <w:bCs/>
          <w:lang w:val="en-AU"/>
        </w:rPr>
        <w:t>are commonly given</w:t>
      </w:r>
      <w:proofErr w:type="gramEnd"/>
      <w:r w:rsidR="00AA3D65" w:rsidRPr="00073A12">
        <w:rPr>
          <w:bCs/>
          <w:lang w:val="en-AU"/>
        </w:rPr>
        <w:t xml:space="preserve"> to people with disability.</w:t>
      </w:r>
    </w:p>
    <w:p w:rsidR="00AA3D65" w:rsidRPr="00073A12" w:rsidRDefault="00AA3D65" w:rsidP="00B941B3">
      <w:pPr>
        <w:pStyle w:val="6Aboutbullet"/>
        <w:spacing w:after="120"/>
        <w:ind w:right="-34"/>
        <w:rPr>
          <w:bCs/>
          <w:lang w:val="en-AU"/>
        </w:rPr>
      </w:pPr>
      <w:r w:rsidRPr="00073A12">
        <w:rPr>
          <w:bCs/>
          <w:lang w:val="en-AU"/>
        </w:rPr>
        <w:t xml:space="preserve">You also need to be aware of how to prevent choking risks associated with the use of these medicines. If a </w:t>
      </w:r>
      <w:proofErr w:type="gramStart"/>
      <w:r w:rsidRPr="00073A12">
        <w:rPr>
          <w:bCs/>
          <w:lang w:val="en-AU"/>
        </w:rPr>
        <w:t>person’s</w:t>
      </w:r>
      <w:proofErr w:type="gramEnd"/>
      <w:r w:rsidRPr="00073A12">
        <w:rPr>
          <w:bCs/>
          <w:lang w:val="en-AU"/>
        </w:rPr>
        <w:t xml:space="preserve"> swallowing problems persist while continuing to take these medicines, speak to the prescribing medical practitioner to get a medical review.</w:t>
      </w:r>
    </w:p>
    <w:p w:rsidR="006E547B" w:rsidRPr="00073A12" w:rsidRDefault="00244760" w:rsidP="006E547B">
      <w:pPr>
        <w:pStyle w:val="7Headingh4"/>
        <w:rPr>
          <w:lang w:val="en-AU"/>
        </w:rPr>
      </w:pPr>
      <w:r w:rsidRPr="00073A12">
        <w:rPr>
          <w:lang w:val="en-AU"/>
        </w:rPr>
        <w:t>What you should consider</w:t>
      </w:r>
    </w:p>
    <w:p w:rsidR="00244760" w:rsidRPr="00073A12" w:rsidRDefault="00244760" w:rsidP="00991BE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r w:rsidRPr="00073A12">
        <w:rPr>
          <w:rFonts w:eastAsia="Times New Roman" w:cstheme="minorHAnsi"/>
          <w:lang w:val="en-AU" w:eastAsia="en-AU"/>
        </w:rPr>
        <w:t xml:space="preserve">People who take </w:t>
      </w:r>
      <w:r w:rsidRPr="00073A12">
        <w:rPr>
          <w:rFonts w:eastAsia="Times New Roman" w:cstheme="minorHAnsi"/>
          <w:b/>
          <w:bCs/>
          <w:lang w:val="en-AU" w:eastAsia="en-AU"/>
        </w:rPr>
        <w:t>medicines associated with swallowing problems</w:t>
      </w:r>
      <w:r w:rsidRPr="00073A12">
        <w:rPr>
          <w:rFonts w:eastAsia="Times New Roman" w:cstheme="minorHAnsi"/>
          <w:lang w:val="en-AU" w:eastAsia="en-AU"/>
        </w:rPr>
        <w:t xml:space="preserve"> may be at risk of choking while eating or drinking</w:t>
      </w:r>
      <w:r w:rsidR="00CA1545" w:rsidRPr="00073A12">
        <w:rPr>
          <w:rFonts w:eastAsia="Times New Roman" w:cstheme="minorHAnsi"/>
          <w:lang w:val="en-AU" w:eastAsia="en-AU"/>
        </w:rPr>
        <w:t>.</w:t>
      </w:r>
    </w:p>
    <w:p w:rsidR="00244760" w:rsidRPr="00073A12" w:rsidRDefault="00CA1545" w:rsidP="00991BEB">
      <w:pPr>
        <w:pBdr>
          <w:top w:val="none" w:sz="0" w:space="0" w:color="auto"/>
          <w:left w:val="none" w:sz="0" w:space="0" w:color="auto"/>
          <w:bottom w:val="none" w:sz="0" w:space="0" w:color="auto"/>
          <w:right w:val="none" w:sz="0" w:space="0" w:color="auto"/>
          <w:between w:val="none" w:sz="0" w:space="0" w:color="auto"/>
          <w:bar w:val="none" w:sz="0" w:color="auto"/>
        </w:pBdr>
        <w:spacing w:before="120" w:line="276" w:lineRule="auto"/>
        <w:contextualSpacing/>
        <w:rPr>
          <w:rFonts w:eastAsia="Times New Roman" w:cstheme="minorHAnsi"/>
          <w:lang w:val="en-AU" w:eastAsia="en-AU"/>
        </w:rPr>
      </w:pPr>
      <w:r w:rsidRPr="00073A12">
        <w:rPr>
          <w:rFonts w:eastAsia="Times New Roman" w:cstheme="minorHAnsi"/>
          <w:lang w:val="en-AU" w:eastAsia="en-AU"/>
        </w:rPr>
        <w:t>P</w:t>
      </w:r>
      <w:r w:rsidR="00244760" w:rsidRPr="00073A12">
        <w:rPr>
          <w:rFonts w:eastAsia="Times New Roman" w:cstheme="minorHAnsi"/>
          <w:lang w:val="en-AU" w:eastAsia="en-AU"/>
        </w:rPr>
        <w:t xml:space="preserve">eople taking </w:t>
      </w:r>
      <w:r w:rsidR="00244760" w:rsidRPr="00073A12">
        <w:rPr>
          <w:rFonts w:eastAsia="Times New Roman" w:cstheme="minorHAnsi"/>
          <w:b/>
          <w:bCs/>
          <w:lang w:val="en-AU" w:eastAsia="en-AU"/>
        </w:rPr>
        <w:t>antipsychotic medicines</w:t>
      </w:r>
      <w:r w:rsidR="00244760" w:rsidRPr="00073A12">
        <w:rPr>
          <w:rFonts w:eastAsia="Times New Roman" w:cstheme="minorHAnsi"/>
          <w:lang w:val="en-AU" w:eastAsia="en-AU"/>
        </w:rPr>
        <w:t xml:space="preserve"> may be at a particular risk of muscular reactions that can affect swallowing:</w:t>
      </w:r>
    </w:p>
    <w:p w:rsidR="00244760" w:rsidRPr="00073A12" w:rsidRDefault="00244760" w:rsidP="0086046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eastAsia="Times New Roman" w:cstheme="minorHAnsi"/>
          <w:lang w:val="en-AU" w:eastAsia="en-AU"/>
        </w:rPr>
      </w:pPr>
      <w:r w:rsidRPr="00073A12">
        <w:rPr>
          <w:rFonts w:eastAsia="Times New Roman" w:cstheme="minorHAnsi"/>
          <w:lang w:val="en-AU" w:eastAsia="en-AU"/>
        </w:rPr>
        <w:t>in the</w:t>
      </w:r>
      <w:r w:rsidRPr="00073A12">
        <w:rPr>
          <w:rFonts w:eastAsia="Times New Roman" w:cstheme="minorHAnsi"/>
          <w:b/>
          <w:bCs/>
          <w:lang w:val="en-AU" w:eastAsia="en-AU"/>
        </w:rPr>
        <w:t xml:space="preserve"> first few days after starting</w:t>
      </w:r>
      <w:r w:rsidRPr="00073A12">
        <w:rPr>
          <w:rFonts w:eastAsia="Times New Roman" w:cstheme="minorHAnsi"/>
          <w:lang w:val="en-AU" w:eastAsia="en-AU"/>
        </w:rPr>
        <w:t xml:space="preserve"> the medicine</w:t>
      </w:r>
    </w:p>
    <w:p w:rsidR="00244760" w:rsidRPr="00073A12" w:rsidRDefault="00244760" w:rsidP="0086046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r w:rsidRPr="00073A12">
        <w:rPr>
          <w:rFonts w:eastAsia="Times New Roman" w:cstheme="minorHAnsi"/>
          <w:lang w:val="en-AU" w:eastAsia="en-AU"/>
        </w:rPr>
        <w:t xml:space="preserve">after an </w:t>
      </w:r>
      <w:r w:rsidRPr="00073A12">
        <w:rPr>
          <w:rFonts w:eastAsia="Times New Roman" w:cstheme="minorHAnsi"/>
          <w:b/>
          <w:bCs/>
          <w:lang w:val="en-AU" w:eastAsia="en-AU"/>
        </w:rPr>
        <w:t>increase in the dosage</w:t>
      </w:r>
      <w:r w:rsidRPr="00073A12">
        <w:rPr>
          <w:rFonts w:eastAsia="Times New Roman" w:cstheme="minorHAnsi"/>
          <w:lang w:val="en-AU" w:eastAsia="en-AU"/>
        </w:rPr>
        <w:t xml:space="preserve"> of antipsychotic medicine or</w:t>
      </w:r>
    </w:p>
    <w:p w:rsidR="00244760" w:rsidRPr="00073A12" w:rsidRDefault="00244760" w:rsidP="00860460">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proofErr w:type="gramStart"/>
      <w:r w:rsidRPr="00073A12">
        <w:rPr>
          <w:rFonts w:eastAsia="Times New Roman" w:cstheme="minorHAnsi"/>
          <w:lang w:val="en-AU" w:eastAsia="en-AU"/>
        </w:rPr>
        <w:t>when</w:t>
      </w:r>
      <w:proofErr w:type="gramEnd"/>
      <w:r w:rsidRPr="00073A12">
        <w:rPr>
          <w:rFonts w:eastAsia="Times New Roman" w:cstheme="minorHAnsi"/>
          <w:lang w:val="en-AU" w:eastAsia="en-AU"/>
        </w:rPr>
        <w:t xml:space="preserve"> they have been taking antipsychotic medicines for a long time, or </w:t>
      </w:r>
      <w:r w:rsidRPr="00073A12">
        <w:rPr>
          <w:rFonts w:eastAsia="Times New Roman" w:cstheme="minorHAnsi"/>
          <w:b/>
          <w:bCs/>
          <w:lang w:val="en-AU" w:eastAsia="en-AU"/>
        </w:rPr>
        <w:t>taking combinations</w:t>
      </w:r>
      <w:r w:rsidRPr="00073A12">
        <w:rPr>
          <w:rFonts w:eastAsia="Times New Roman" w:cstheme="minorHAnsi"/>
          <w:lang w:val="en-AU" w:eastAsia="en-AU"/>
        </w:rPr>
        <w:t xml:space="preserve"> of antipsychotic medicines or antipsychotic medicines in combination with other drugs that can affect swallowing.</w:t>
      </w:r>
    </w:p>
    <w:p w:rsidR="00244760" w:rsidRPr="00073A12" w:rsidRDefault="00244760" w:rsidP="00CA154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lastRenderedPageBreak/>
        <w:t xml:space="preserve">To minimise the person’s risk of choking, a mealtime management plan </w:t>
      </w:r>
      <w:proofErr w:type="gramStart"/>
      <w:r w:rsidRPr="00073A12">
        <w:rPr>
          <w:rFonts w:eastAsia="Times New Roman" w:cstheme="minorHAnsi"/>
          <w:lang w:val="en-AU" w:eastAsia="en-AU"/>
        </w:rPr>
        <w:t>is recommended</w:t>
      </w:r>
      <w:proofErr w:type="gramEnd"/>
      <w:r w:rsidRPr="00073A12">
        <w:rPr>
          <w:rFonts w:eastAsia="Times New Roman" w:cstheme="minorHAnsi"/>
          <w:lang w:val="en-AU" w:eastAsia="en-AU"/>
        </w:rPr>
        <w:t xml:space="preserve"> when a person is having trouble swallowing that may be a result of taking these medicines. A mealtime management plan may consider:</w:t>
      </w:r>
    </w:p>
    <w:p w:rsidR="00244760" w:rsidRPr="00073A12" w:rsidRDefault="00244760" w:rsidP="008604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t>when the person should be assessed, monitored and reviewed by a speech pathologist for mealtime and swallowing safety and support needs</w:t>
      </w:r>
    </w:p>
    <w:p w:rsidR="00244760" w:rsidRPr="00073A12" w:rsidRDefault="00244760" w:rsidP="008604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t>whether the person should be supervised or assisted during meal times</w:t>
      </w:r>
    </w:p>
    <w:p w:rsidR="00244760" w:rsidRPr="00073A12" w:rsidRDefault="00244760" w:rsidP="008604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t>changing the foods offered to the person, such as foods and drinks that are easy to chew and swallow, or other food and drink modifications as recommended by a speech pathologist</w:t>
      </w:r>
    </w:p>
    <w:p w:rsidR="00244760" w:rsidRPr="00073A12" w:rsidRDefault="00244760" w:rsidP="008604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t>how the person is positioned during and after mealtimes</w:t>
      </w:r>
    </w:p>
    <w:p w:rsidR="00244760" w:rsidRPr="00073A12" w:rsidRDefault="00244760" w:rsidP="008604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t>the amount of food and pace of each mouthful during mealtimes</w:t>
      </w:r>
    </w:p>
    <w:p w:rsidR="00244760" w:rsidRPr="00073A12" w:rsidRDefault="00244760" w:rsidP="008604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t>the environment during mealtimes, for example avoiding a noisy environment which can be distracting</w:t>
      </w:r>
    </w:p>
    <w:p w:rsidR="00244760" w:rsidRPr="00073A12" w:rsidRDefault="00244760" w:rsidP="0086046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proofErr w:type="gramStart"/>
      <w:r w:rsidRPr="00073A12">
        <w:rPr>
          <w:rFonts w:eastAsia="Times New Roman" w:cstheme="minorHAnsi"/>
          <w:lang w:val="en-AU" w:eastAsia="en-AU"/>
        </w:rPr>
        <w:t>regularly</w:t>
      </w:r>
      <w:proofErr w:type="gramEnd"/>
      <w:r w:rsidRPr="00073A12">
        <w:rPr>
          <w:rFonts w:eastAsia="Times New Roman" w:cstheme="minorHAnsi"/>
          <w:lang w:val="en-AU" w:eastAsia="en-AU"/>
        </w:rPr>
        <w:t xml:space="preserve"> reviewing mealtime management plans, especially if there are ongoing issues with aspiration.</w:t>
      </w:r>
    </w:p>
    <w:p w:rsidR="00244760" w:rsidRPr="00073A12" w:rsidRDefault="00244760" w:rsidP="00991BE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r w:rsidRPr="00073A12">
        <w:rPr>
          <w:rFonts w:eastAsia="Times New Roman" w:cstheme="minorHAnsi"/>
          <w:lang w:val="en-AU" w:eastAsia="en-AU"/>
        </w:rPr>
        <w:t xml:space="preserve">If a </w:t>
      </w:r>
      <w:proofErr w:type="gramStart"/>
      <w:r w:rsidRPr="00073A12">
        <w:rPr>
          <w:rFonts w:eastAsia="Times New Roman" w:cstheme="minorHAnsi"/>
          <w:lang w:val="en-AU" w:eastAsia="en-AU"/>
        </w:rPr>
        <w:t>person’s</w:t>
      </w:r>
      <w:proofErr w:type="gramEnd"/>
      <w:r w:rsidRPr="00073A12">
        <w:rPr>
          <w:rFonts w:eastAsia="Times New Roman" w:cstheme="minorHAnsi"/>
          <w:lang w:val="en-AU" w:eastAsia="en-AU"/>
        </w:rPr>
        <w:t xml:space="preserve"> swallowing problems persist while continuing to take these medicines, speak to the prescribing medical practitioner to get a medical review. </w:t>
      </w:r>
    </w:p>
    <w:p w:rsidR="00244760" w:rsidRPr="00073A12" w:rsidRDefault="00244760" w:rsidP="00991BEB">
      <w:pPr>
        <w:spacing w:before="120" w:line="276" w:lineRule="auto"/>
        <w:contextualSpacing/>
        <w:rPr>
          <w:rFonts w:eastAsia="Times New Roman" w:cstheme="minorHAnsi"/>
          <w:lang w:val="en-AU" w:eastAsia="en-AU"/>
        </w:rPr>
      </w:pPr>
      <w:proofErr w:type="gramStart"/>
      <w:r w:rsidRPr="00073A12">
        <w:rPr>
          <w:rFonts w:eastAsia="Times New Roman" w:cstheme="minorHAnsi"/>
          <w:lang w:val="en-AU" w:eastAsia="en-AU"/>
        </w:rPr>
        <w:t>Also</w:t>
      </w:r>
      <w:proofErr w:type="gramEnd"/>
      <w:r w:rsidRPr="00073A12">
        <w:rPr>
          <w:rFonts w:eastAsia="Times New Roman" w:cstheme="minorHAnsi"/>
          <w:lang w:val="en-AU" w:eastAsia="en-AU"/>
        </w:rPr>
        <w:t xml:space="preserve"> consider: </w:t>
      </w:r>
    </w:p>
    <w:p w:rsidR="00244760" w:rsidRPr="00073A12" w:rsidRDefault="00244760" w:rsidP="0086046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eastAsia="Times New Roman" w:cstheme="minorHAnsi"/>
          <w:lang w:val="en-AU" w:eastAsia="en-AU"/>
        </w:rPr>
      </w:pPr>
      <w:r w:rsidRPr="00073A12">
        <w:rPr>
          <w:rFonts w:eastAsia="Times New Roman" w:cstheme="minorHAnsi"/>
          <w:lang w:val="en-AU" w:eastAsia="en-AU"/>
        </w:rPr>
        <w:t xml:space="preserve">whether the medicine should </w:t>
      </w:r>
      <w:r w:rsidRPr="00073A12">
        <w:rPr>
          <w:rFonts w:eastAsia="Times New Roman" w:cstheme="minorHAnsi"/>
          <w:b/>
          <w:bCs/>
          <w:lang w:val="en-AU" w:eastAsia="en-AU"/>
        </w:rPr>
        <w:t>continue</w:t>
      </w:r>
      <w:r w:rsidRPr="00073A12">
        <w:rPr>
          <w:rFonts w:eastAsia="Times New Roman" w:cstheme="minorHAnsi"/>
          <w:lang w:val="en-AU" w:eastAsia="en-AU"/>
        </w:rPr>
        <w:t xml:space="preserve"> to be prescribed to the person</w:t>
      </w:r>
    </w:p>
    <w:p w:rsidR="00244760" w:rsidRPr="00073A12" w:rsidRDefault="00244760" w:rsidP="0086046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r w:rsidRPr="00073A12">
        <w:rPr>
          <w:rFonts w:eastAsia="Times New Roman" w:cstheme="minorHAnsi"/>
          <w:lang w:val="en-AU" w:eastAsia="en-AU"/>
        </w:rPr>
        <w:t xml:space="preserve">whether the current medicine could be </w:t>
      </w:r>
      <w:r w:rsidRPr="00073A12">
        <w:rPr>
          <w:rFonts w:eastAsia="Times New Roman" w:cstheme="minorHAnsi"/>
          <w:b/>
          <w:bCs/>
          <w:lang w:val="en-AU" w:eastAsia="en-AU"/>
        </w:rPr>
        <w:t>changed</w:t>
      </w:r>
      <w:r w:rsidRPr="00073A12">
        <w:rPr>
          <w:rFonts w:eastAsia="Times New Roman" w:cstheme="minorHAnsi"/>
          <w:lang w:val="en-AU" w:eastAsia="en-AU"/>
        </w:rPr>
        <w:t xml:space="preserve"> to another medicine of the same type</w:t>
      </w:r>
    </w:p>
    <w:p w:rsidR="00CA1545" w:rsidRPr="00073A12" w:rsidRDefault="00244760" w:rsidP="0086046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r w:rsidRPr="00073A12">
        <w:rPr>
          <w:rFonts w:eastAsia="Times New Roman" w:cstheme="minorHAnsi"/>
          <w:lang w:val="en-AU" w:eastAsia="en-AU"/>
        </w:rPr>
        <w:t xml:space="preserve">if the medicine is to continue - whether the </w:t>
      </w:r>
      <w:r w:rsidRPr="00073A12">
        <w:rPr>
          <w:rFonts w:eastAsia="Times New Roman" w:cstheme="minorHAnsi"/>
          <w:b/>
          <w:bCs/>
          <w:lang w:val="en-AU" w:eastAsia="en-AU"/>
        </w:rPr>
        <w:t>dose</w:t>
      </w:r>
      <w:r w:rsidRPr="00073A12">
        <w:rPr>
          <w:rFonts w:eastAsia="Times New Roman" w:cstheme="minorHAnsi"/>
          <w:lang w:val="en-AU" w:eastAsia="en-AU"/>
        </w:rPr>
        <w:t xml:space="preserve"> can be reduced, or if dividing the dose over the day may reduce swallowing problems</w:t>
      </w:r>
    </w:p>
    <w:p w:rsidR="006E547B" w:rsidRPr="00073A12" w:rsidRDefault="00244760" w:rsidP="0086046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r w:rsidRPr="00073A12">
        <w:rPr>
          <w:rFonts w:eastAsia="Times New Roman" w:cstheme="minorHAnsi"/>
          <w:lang w:val="en-AU" w:eastAsia="en-AU"/>
        </w:rPr>
        <w:t>whether to seek an independent medical review, particularly if the person requires medical attention for aspiration pneumonia, experiences frequent coughing or sounds ‘</w:t>
      </w:r>
      <w:proofErr w:type="spellStart"/>
      <w:r w:rsidRPr="00073A12">
        <w:rPr>
          <w:rFonts w:eastAsia="Times New Roman" w:cstheme="minorHAnsi"/>
          <w:lang w:val="en-AU" w:eastAsia="en-AU"/>
        </w:rPr>
        <w:t>gurgly</w:t>
      </w:r>
      <w:proofErr w:type="spellEnd"/>
      <w:r w:rsidRPr="00073A12">
        <w:rPr>
          <w:rFonts w:eastAsia="Times New Roman" w:cstheme="minorHAnsi"/>
          <w:lang w:val="en-AU" w:eastAsia="en-AU"/>
        </w:rPr>
        <w:t>’ or chesty during or after meals.</w:t>
      </w:r>
    </w:p>
    <w:p w:rsidR="006E547B" w:rsidRPr="00073A12" w:rsidRDefault="00244760" w:rsidP="00B941B3">
      <w:pPr>
        <w:pStyle w:val="7Headingh4"/>
        <w:spacing w:before="240" w:after="120"/>
        <w:ind w:right="-28"/>
        <w:rPr>
          <w:lang w:val="en-AU"/>
        </w:rPr>
      </w:pPr>
      <w:r w:rsidRPr="00073A12">
        <w:rPr>
          <w:lang w:val="en-AU"/>
        </w:rPr>
        <w:t>What medicines are associated with swallowing problems?</w:t>
      </w:r>
    </w:p>
    <w:p w:rsidR="00EE2998" w:rsidRPr="00073A12" w:rsidRDefault="00244760" w:rsidP="00B26FE5">
      <w:pPr>
        <w:pStyle w:val="Body"/>
        <w:spacing w:after="120" w:line="276" w:lineRule="auto"/>
        <w:ind w:right="0"/>
        <w:contextualSpacing/>
        <w:rPr>
          <w:lang w:val="en-AU"/>
        </w:rPr>
      </w:pPr>
      <w:r w:rsidRPr="00073A12">
        <w:rPr>
          <w:rFonts w:asciiTheme="minorHAnsi" w:hAnsiTheme="minorHAnsi" w:cstheme="minorHAnsi"/>
          <w:lang w:val="en-AU"/>
        </w:rPr>
        <w:t xml:space="preserve">The major types of commonly prescribed medicines that have the potential to affect swallowing and cause problems while eating or drinking are: </w:t>
      </w:r>
    </w:p>
    <w:p w:rsidR="00524A56" w:rsidRPr="00073A12" w:rsidRDefault="00244760" w:rsidP="00524A56">
      <w:pPr>
        <w:pStyle w:val="Body"/>
        <w:rPr>
          <w:lang w:val="en-AU"/>
        </w:rPr>
      </w:pPr>
      <w:r w:rsidRPr="00073A12">
        <w:rPr>
          <w:noProof/>
          <w:lang w:val="en-AU" w:eastAsia="zh-CN" w:bidi="hi-IN"/>
        </w:rPr>
        <w:drawing>
          <wp:inline distT="0" distB="0" distL="0" distR="0" wp14:anchorId="6407B5FE" wp14:editId="16DDB501">
            <wp:extent cx="6192520" cy="1378437"/>
            <wp:effectExtent l="0" t="0" r="0" b="0"/>
            <wp:docPr id="1" name="Picture 1" descr="1. Antipsychotic medicines that can cause swallowing problems.&#10;2. Benzodiazepines - medicines that can cause drowsiness.&#10;3. Antiepileptic medicines that can cause drowsiness.&#10;4. Combinations of any of these medicines." title="Medicines associated with swallowing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70" r="753"/>
                    <a:stretch/>
                  </pic:blipFill>
                  <pic:spPr bwMode="auto">
                    <a:xfrm>
                      <a:off x="0" y="0"/>
                      <a:ext cx="6192520" cy="1378437"/>
                    </a:xfrm>
                    <a:prstGeom prst="rect">
                      <a:avLst/>
                    </a:prstGeom>
                    <a:ln>
                      <a:noFill/>
                    </a:ln>
                    <a:extLst>
                      <a:ext uri="{53640926-AAD7-44D8-BBD7-CCE9431645EC}">
                        <a14:shadowObscured xmlns:a14="http://schemas.microsoft.com/office/drawing/2010/main"/>
                      </a:ext>
                    </a:extLst>
                  </pic:spPr>
                </pic:pic>
              </a:graphicData>
            </a:graphic>
          </wp:inline>
        </w:drawing>
      </w:r>
    </w:p>
    <w:p w:rsidR="00B537FC" w:rsidRPr="00073A12" w:rsidRDefault="00B537FC">
      <w:pPr>
        <w:rPr>
          <w:rFonts w:ascii="Calibri" w:hAnsi="Calibri" w:cs="Arial Unicode MS"/>
          <w:b/>
          <w:bCs/>
          <w:color w:val="000000"/>
          <w:sz w:val="28"/>
          <w:szCs w:val="28"/>
          <w:lang w:val="en-AU" w:eastAsia="en-AU"/>
          <w14:textOutline w14:w="0" w14:cap="flat" w14:cmpd="sng" w14:algn="ctr">
            <w14:noFill/>
            <w14:prstDash w14:val="solid"/>
            <w14:bevel/>
          </w14:textOutline>
        </w:rPr>
      </w:pPr>
      <w:r w:rsidRPr="00073A12">
        <w:rPr>
          <w:lang w:val="en-AU"/>
        </w:rPr>
        <w:br w:type="page"/>
      </w:r>
    </w:p>
    <w:p w:rsidR="00DD0F41" w:rsidRPr="00073A12" w:rsidRDefault="00244760" w:rsidP="00B941B3">
      <w:pPr>
        <w:pStyle w:val="8SubHeadingh5"/>
        <w:spacing w:before="240"/>
        <w:ind w:right="113"/>
        <w:rPr>
          <w:lang w:val="en-AU"/>
        </w:rPr>
      </w:pPr>
      <w:r w:rsidRPr="00073A12">
        <w:rPr>
          <w:lang w:val="en-AU"/>
        </w:rPr>
        <w:lastRenderedPageBreak/>
        <w:t>Antipsychotic medicines associated with swallowing problems</w:t>
      </w:r>
    </w:p>
    <w:p w:rsidR="00244760" w:rsidRPr="00073A12" w:rsidRDefault="00244760" w:rsidP="00B26FE5">
      <w:pPr>
        <w:pStyle w:val="NormalWeb"/>
        <w:spacing w:before="120" w:beforeAutospacing="0" w:after="120" w:afterAutospacing="0" w:line="276" w:lineRule="auto"/>
        <w:contextualSpacing/>
        <w:rPr>
          <w:rFonts w:asciiTheme="minorHAnsi" w:hAnsiTheme="minorHAnsi" w:cstheme="minorHAnsi"/>
        </w:rPr>
      </w:pPr>
      <w:r w:rsidRPr="00073A12">
        <w:rPr>
          <w:rFonts w:asciiTheme="minorHAnsi" w:hAnsiTheme="minorHAnsi" w:cstheme="minorHAnsi"/>
        </w:rPr>
        <w:t>The antipsychotic medicines listed below can cause swallowing problems.</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Aripiprazole (e.g. </w:t>
      </w:r>
      <w:proofErr w:type="spellStart"/>
      <w:r w:rsidRPr="00073A12">
        <w:rPr>
          <w:rFonts w:cstheme="minorHAnsi"/>
          <w:lang w:val="en-AU"/>
        </w:rPr>
        <w:t>Abilify</w:t>
      </w:r>
      <w:proofErr w:type="spellEnd"/>
      <w:r w:rsidRPr="00073A12">
        <w:rPr>
          <w:rFonts w:cstheme="minorHAnsi"/>
          <w:lang w:val="en-AU"/>
        </w:rPr>
        <w:t>)</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Asenapine</w:t>
      </w:r>
      <w:proofErr w:type="spellEnd"/>
      <w:r w:rsidRPr="00073A12">
        <w:rPr>
          <w:rFonts w:cstheme="minorHAnsi"/>
          <w:lang w:val="en-AU"/>
        </w:rPr>
        <w:t xml:space="preserve"> (e.g. </w:t>
      </w:r>
      <w:proofErr w:type="spellStart"/>
      <w:r w:rsidRPr="00073A12">
        <w:rPr>
          <w:rFonts w:cstheme="minorHAnsi"/>
          <w:lang w:val="en-AU"/>
        </w:rPr>
        <w:t>Saphris</w:t>
      </w:r>
      <w:proofErr w:type="spellEnd"/>
      <w:r w:rsidRPr="00073A12">
        <w:rPr>
          <w:rFonts w:cstheme="minorHAnsi"/>
          <w:lang w:val="en-AU"/>
        </w:rPr>
        <w:t>)</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Chlorpromazine (</w:t>
      </w:r>
      <w:proofErr w:type="spellStart"/>
      <w:r w:rsidRPr="00073A12">
        <w:rPr>
          <w:rFonts w:cstheme="minorHAnsi"/>
          <w:lang w:val="en-AU"/>
        </w:rPr>
        <w:t>e.g</w:t>
      </w:r>
      <w:proofErr w:type="spellEnd"/>
      <w:r w:rsidRPr="00073A12">
        <w:rPr>
          <w:rFonts w:cstheme="minorHAnsi"/>
          <w:lang w:val="en-AU"/>
        </w:rPr>
        <w:t xml:space="preserve"> </w:t>
      </w:r>
      <w:proofErr w:type="spellStart"/>
      <w:r w:rsidRPr="00073A12">
        <w:rPr>
          <w:rFonts w:cstheme="minorHAnsi"/>
          <w:lang w:val="en-AU"/>
        </w:rPr>
        <w:t>Largactil</w:t>
      </w:r>
      <w:proofErr w:type="spellEnd"/>
      <w:r w:rsidRPr="00073A12">
        <w:rPr>
          <w:rFonts w:cstheme="minorHAnsi"/>
          <w:lang w:val="en-AU"/>
        </w:rPr>
        <w:t>)</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Flupentixol</w:t>
      </w:r>
      <w:proofErr w:type="spellEnd"/>
      <w:r w:rsidRPr="00073A12">
        <w:rPr>
          <w:rFonts w:cstheme="minorHAnsi"/>
          <w:lang w:val="en-AU"/>
        </w:rPr>
        <w:t xml:space="preserve"> (e.g. </w:t>
      </w:r>
      <w:proofErr w:type="spellStart"/>
      <w:r w:rsidRPr="00073A12">
        <w:rPr>
          <w:rFonts w:cstheme="minorHAnsi"/>
          <w:lang w:val="en-AU"/>
        </w:rPr>
        <w:t>Fluanxol</w:t>
      </w:r>
      <w:proofErr w:type="spellEnd"/>
      <w:r w:rsidRPr="00073A12">
        <w:rPr>
          <w:rFonts w:cstheme="minorHAnsi"/>
          <w:lang w:val="en-AU"/>
        </w:rPr>
        <w:t>)</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Haloperidol (e.g. Haldol, </w:t>
      </w:r>
      <w:proofErr w:type="spellStart"/>
      <w:r w:rsidRPr="00073A12">
        <w:rPr>
          <w:rFonts w:cstheme="minorHAnsi"/>
          <w:lang w:val="en-AU"/>
        </w:rPr>
        <w:t>Serenace</w:t>
      </w:r>
      <w:proofErr w:type="spellEnd"/>
      <w:r w:rsidRPr="00073A12">
        <w:rPr>
          <w:rFonts w:cstheme="minorHAnsi"/>
          <w:lang w:val="en-AU"/>
        </w:rPr>
        <w:t>)</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Lurasidone</w:t>
      </w:r>
      <w:proofErr w:type="spellEnd"/>
      <w:r w:rsidRPr="00073A12">
        <w:rPr>
          <w:rFonts w:cstheme="minorHAnsi"/>
          <w:lang w:val="en-AU"/>
        </w:rPr>
        <w:t xml:space="preserve"> (e.g. </w:t>
      </w:r>
      <w:proofErr w:type="spellStart"/>
      <w:r w:rsidRPr="00073A12">
        <w:rPr>
          <w:rFonts w:cstheme="minorHAnsi"/>
          <w:lang w:val="en-AU"/>
        </w:rPr>
        <w:t>Latuda</w:t>
      </w:r>
      <w:proofErr w:type="spellEnd"/>
      <w:r w:rsidRPr="00073A12">
        <w:rPr>
          <w:rFonts w:cstheme="minorHAnsi"/>
          <w:lang w:val="en-AU"/>
        </w:rPr>
        <w:t>)</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Olanzapine (e.g. Zyprexa, APO-Olanzapine)</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Paliperidone</w:t>
      </w:r>
      <w:proofErr w:type="spellEnd"/>
      <w:r w:rsidRPr="00073A12">
        <w:rPr>
          <w:rFonts w:cstheme="minorHAnsi"/>
          <w:lang w:val="en-AU"/>
        </w:rPr>
        <w:t xml:space="preserve"> (</w:t>
      </w:r>
      <w:proofErr w:type="spellStart"/>
      <w:r w:rsidRPr="00073A12">
        <w:rPr>
          <w:rFonts w:cstheme="minorHAnsi"/>
          <w:lang w:val="en-AU"/>
        </w:rPr>
        <w:t>e.g</w:t>
      </w:r>
      <w:proofErr w:type="spellEnd"/>
      <w:r w:rsidRPr="00073A12">
        <w:rPr>
          <w:rFonts w:cstheme="minorHAnsi"/>
          <w:lang w:val="en-AU"/>
        </w:rPr>
        <w:t xml:space="preserve"> </w:t>
      </w:r>
      <w:proofErr w:type="spellStart"/>
      <w:r w:rsidRPr="00073A12">
        <w:rPr>
          <w:rFonts w:cstheme="minorHAnsi"/>
          <w:lang w:val="en-AU"/>
        </w:rPr>
        <w:t>Invega</w:t>
      </w:r>
      <w:proofErr w:type="spellEnd"/>
      <w:r w:rsidRPr="00073A12">
        <w:rPr>
          <w:rFonts w:cstheme="minorHAnsi"/>
          <w:lang w:val="en-AU"/>
        </w:rPr>
        <w:t>)</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Quetiapine (e.g. Seroquel)</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Risperidone (e.g. Risperdal, </w:t>
      </w:r>
      <w:proofErr w:type="spellStart"/>
      <w:r w:rsidRPr="00073A12">
        <w:rPr>
          <w:rFonts w:cstheme="minorHAnsi"/>
          <w:lang w:val="en-AU"/>
        </w:rPr>
        <w:t>Rixadone</w:t>
      </w:r>
      <w:proofErr w:type="spellEnd"/>
      <w:r w:rsidRPr="00073A12">
        <w:rPr>
          <w:rFonts w:cstheme="minorHAnsi"/>
          <w:lang w:val="en-AU"/>
        </w:rPr>
        <w:t>)</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Trifluoperazine</w:t>
      </w:r>
      <w:proofErr w:type="spellEnd"/>
      <w:r w:rsidRPr="00073A12">
        <w:rPr>
          <w:rFonts w:cstheme="minorHAnsi"/>
          <w:lang w:val="en-AU"/>
        </w:rPr>
        <w:t xml:space="preserve"> (e.g. </w:t>
      </w:r>
      <w:proofErr w:type="spellStart"/>
      <w:r w:rsidRPr="00073A12">
        <w:rPr>
          <w:rFonts w:cstheme="minorHAnsi"/>
          <w:lang w:val="en-AU"/>
        </w:rPr>
        <w:t>Stelazine</w:t>
      </w:r>
      <w:proofErr w:type="spellEnd"/>
      <w:r w:rsidRPr="00073A12">
        <w:rPr>
          <w:rFonts w:cstheme="minorHAnsi"/>
          <w:lang w:val="en-AU"/>
        </w:rPr>
        <w:t>)</w:t>
      </w:r>
    </w:p>
    <w:p w:rsidR="00244760" w:rsidRPr="00073A12" w:rsidRDefault="00244760" w:rsidP="0086046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Ziprasidone (e.g. </w:t>
      </w:r>
      <w:proofErr w:type="spellStart"/>
      <w:r w:rsidRPr="00073A12">
        <w:rPr>
          <w:rFonts w:cstheme="minorHAnsi"/>
          <w:lang w:val="en-AU"/>
        </w:rPr>
        <w:t>Zeldox</w:t>
      </w:r>
      <w:proofErr w:type="spellEnd"/>
      <w:r w:rsidRPr="00073A12">
        <w:rPr>
          <w:rFonts w:cstheme="minorHAnsi"/>
          <w:lang w:val="en-AU"/>
        </w:rPr>
        <w:t>)</w:t>
      </w:r>
    </w:p>
    <w:p w:rsidR="00244760" w:rsidRPr="00073A12" w:rsidRDefault="00244760" w:rsidP="00B941B3">
      <w:pPr>
        <w:pStyle w:val="8SubHeadingh5"/>
        <w:spacing w:before="240"/>
        <w:ind w:right="-29"/>
        <w:rPr>
          <w:lang w:val="en-AU"/>
        </w:rPr>
      </w:pPr>
      <w:r w:rsidRPr="00073A12">
        <w:rPr>
          <w:lang w:val="en-AU"/>
        </w:rPr>
        <w:t>Benzodiazepine medicines associated with drowsiness</w:t>
      </w:r>
    </w:p>
    <w:p w:rsidR="00244760" w:rsidRPr="00073A12" w:rsidRDefault="00244760" w:rsidP="00B26FE5">
      <w:pPr>
        <w:pStyle w:val="NormalWeb"/>
        <w:spacing w:before="120" w:beforeAutospacing="0" w:after="120" w:afterAutospacing="0" w:line="276" w:lineRule="auto"/>
        <w:contextualSpacing/>
        <w:rPr>
          <w:rFonts w:asciiTheme="minorHAnsi" w:hAnsiTheme="minorHAnsi" w:cstheme="minorHAnsi"/>
        </w:rPr>
      </w:pPr>
      <w:r w:rsidRPr="00073A12">
        <w:rPr>
          <w:rFonts w:asciiTheme="minorHAnsi" w:hAnsiTheme="minorHAnsi" w:cstheme="minorHAnsi"/>
        </w:rPr>
        <w:t>The benzodiazepines listed below can cause drowsiness, and therefore have the potential to influence swallowing by association, especially during eating.</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Alprazolam (e.g. </w:t>
      </w:r>
      <w:proofErr w:type="spellStart"/>
      <w:r w:rsidRPr="00073A12">
        <w:rPr>
          <w:rFonts w:cstheme="minorHAnsi"/>
          <w:lang w:val="en-AU"/>
        </w:rPr>
        <w:t>Alprax</w:t>
      </w:r>
      <w:proofErr w:type="spellEnd"/>
      <w:r w:rsidRPr="00073A12">
        <w:rPr>
          <w:rFonts w:cstheme="minorHAnsi"/>
          <w:lang w:val="en-AU"/>
        </w:rPr>
        <w:t xml:space="preserve">, </w:t>
      </w:r>
      <w:proofErr w:type="spellStart"/>
      <w:r w:rsidRPr="00073A12">
        <w:rPr>
          <w:rFonts w:cstheme="minorHAnsi"/>
          <w:lang w:val="en-AU"/>
        </w:rPr>
        <w:t>Kalma</w:t>
      </w:r>
      <w:proofErr w:type="spellEnd"/>
      <w:r w:rsidRPr="00073A12">
        <w:rPr>
          <w:rFonts w:cstheme="minorHAnsi"/>
          <w:lang w:val="en-AU"/>
        </w:rPr>
        <w:t xml:space="preserve">, Xanax, </w:t>
      </w:r>
      <w:proofErr w:type="spellStart"/>
      <w:r w:rsidRPr="00073A12">
        <w:rPr>
          <w:rFonts w:cstheme="minorHAnsi"/>
          <w:lang w:val="en-AU"/>
        </w:rPr>
        <w:t>Zamhexal</w:t>
      </w:r>
      <w:proofErr w:type="spellEnd"/>
      <w:r w:rsidRPr="00073A12">
        <w:rPr>
          <w:rFonts w:cstheme="minorHAnsi"/>
          <w:lang w:val="en-AU"/>
        </w:rPr>
        <w:t>)</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Bromazepam</w:t>
      </w:r>
      <w:proofErr w:type="spellEnd"/>
      <w:r w:rsidRPr="00073A12">
        <w:rPr>
          <w:rFonts w:cstheme="minorHAnsi"/>
          <w:lang w:val="en-AU"/>
        </w:rPr>
        <w:t xml:space="preserve"> (e.g. </w:t>
      </w:r>
      <w:proofErr w:type="spellStart"/>
      <w:r w:rsidRPr="00073A12">
        <w:rPr>
          <w:rFonts w:cstheme="minorHAnsi"/>
          <w:lang w:val="en-AU"/>
        </w:rPr>
        <w:t>Lexotan</w:t>
      </w:r>
      <w:proofErr w:type="spellEnd"/>
      <w:r w:rsidRPr="00073A12">
        <w:rPr>
          <w:rFonts w:cstheme="minorHAnsi"/>
          <w:lang w:val="en-AU"/>
        </w:rPr>
        <w:t>)</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Clobazam</w:t>
      </w:r>
      <w:proofErr w:type="spellEnd"/>
      <w:r w:rsidRPr="00073A12">
        <w:rPr>
          <w:rFonts w:cstheme="minorHAnsi"/>
          <w:lang w:val="en-AU"/>
        </w:rPr>
        <w:t xml:space="preserve"> (e.g. </w:t>
      </w:r>
      <w:proofErr w:type="spellStart"/>
      <w:r w:rsidRPr="00073A12">
        <w:rPr>
          <w:rFonts w:cstheme="minorHAnsi"/>
          <w:lang w:val="en-AU"/>
        </w:rPr>
        <w:t>Frisium</w:t>
      </w:r>
      <w:proofErr w:type="spellEnd"/>
      <w:r w:rsidRPr="00073A12">
        <w:rPr>
          <w:rFonts w:cstheme="minorHAnsi"/>
          <w:lang w:val="en-AU"/>
        </w:rPr>
        <w:t>)</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Clonazepam (e.g. </w:t>
      </w:r>
      <w:proofErr w:type="spellStart"/>
      <w:r w:rsidRPr="00073A12">
        <w:rPr>
          <w:rFonts w:cstheme="minorHAnsi"/>
          <w:lang w:val="en-AU"/>
        </w:rPr>
        <w:t>Rivotril</w:t>
      </w:r>
      <w:proofErr w:type="spellEnd"/>
      <w:r w:rsidRPr="00073A12">
        <w:rPr>
          <w:rFonts w:cstheme="minorHAnsi"/>
          <w:lang w:val="en-AU"/>
        </w:rPr>
        <w:t xml:space="preserve">, </w:t>
      </w:r>
      <w:proofErr w:type="spellStart"/>
      <w:r w:rsidRPr="00073A12">
        <w:rPr>
          <w:rFonts w:cstheme="minorHAnsi"/>
          <w:lang w:val="en-AU"/>
        </w:rPr>
        <w:t>Paxam</w:t>
      </w:r>
      <w:proofErr w:type="spellEnd"/>
      <w:r w:rsidRPr="00073A12">
        <w:rPr>
          <w:rFonts w:cstheme="minorHAnsi"/>
          <w:lang w:val="en-AU"/>
        </w:rPr>
        <w:t>)</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Diazepam (e.g. </w:t>
      </w:r>
      <w:proofErr w:type="spellStart"/>
      <w:r w:rsidRPr="00073A12">
        <w:rPr>
          <w:rFonts w:cstheme="minorHAnsi"/>
          <w:lang w:val="en-AU"/>
        </w:rPr>
        <w:t>Ducene</w:t>
      </w:r>
      <w:proofErr w:type="spellEnd"/>
      <w:r w:rsidRPr="00073A12">
        <w:rPr>
          <w:rFonts w:cstheme="minorHAnsi"/>
          <w:lang w:val="en-AU"/>
        </w:rPr>
        <w:t xml:space="preserve">, </w:t>
      </w:r>
      <w:proofErr w:type="spellStart"/>
      <w:r w:rsidRPr="00073A12">
        <w:rPr>
          <w:rFonts w:cstheme="minorHAnsi"/>
          <w:lang w:val="en-AU"/>
        </w:rPr>
        <w:t>Valpam</w:t>
      </w:r>
      <w:proofErr w:type="spellEnd"/>
      <w:r w:rsidRPr="00073A12">
        <w:rPr>
          <w:rFonts w:cstheme="minorHAnsi"/>
          <w:lang w:val="en-AU"/>
        </w:rPr>
        <w:t>)</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Flunitrazepam</w:t>
      </w:r>
      <w:proofErr w:type="spellEnd"/>
      <w:r w:rsidRPr="00073A12">
        <w:rPr>
          <w:rFonts w:cstheme="minorHAnsi"/>
          <w:lang w:val="en-AU"/>
        </w:rPr>
        <w:t xml:space="preserve"> (e.g. </w:t>
      </w:r>
      <w:proofErr w:type="spellStart"/>
      <w:r w:rsidRPr="00073A12">
        <w:rPr>
          <w:rFonts w:cstheme="minorHAnsi"/>
          <w:lang w:val="en-AU"/>
        </w:rPr>
        <w:t>Hypnodorm</w:t>
      </w:r>
      <w:proofErr w:type="spellEnd"/>
      <w:r w:rsidRPr="00073A12">
        <w:rPr>
          <w:rFonts w:cstheme="minorHAnsi"/>
          <w:lang w:val="en-AU"/>
        </w:rPr>
        <w:t>)</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Lorazepam (e.g. Ativan)</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Midazolam (e.g. </w:t>
      </w:r>
      <w:proofErr w:type="spellStart"/>
      <w:r w:rsidRPr="00073A12">
        <w:rPr>
          <w:rFonts w:cstheme="minorHAnsi"/>
          <w:lang w:val="en-AU"/>
        </w:rPr>
        <w:t>Hypnovel</w:t>
      </w:r>
      <w:proofErr w:type="spellEnd"/>
      <w:r w:rsidRPr="00073A12">
        <w:rPr>
          <w:rFonts w:cstheme="minorHAnsi"/>
          <w:lang w:val="en-AU"/>
        </w:rPr>
        <w:t>)</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Nitrazepam</w:t>
      </w:r>
      <w:proofErr w:type="spellEnd"/>
      <w:r w:rsidRPr="00073A12">
        <w:rPr>
          <w:rFonts w:cstheme="minorHAnsi"/>
          <w:lang w:val="en-AU"/>
        </w:rPr>
        <w:t xml:space="preserve"> (e.g. </w:t>
      </w:r>
      <w:proofErr w:type="spellStart"/>
      <w:r w:rsidRPr="00073A12">
        <w:rPr>
          <w:rFonts w:cstheme="minorHAnsi"/>
          <w:lang w:val="en-AU"/>
        </w:rPr>
        <w:t>Mogadon</w:t>
      </w:r>
      <w:proofErr w:type="spellEnd"/>
      <w:r w:rsidRPr="00073A12">
        <w:rPr>
          <w:rFonts w:cstheme="minorHAnsi"/>
          <w:lang w:val="en-AU"/>
        </w:rPr>
        <w:t xml:space="preserve">, </w:t>
      </w:r>
      <w:proofErr w:type="spellStart"/>
      <w:r w:rsidRPr="00073A12">
        <w:rPr>
          <w:rFonts w:cstheme="minorHAnsi"/>
          <w:lang w:val="en-AU"/>
        </w:rPr>
        <w:t>Alodorm</w:t>
      </w:r>
      <w:proofErr w:type="spellEnd"/>
      <w:r w:rsidRPr="00073A12">
        <w:rPr>
          <w:rFonts w:cstheme="minorHAnsi"/>
          <w:lang w:val="en-AU"/>
        </w:rPr>
        <w:t>)</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Oxazepam</w:t>
      </w:r>
      <w:proofErr w:type="spellEnd"/>
      <w:r w:rsidRPr="00073A12">
        <w:rPr>
          <w:rFonts w:cstheme="minorHAnsi"/>
          <w:lang w:val="en-AU"/>
        </w:rPr>
        <w:t xml:space="preserve"> (e.g. </w:t>
      </w:r>
      <w:proofErr w:type="spellStart"/>
      <w:r w:rsidRPr="00073A12">
        <w:rPr>
          <w:rFonts w:cstheme="minorHAnsi"/>
          <w:lang w:val="en-AU"/>
        </w:rPr>
        <w:t>Alepam</w:t>
      </w:r>
      <w:proofErr w:type="spellEnd"/>
      <w:r w:rsidRPr="00073A12">
        <w:rPr>
          <w:rFonts w:cstheme="minorHAnsi"/>
          <w:lang w:val="en-AU"/>
        </w:rPr>
        <w:t xml:space="preserve">, </w:t>
      </w:r>
      <w:proofErr w:type="spellStart"/>
      <w:r w:rsidRPr="00073A12">
        <w:rPr>
          <w:rFonts w:cstheme="minorHAnsi"/>
          <w:lang w:val="en-AU"/>
        </w:rPr>
        <w:t>Murelax</w:t>
      </w:r>
      <w:proofErr w:type="spellEnd"/>
      <w:r w:rsidRPr="00073A12">
        <w:rPr>
          <w:rFonts w:cstheme="minorHAnsi"/>
          <w:lang w:val="en-AU"/>
        </w:rPr>
        <w:t xml:space="preserve">, </w:t>
      </w:r>
      <w:proofErr w:type="spellStart"/>
      <w:r w:rsidRPr="00073A12">
        <w:rPr>
          <w:rFonts w:cstheme="minorHAnsi"/>
          <w:lang w:val="en-AU"/>
        </w:rPr>
        <w:t>Serepax</w:t>
      </w:r>
      <w:proofErr w:type="spellEnd"/>
      <w:r w:rsidRPr="00073A12">
        <w:rPr>
          <w:rFonts w:cstheme="minorHAnsi"/>
          <w:lang w:val="en-AU"/>
        </w:rPr>
        <w:t>)</w:t>
      </w:r>
    </w:p>
    <w:p w:rsidR="00244760" w:rsidRPr="00073A12" w:rsidRDefault="00244760" w:rsidP="0086046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Temazepam</w:t>
      </w:r>
      <w:proofErr w:type="spellEnd"/>
      <w:r w:rsidRPr="00073A12">
        <w:rPr>
          <w:rFonts w:cstheme="minorHAnsi"/>
          <w:lang w:val="en-AU"/>
        </w:rPr>
        <w:t xml:space="preserve"> (e.g. </w:t>
      </w:r>
      <w:proofErr w:type="spellStart"/>
      <w:r w:rsidRPr="00073A12">
        <w:rPr>
          <w:rFonts w:cstheme="minorHAnsi"/>
          <w:lang w:val="en-AU"/>
        </w:rPr>
        <w:t>Normison</w:t>
      </w:r>
      <w:proofErr w:type="spellEnd"/>
      <w:r w:rsidRPr="00073A12">
        <w:rPr>
          <w:rFonts w:cstheme="minorHAnsi"/>
          <w:lang w:val="en-AU"/>
        </w:rPr>
        <w:t xml:space="preserve">, </w:t>
      </w:r>
      <w:proofErr w:type="spellStart"/>
      <w:r w:rsidRPr="00073A12">
        <w:rPr>
          <w:rFonts w:cstheme="minorHAnsi"/>
          <w:lang w:val="en-AU"/>
        </w:rPr>
        <w:t>Temaze</w:t>
      </w:r>
      <w:proofErr w:type="spellEnd"/>
      <w:r w:rsidRPr="00073A12">
        <w:rPr>
          <w:rFonts w:cstheme="minorHAnsi"/>
          <w:lang w:val="en-AU"/>
        </w:rPr>
        <w:t xml:space="preserve">, </w:t>
      </w:r>
      <w:proofErr w:type="spellStart"/>
      <w:r w:rsidRPr="00073A12">
        <w:rPr>
          <w:rFonts w:cstheme="minorHAnsi"/>
          <w:lang w:val="en-AU"/>
        </w:rPr>
        <w:t>Temtabs</w:t>
      </w:r>
      <w:proofErr w:type="spellEnd"/>
      <w:r w:rsidRPr="00073A12">
        <w:rPr>
          <w:rFonts w:cstheme="minorHAnsi"/>
          <w:lang w:val="en-AU"/>
        </w:rPr>
        <w:t>)</w:t>
      </w:r>
    </w:p>
    <w:p w:rsidR="00244760" w:rsidRPr="00073A12" w:rsidRDefault="00244760" w:rsidP="00B941B3">
      <w:pPr>
        <w:pStyle w:val="8SubHeadingh5"/>
        <w:spacing w:before="240"/>
        <w:ind w:right="-29"/>
        <w:rPr>
          <w:lang w:val="en-AU"/>
        </w:rPr>
      </w:pPr>
      <w:r w:rsidRPr="00073A12">
        <w:rPr>
          <w:rStyle w:val="Strong"/>
          <w:b/>
          <w:bCs/>
          <w:lang w:val="en-AU"/>
        </w:rPr>
        <w:t>Antiepileptic medicines associated with drowsiness</w:t>
      </w:r>
    </w:p>
    <w:p w:rsidR="00244760" w:rsidRPr="00073A12" w:rsidRDefault="00244760" w:rsidP="00B26FE5">
      <w:pPr>
        <w:pStyle w:val="NormalWeb"/>
        <w:spacing w:before="120" w:beforeAutospacing="0" w:after="120" w:afterAutospacing="0" w:line="276" w:lineRule="auto"/>
        <w:contextualSpacing/>
        <w:rPr>
          <w:rFonts w:asciiTheme="minorHAnsi" w:hAnsiTheme="minorHAnsi" w:cstheme="minorHAnsi"/>
        </w:rPr>
      </w:pPr>
      <w:r w:rsidRPr="00073A12">
        <w:rPr>
          <w:rFonts w:asciiTheme="minorHAnsi" w:hAnsiTheme="minorHAnsi" w:cstheme="minorHAnsi"/>
        </w:rPr>
        <w:t>The antiepileptic medicines listed below can cause drowsiness, and therefore have the potential to influence swallowing by association, especially during eating.</w:t>
      </w:r>
    </w:p>
    <w:p w:rsidR="00244760" w:rsidRPr="00073A12" w:rsidRDefault="00244760" w:rsidP="0086046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Carbamazepine (e.g. </w:t>
      </w:r>
      <w:proofErr w:type="spellStart"/>
      <w:r w:rsidRPr="00073A12">
        <w:rPr>
          <w:rFonts w:cstheme="minorHAnsi"/>
          <w:lang w:val="en-AU"/>
        </w:rPr>
        <w:t>Tegretol</w:t>
      </w:r>
      <w:proofErr w:type="spellEnd"/>
      <w:r w:rsidRPr="00073A12">
        <w:rPr>
          <w:rFonts w:cstheme="minorHAnsi"/>
          <w:lang w:val="en-AU"/>
        </w:rPr>
        <w:t xml:space="preserve">, </w:t>
      </w:r>
      <w:proofErr w:type="spellStart"/>
      <w:r w:rsidRPr="00073A12">
        <w:rPr>
          <w:rFonts w:cstheme="minorHAnsi"/>
          <w:lang w:val="en-AU"/>
        </w:rPr>
        <w:t>Teril</w:t>
      </w:r>
      <w:proofErr w:type="spellEnd"/>
      <w:r w:rsidRPr="00073A12">
        <w:rPr>
          <w:rFonts w:cstheme="minorHAnsi"/>
          <w:lang w:val="en-AU"/>
        </w:rPr>
        <w:t>)</w:t>
      </w:r>
    </w:p>
    <w:p w:rsidR="00244760" w:rsidRPr="00073A12" w:rsidRDefault="00244760" w:rsidP="0086046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Clonazepam (e.g. </w:t>
      </w:r>
      <w:proofErr w:type="spellStart"/>
      <w:r w:rsidRPr="00073A12">
        <w:rPr>
          <w:rFonts w:cstheme="minorHAnsi"/>
          <w:lang w:val="en-AU"/>
        </w:rPr>
        <w:t>Rivotril</w:t>
      </w:r>
      <w:proofErr w:type="spellEnd"/>
      <w:r w:rsidRPr="00073A12">
        <w:rPr>
          <w:rFonts w:cstheme="minorHAnsi"/>
          <w:lang w:val="en-AU"/>
        </w:rPr>
        <w:t xml:space="preserve">, </w:t>
      </w:r>
      <w:proofErr w:type="spellStart"/>
      <w:r w:rsidRPr="00073A12">
        <w:rPr>
          <w:rFonts w:cstheme="minorHAnsi"/>
          <w:lang w:val="en-AU"/>
        </w:rPr>
        <w:t>Paxam</w:t>
      </w:r>
      <w:proofErr w:type="spellEnd"/>
      <w:r w:rsidRPr="00073A12">
        <w:rPr>
          <w:rFonts w:cstheme="minorHAnsi"/>
          <w:lang w:val="en-AU"/>
        </w:rPr>
        <w:t>)</w:t>
      </w:r>
    </w:p>
    <w:p w:rsidR="00244760" w:rsidRPr="00244161" w:rsidRDefault="00244760" w:rsidP="0086046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fr-FR"/>
        </w:rPr>
      </w:pPr>
      <w:proofErr w:type="spellStart"/>
      <w:r w:rsidRPr="00244161">
        <w:rPr>
          <w:rFonts w:cstheme="minorHAnsi"/>
          <w:lang w:val="fr-FR"/>
        </w:rPr>
        <w:t>Gabapentin</w:t>
      </w:r>
      <w:proofErr w:type="spellEnd"/>
      <w:r w:rsidRPr="00244161">
        <w:rPr>
          <w:rFonts w:cstheme="minorHAnsi"/>
          <w:lang w:val="fr-FR"/>
        </w:rPr>
        <w:t xml:space="preserve"> (</w:t>
      </w:r>
      <w:proofErr w:type="spellStart"/>
      <w:r w:rsidRPr="00244161">
        <w:rPr>
          <w:rFonts w:cstheme="minorHAnsi"/>
          <w:lang w:val="fr-FR"/>
        </w:rPr>
        <w:t>e.g</w:t>
      </w:r>
      <w:proofErr w:type="spellEnd"/>
      <w:r w:rsidRPr="00244161">
        <w:rPr>
          <w:rFonts w:cstheme="minorHAnsi"/>
          <w:lang w:val="fr-FR"/>
        </w:rPr>
        <w:t xml:space="preserve">. </w:t>
      </w:r>
      <w:proofErr w:type="spellStart"/>
      <w:r w:rsidRPr="00244161">
        <w:rPr>
          <w:rFonts w:cstheme="minorHAnsi"/>
          <w:lang w:val="fr-FR"/>
        </w:rPr>
        <w:t>Neurontin</w:t>
      </w:r>
      <w:proofErr w:type="spellEnd"/>
      <w:r w:rsidRPr="00244161">
        <w:rPr>
          <w:rFonts w:cstheme="minorHAnsi"/>
          <w:lang w:val="fr-FR"/>
        </w:rPr>
        <w:t xml:space="preserve">, </w:t>
      </w:r>
      <w:proofErr w:type="spellStart"/>
      <w:r w:rsidRPr="00244161">
        <w:rPr>
          <w:rFonts w:cstheme="minorHAnsi"/>
          <w:lang w:val="fr-FR"/>
        </w:rPr>
        <w:t>Nupentin</w:t>
      </w:r>
      <w:proofErr w:type="spellEnd"/>
      <w:r w:rsidRPr="00244161">
        <w:rPr>
          <w:rFonts w:cstheme="minorHAnsi"/>
          <w:lang w:val="fr-FR"/>
        </w:rPr>
        <w:t xml:space="preserve">, </w:t>
      </w:r>
      <w:proofErr w:type="spellStart"/>
      <w:r w:rsidRPr="00244161">
        <w:rPr>
          <w:rFonts w:cstheme="minorHAnsi"/>
          <w:lang w:val="fr-FR"/>
        </w:rPr>
        <w:t>Pendine</w:t>
      </w:r>
      <w:proofErr w:type="spellEnd"/>
      <w:r w:rsidRPr="00244161">
        <w:rPr>
          <w:rFonts w:cstheme="minorHAnsi"/>
          <w:lang w:val="fr-FR"/>
        </w:rPr>
        <w:t xml:space="preserve">, </w:t>
      </w:r>
      <w:proofErr w:type="spellStart"/>
      <w:r w:rsidRPr="00244161">
        <w:rPr>
          <w:rFonts w:cstheme="minorHAnsi"/>
          <w:lang w:val="fr-FR"/>
        </w:rPr>
        <w:t>Gabaran</w:t>
      </w:r>
      <w:proofErr w:type="spellEnd"/>
      <w:r w:rsidRPr="00244161">
        <w:rPr>
          <w:rFonts w:cstheme="minorHAnsi"/>
          <w:lang w:val="fr-FR"/>
        </w:rPr>
        <w:t xml:space="preserve">, </w:t>
      </w:r>
      <w:proofErr w:type="spellStart"/>
      <w:r w:rsidRPr="00244161">
        <w:rPr>
          <w:rFonts w:cstheme="minorHAnsi"/>
          <w:lang w:val="fr-FR"/>
        </w:rPr>
        <w:t>Gantin</w:t>
      </w:r>
      <w:proofErr w:type="spellEnd"/>
      <w:r w:rsidRPr="00244161">
        <w:rPr>
          <w:rFonts w:cstheme="minorHAnsi"/>
          <w:lang w:val="fr-FR"/>
        </w:rPr>
        <w:t>)</w:t>
      </w:r>
    </w:p>
    <w:p w:rsidR="00244760" w:rsidRPr="00073A12" w:rsidRDefault="00244760" w:rsidP="0086046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Lamotrigine (in combination with other medicines; e.g. </w:t>
      </w:r>
      <w:proofErr w:type="spellStart"/>
      <w:r w:rsidRPr="00073A12">
        <w:rPr>
          <w:rFonts w:cstheme="minorHAnsi"/>
          <w:lang w:val="en-AU"/>
        </w:rPr>
        <w:t>Elmendos</w:t>
      </w:r>
      <w:proofErr w:type="spellEnd"/>
      <w:r w:rsidRPr="00073A12">
        <w:rPr>
          <w:rFonts w:cstheme="minorHAnsi"/>
          <w:lang w:val="en-AU"/>
        </w:rPr>
        <w:t xml:space="preserve">, </w:t>
      </w:r>
      <w:proofErr w:type="spellStart"/>
      <w:r w:rsidRPr="00073A12">
        <w:rPr>
          <w:rFonts w:cstheme="minorHAnsi"/>
          <w:lang w:val="en-AU"/>
        </w:rPr>
        <w:t>Lamictal</w:t>
      </w:r>
      <w:proofErr w:type="spellEnd"/>
      <w:r w:rsidRPr="00073A12">
        <w:rPr>
          <w:rFonts w:cstheme="minorHAnsi"/>
          <w:lang w:val="en-AU"/>
        </w:rPr>
        <w:t xml:space="preserve">, </w:t>
      </w:r>
      <w:proofErr w:type="spellStart"/>
      <w:r w:rsidRPr="00073A12">
        <w:rPr>
          <w:rFonts w:cstheme="minorHAnsi"/>
          <w:lang w:val="en-AU"/>
        </w:rPr>
        <w:t>Lamidus</w:t>
      </w:r>
      <w:proofErr w:type="spellEnd"/>
      <w:r w:rsidRPr="00073A12">
        <w:rPr>
          <w:rFonts w:cstheme="minorHAnsi"/>
          <w:lang w:val="en-AU"/>
        </w:rPr>
        <w:t xml:space="preserve">, </w:t>
      </w:r>
      <w:proofErr w:type="spellStart"/>
      <w:r w:rsidRPr="00073A12">
        <w:rPr>
          <w:rFonts w:cstheme="minorHAnsi"/>
          <w:lang w:val="en-AU"/>
        </w:rPr>
        <w:t>Lamitrin</w:t>
      </w:r>
      <w:proofErr w:type="spellEnd"/>
      <w:r w:rsidRPr="00073A12">
        <w:rPr>
          <w:rFonts w:cstheme="minorHAnsi"/>
          <w:lang w:val="en-AU"/>
        </w:rPr>
        <w:t xml:space="preserve">, </w:t>
      </w:r>
      <w:proofErr w:type="spellStart"/>
      <w:r w:rsidRPr="00073A12">
        <w:rPr>
          <w:rFonts w:cstheme="minorHAnsi"/>
          <w:lang w:val="en-AU"/>
        </w:rPr>
        <w:t>Lamogine</w:t>
      </w:r>
      <w:proofErr w:type="spellEnd"/>
      <w:r w:rsidRPr="00073A12">
        <w:rPr>
          <w:rFonts w:cstheme="minorHAnsi"/>
          <w:lang w:val="en-AU"/>
        </w:rPr>
        <w:t>)</w:t>
      </w:r>
    </w:p>
    <w:p w:rsidR="00244760" w:rsidRPr="00073A12" w:rsidRDefault="00244760" w:rsidP="0086046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Phenobarbital (e.g. </w:t>
      </w:r>
      <w:proofErr w:type="spellStart"/>
      <w:r w:rsidRPr="00073A12">
        <w:rPr>
          <w:rFonts w:cstheme="minorHAnsi"/>
          <w:lang w:val="en-AU"/>
        </w:rPr>
        <w:t>Phenobarb</w:t>
      </w:r>
      <w:proofErr w:type="spellEnd"/>
      <w:r w:rsidRPr="00073A12">
        <w:rPr>
          <w:rFonts w:cstheme="minorHAnsi"/>
          <w:lang w:val="en-AU"/>
        </w:rPr>
        <w:t>)</w:t>
      </w:r>
    </w:p>
    <w:p w:rsidR="00244760" w:rsidRPr="00073A12" w:rsidRDefault="00244760" w:rsidP="0086046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t>Pregabalin</w:t>
      </w:r>
      <w:proofErr w:type="spellEnd"/>
      <w:r w:rsidRPr="00073A12">
        <w:rPr>
          <w:rFonts w:cstheme="minorHAnsi"/>
          <w:lang w:val="en-AU"/>
        </w:rPr>
        <w:t xml:space="preserve"> (e.g. Lyrica)</w:t>
      </w:r>
    </w:p>
    <w:p w:rsidR="00244760" w:rsidRPr="00073A12" w:rsidRDefault="00244760" w:rsidP="0086046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 xml:space="preserve">Valproate (in combination with other medicines; e.g. </w:t>
      </w:r>
      <w:proofErr w:type="spellStart"/>
      <w:r w:rsidRPr="00073A12">
        <w:rPr>
          <w:rFonts w:cstheme="minorHAnsi"/>
          <w:lang w:val="en-AU"/>
        </w:rPr>
        <w:t>Epilim</w:t>
      </w:r>
      <w:proofErr w:type="spellEnd"/>
      <w:r w:rsidRPr="00073A12">
        <w:rPr>
          <w:rFonts w:cstheme="minorHAnsi"/>
          <w:lang w:val="en-AU"/>
        </w:rPr>
        <w:t xml:space="preserve">, </w:t>
      </w:r>
      <w:proofErr w:type="spellStart"/>
      <w:r w:rsidRPr="00073A12">
        <w:rPr>
          <w:rFonts w:cstheme="minorHAnsi"/>
          <w:lang w:val="en-AU"/>
        </w:rPr>
        <w:t>Valpro</w:t>
      </w:r>
      <w:proofErr w:type="spellEnd"/>
      <w:r w:rsidRPr="00073A12">
        <w:rPr>
          <w:rFonts w:cstheme="minorHAnsi"/>
          <w:lang w:val="en-AU"/>
        </w:rPr>
        <w:t>)</w:t>
      </w:r>
    </w:p>
    <w:p w:rsidR="00244760" w:rsidRPr="00073A12" w:rsidRDefault="00244760" w:rsidP="0086046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proofErr w:type="spellStart"/>
      <w:r w:rsidRPr="00073A12">
        <w:rPr>
          <w:rFonts w:cstheme="minorHAnsi"/>
          <w:lang w:val="en-AU"/>
        </w:rPr>
        <w:lastRenderedPageBreak/>
        <w:t>Vigabatrin</w:t>
      </w:r>
      <w:proofErr w:type="spellEnd"/>
      <w:r w:rsidRPr="00073A12">
        <w:rPr>
          <w:rFonts w:cstheme="minorHAnsi"/>
          <w:lang w:val="en-AU"/>
        </w:rPr>
        <w:t xml:space="preserve"> (e.g. </w:t>
      </w:r>
      <w:proofErr w:type="spellStart"/>
      <w:r w:rsidRPr="00073A12">
        <w:rPr>
          <w:rFonts w:cstheme="minorHAnsi"/>
          <w:lang w:val="en-AU"/>
        </w:rPr>
        <w:t>Sabril</w:t>
      </w:r>
      <w:proofErr w:type="spellEnd"/>
      <w:r w:rsidRPr="00073A12">
        <w:rPr>
          <w:rFonts w:cstheme="minorHAnsi"/>
          <w:lang w:val="en-AU"/>
        </w:rPr>
        <w:t>)</w:t>
      </w:r>
    </w:p>
    <w:p w:rsidR="00244760" w:rsidRPr="00073A12" w:rsidRDefault="00244760" w:rsidP="00B941B3">
      <w:pPr>
        <w:pStyle w:val="8SubHeadingh5"/>
        <w:spacing w:before="240"/>
        <w:ind w:right="-29"/>
        <w:rPr>
          <w:lang w:val="en-AU"/>
        </w:rPr>
      </w:pPr>
      <w:r w:rsidRPr="00073A12">
        <w:rPr>
          <w:rStyle w:val="Strong"/>
          <w:b/>
          <w:bCs/>
          <w:lang w:val="en-AU"/>
        </w:rPr>
        <w:t>Commonly prescribed medicines which can affect swallowing</w:t>
      </w:r>
    </w:p>
    <w:p w:rsidR="00244760" w:rsidRPr="00073A12" w:rsidRDefault="00244760" w:rsidP="00244760">
      <w:pPr>
        <w:pStyle w:val="NormalWeb"/>
        <w:spacing w:before="120" w:beforeAutospacing="0" w:after="120" w:afterAutospacing="0"/>
        <w:contextualSpacing/>
        <w:rPr>
          <w:rFonts w:asciiTheme="minorHAnsi" w:hAnsiTheme="minorHAnsi" w:cstheme="minorHAnsi"/>
        </w:rPr>
      </w:pPr>
      <w:r w:rsidRPr="00073A12">
        <w:rPr>
          <w:rFonts w:asciiTheme="minorHAnsi" w:hAnsiTheme="minorHAnsi" w:cstheme="minorHAnsi"/>
        </w:rPr>
        <w:t>Preliminary data reported to us has identified that the three most commonly prescribed medicines used for the purposes of behaviour support are types associated with swallowing problems. These medicines are:</w:t>
      </w:r>
    </w:p>
    <w:p w:rsidR="00244760" w:rsidRPr="00073A12" w:rsidRDefault="00244760" w:rsidP="0086046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Risperidone (antipsychotic)</w:t>
      </w:r>
    </w:p>
    <w:p w:rsidR="00244760" w:rsidRPr="00073A12" w:rsidRDefault="00244760" w:rsidP="0086046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Sodium valproate (antiepileptic)</w:t>
      </w:r>
    </w:p>
    <w:p w:rsidR="00244760" w:rsidRPr="00073A12" w:rsidRDefault="00244760" w:rsidP="0086046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heme="minorHAnsi"/>
          <w:lang w:val="en-AU"/>
        </w:rPr>
      </w:pPr>
      <w:r w:rsidRPr="00073A12">
        <w:rPr>
          <w:rFonts w:cstheme="minorHAnsi"/>
          <w:lang w:val="en-AU"/>
        </w:rPr>
        <w:t>Olanzapine (antipsychotic)</w:t>
      </w:r>
    </w:p>
    <w:p w:rsidR="00F11D81" w:rsidRPr="00073A12" w:rsidRDefault="00244760" w:rsidP="00DE2061">
      <w:pPr>
        <w:pStyle w:val="7Headingh4"/>
        <w:spacing w:before="240"/>
        <w:rPr>
          <w:lang w:val="en-AU"/>
        </w:rPr>
      </w:pPr>
      <w:r w:rsidRPr="00073A12">
        <w:rPr>
          <w:lang w:val="en-AU"/>
        </w:rPr>
        <w:t>References</w:t>
      </w:r>
    </w:p>
    <w:p w:rsidR="00244760" w:rsidRPr="00073A12" w:rsidRDefault="00244760" w:rsidP="00C110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cstheme="minorHAnsi"/>
          <w:lang w:val="en-AU"/>
        </w:rPr>
      </w:pPr>
      <w:proofErr w:type="spellStart"/>
      <w:r w:rsidRPr="00244161">
        <w:rPr>
          <w:rFonts w:cstheme="minorHAnsi"/>
          <w:lang w:val="fr-FR"/>
        </w:rPr>
        <w:t>Cicala</w:t>
      </w:r>
      <w:proofErr w:type="spellEnd"/>
      <w:r w:rsidRPr="00244161">
        <w:rPr>
          <w:rFonts w:cstheme="minorHAnsi"/>
          <w:lang w:val="fr-FR"/>
        </w:rPr>
        <w:t xml:space="preserve">, G., Barbieri, M. A., Spina, E., &amp; de </w:t>
      </w:r>
      <w:proofErr w:type="spellStart"/>
      <w:r w:rsidRPr="00244161">
        <w:rPr>
          <w:rFonts w:cstheme="minorHAnsi"/>
          <w:lang w:val="fr-FR"/>
        </w:rPr>
        <w:t>Leon</w:t>
      </w:r>
      <w:proofErr w:type="spellEnd"/>
      <w:r w:rsidRPr="00244161">
        <w:rPr>
          <w:rFonts w:cstheme="minorHAnsi"/>
          <w:lang w:val="fr-FR"/>
        </w:rPr>
        <w:t xml:space="preserve">, J. (2019). </w:t>
      </w:r>
      <w:r w:rsidRPr="00073A12">
        <w:rPr>
          <w:rFonts w:cstheme="minorHAnsi"/>
          <w:lang w:val="en-AU"/>
        </w:rPr>
        <w:t>A comprehensive review of swallowing difficulties and dysphagia associated with antipsychotics in adults. Expert Review of Clinical Pharmacology, 12(3)</w:t>
      </w:r>
      <w:proofErr w:type="gramStart"/>
      <w:r w:rsidRPr="00073A12">
        <w:rPr>
          <w:rFonts w:cstheme="minorHAnsi"/>
          <w:lang w:val="en-AU"/>
        </w:rPr>
        <w:t>,219</w:t>
      </w:r>
      <w:proofErr w:type="gramEnd"/>
      <w:r w:rsidRPr="00073A12">
        <w:rPr>
          <w:rFonts w:cstheme="minorHAnsi"/>
          <w:lang w:val="en-AU"/>
        </w:rPr>
        <w:t xml:space="preserve">-234. </w:t>
      </w:r>
      <w:proofErr w:type="spellStart"/>
      <w:proofErr w:type="gramStart"/>
      <w:r w:rsidRPr="00073A12">
        <w:rPr>
          <w:rFonts w:cstheme="minorHAnsi"/>
          <w:lang w:val="en-AU"/>
        </w:rPr>
        <w:t>doi</w:t>
      </w:r>
      <w:proofErr w:type="spellEnd"/>
      <w:proofErr w:type="gramEnd"/>
      <w:r w:rsidRPr="00073A12">
        <w:rPr>
          <w:rFonts w:cstheme="minorHAnsi"/>
          <w:lang w:val="en-AU"/>
        </w:rPr>
        <w:t>: 10.1080/17512433.2019.1577134</w:t>
      </w:r>
    </w:p>
    <w:p w:rsidR="00244760" w:rsidRPr="00073A12" w:rsidRDefault="00244760" w:rsidP="00C110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cstheme="minorHAnsi"/>
          <w:lang w:val="en-AU"/>
        </w:rPr>
      </w:pPr>
      <w:r w:rsidRPr="00073A12">
        <w:rPr>
          <w:rFonts w:cstheme="minorHAnsi"/>
          <w:lang w:val="en-AU"/>
        </w:rPr>
        <w:t xml:space="preserve">Crouse, E. L., </w:t>
      </w:r>
      <w:proofErr w:type="spellStart"/>
      <w:r w:rsidRPr="00073A12">
        <w:rPr>
          <w:rFonts w:cstheme="minorHAnsi"/>
          <w:lang w:val="en-AU"/>
        </w:rPr>
        <w:t>Alastanos</w:t>
      </w:r>
      <w:proofErr w:type="spellEnd"/>
      <w:r w:rsidRPr="00073A12">
        <w:rPr>
          <w:rFonts w:cstheme="minorHAnsi"/>
          <w:lang w:val="en-AU"/>
        </w:rPr>
        <w:t xml:space="preserve">, J. N., </w:t>
      </w:r>
      <w:proofErr w:type="spellStart"/>
      <w:r w:rsidRPr="00073A12">
        <w:rPr>
          <w:rFonts w:cstheme="minorHAnsi"/>
          <w:lang w:val="en-AU"/>
        </w:rPr>
        <w:t>Bozymski</w:t>
      </w:r>
      <w:proofErr w:type="spellEnd"/>
      <w:r w:rsidRPr="00073A12">
        <w:rPr>
          <w:rFonts w:cstheme="minorHAnsi"/>
          <w:lang w:val="en-AU"/>
        </w:rPr>
        <w:t xml:space="preserve">, K. M, &amp; </w:t>
      </w:r>
      <w:proofErr w:type="spellStart"/>
      <w:r w:rsidRPr="00073A12">
        <w:rPr>
          <w:rFonts w:cstheme="minorHAnsi"/>
          <w:lang w:val="en-AU"/>
        </w:rPr>
        <w:t>Toscano</w:t>
      </w:r>
      <w:proofErr w:type="spellEnd"/>
      <w:r w:rsidRPr="00073A12">
        <w:rPr>
          <w:rFonts w:cstheme="minorHAnsi"/>
          <w:lang w:val="en-AU"/>
        </w:rPr>
        <w:t xml:space="preserve">, R. M. (2017). Dysphagia with second-generation antipsychotics: A case report and review of the literature. Mental Health Clinician, 7(2), 56-64. </w:t>
      </w:r>
      <w:proofErr w:type="spellStart"/>
      <w:proofErr w:type="gramStart"/>
      <w:r w:rsidRPr="00073A12">
        <w:rPr>
          <w:rFonts w:cstheme="minorHAnsi"/>
          <w:lang w:val="en-AU"/>
        </w:rPr>
        <w:t>doi</w:t>
      </w:r>
      <w:proofErr w:type="spellEnd"/>
      <w:proofErr w:type="gramEnd"/>
      <w:r w:rsidRPr="00073A12">
        <w:rPr>
          <w:rFonts w:cstheme="minorHAnsi"/>
          <w:lang w:val="en-AU"/>
        </w:rPr>
        <w:t>: 10.9740/mhc.2017.03.056</w:t>
      </w:r>
    </w:p>
    <w:p w:rsidR="00244760" w:rsidRPr="00073A12" w:rsidRDefault="00244760" w:rsidP="00C110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cstheme="minorHAnsi"/>
          <w:lang w:val="en-AU"/>
        </w:rPr>
      </w:pPr>
      <w:r w:rsidRPr="00073A12">
        <w:rPr>
          <w:rFonts w:cstheme="minorHAnsi"/>
          <w:lang w:val="en-AU"/>
        </w:rPr>
        <w:t>Kulkarni, D. P., Kamath, V. D., &amp; Stewart, J. T. (2017). Swallowing disorders in schizophrenia. Dysphagia, 32(4)</w:t>
      </w:r>
      <w:proofErr w:type="gramStart"/>
      <w:r w:rsidRPr="00073A12">
        <w:rPr>
          <w:rFonts w:cstheme="minorHAnsi"/>
          <w:lang w:val="en-AU"/>
        </w:rPr>
        <w:t>,467</w:t>
      </w:r>
      <w:proofErr w:type="gramEnd"/>
      <w:r w:rsidRPr="00073A12">
        <w:rPr>
          <w:rFonts w:cstheme="minorHAnsi"/>
          <w:lang w:val="en-AU"/>
        </w:rPr>
        <w:t xml:space="preserve">-471. </w:t>
      </w:r>
      <w:proofErr w:type="spellStart"/>
      <w:proofErr w:type="gramStart"/>
      <w:r w:rsidRPr="00073A12">
        <w:rPr>
          <w:rFonts w:cstheme="minorHAnsi"/>
          <w:lang w:val="en-AU"/>
        </w:rPr>
        <w:t>doi</w:t>
      </w:r>
      <w:proofErr w:type="spellEnd"/>
      <w:proofErr w:type="gramEnd"/>
      <w:r w:rsidRPr="00073A12">
        <w:rPr>
          <w:rFonts w:cstheme="minorHAnsi"/>
          <w:lang w:val="en-AU"/>
        </w:rPr>
        <w:t xml:space="preserve">: 10.1007/s00455-017-9802-6. </w:t>
      </w:r>
      <w:proofErr w:type="spellStart"/>
      <w:r w:rsidRPr="00073A12">
        <w:rPr>
          <w:rFonts w:cstheme="minorHAnsi"/>
          <w:lang w:val="en-AU"/>
        </w:rPr>
        <w:t>Epub</w:t>
      </w:r>
      <w:proofErr w:type="spellEnd"/>
      <w:r w:rsidRPr="00073A12">
        <w:rPr>
          <w:rFonts w:cstheme="minorHAnsi"/>
          <w:lang w:val="en-AU"/>
        </w:rPr>
        <w:t xml:space="preserve"> 2017 Apr 26.</w:t>
      </w:r>
    </w:p>
    <w:p w:rsidR="00244760" w:rsidRPr="00073A12" w:rsidRDefault="00244760" w:rsidP="00C110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cstheme="minorHAnsi"/>
          <w:lang w:val="en-AU"/>
        </w:rPr>
      </w:pPr>
      <w:proofErr w:type="spellStart"/>
      <w:r w:rsidRPr="00244161">
        <w:rPr>
          <w:rFonts w:cstheme="minorHAnsi"/>
          <w:lang w:val="fr-FR"/>
        </w:rPr>
        <w:t>Miarons</w:t>
      </w:r>
      <w:proofErr w:type="spellEnd"/>
      <w:r w:rsidRPr="00244161">
        <w:rPr>
          <w:rFonts w:cstheme="minorHAnsi"/>
          <w:lang w:val="fr-FR"/>
        </w:rPr>
        <w:t xml:space="preserve"> Font, M., &amp; </w:t>
      </w:r>
      <w:proofErr w:type="spellStart"/>
      <w:r w:rsidRPr="00244161">
        <w:rPr>
          <w:rFonts w:cstheme="minorHAnsi"/>
          <w:lang w:val="fr-FR"/>
        </w:rPr>
        <w:t>Rofes</w:t>
      </w:r>
      <w:proofErr w:type="spellEnd"/>
      <w:r w:rsidRPr="00244161">
        <w:rPr>
          <w:rFonts w:cstheme="minorHAnsi"/>
          <w:lang w:val="fr-FR"/>
        </w:rPr>
        <w:t xml:space="preserve"> </w:t>
      </w:r>
      <w:proofErr w:type="spellStart"/>
      <w:r w:rsidRPr="00244161">
        <w:rPr>
          <w:rFonts w:cstheme="minorHAnsi"/>
          <w:lang w:val="fr-FR"/>
        </w:rPr>
        <w:t>Salsench</w:t>
      </w:r>
      <w:proofErr w:type="spellEnd"/>
      <w:r w:rsidRPr="00244161">
        <w:rPr>
          <w:rFonts w:cstheme="minorHAnsi"/>
          <w:lang w:val="fr-FR"/>
        </w:rPr>
        <w:t xml:space="preserve">, L. (2017). </w:t>
      </w:r>
      <w:r w:rsidRPr="00073A12">
        <w:rPr>
          <w:rFonts w:cstheme="minorHAnsi"/>
          <w:lang w:val="en-AU"/>
        </w:rPr>
        <w:t xml:space="preserve">Antipsychotic medication and oropharyngeal dysphagia: Systematic review. European Journal of Gastroenterology and </w:t>
      </w:r>
      <w:proofErr w:type="spellStart"/>
      <w:r w:rsidRPr="00073A12">
        <w:rPr>
          <w:rFonts w:cstheme="minorHAnsi"/>
          <w:lang w:val="en-AU"/>
        </w:rPr>
        <w:t>Hepatology</w:t>
      </w:r>
      <w:proofErr w:type="spellEnd"/>
      <w:r w:rsidRPr="00073A12">
        <w:rPr>
          <w:rFonts w:cstheme="minorHAnsi"/>
          <w:lang w:val="en-AU"/>
        </w:rPr>
        <w:t xml:space="preserve">, 29(12), 1332–1339. </w:t>
      </w:r>
      <w:proofErr w:type="spellStart"/>
      <w:proofErr w:type="gramStart"/>
      <w:r w:rsidRPr="00073A12">
        <w:rPr>
          <w:rFonts w:cstheme="minorHAnsi"/>
          <w:lang w:val="en-AU"/>
        </w:rPr>
        <w:t>doi</w:t>
      </w:r>
      <w:proofErr w:type="spellEnd"/>
      <w:proofErr w:type="gramEnd"/>
      <w:r w:rsidRPr="00073A12">
        <w:rPr>
          <w:rFonts w:cstheme="minorHAnsi"/>
          <w:lang w:val="en-AU"/>
        </w:rPr>
        <w:t>: 10.1097/MEG.0000000000000983</w:t>
      </w:r>
    </w:p>
    <w:p w:rsidR="00244760" w:rsidRPr="00073A12" w:rsidRDefault="00244760" w:rsidP="00C110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cstheme="minorHAnsi"/>
          <w:color w:val="565656"/>
          <w:lang w:val="en-AU"/>
        </w:rPr>
      </w:pPr>
      <w:r w:rsidRPr="00073A12">
        <w:rPr>
          <w:rFonts w:cstheme="minorHAnsi"/>
          <w:lang w:val="en-AU"/>
        </w:rPr>
        <w:t xml:space="preserve">MIMS (2019). </w:t>
      </w:r>
      <w:hyperlink r:id="rId10" w:history="1">
        <w:proofErr w:type="spellStart"/>
        <w:proofErr w:type="gramStart"/>
        <w:r w:rsidRPr="00073A12">
          <w:rPr>
            <w:rStyle w:val="Hyperlink"/>
            <w:rFonts w:cstheme="minorHAnsi"/>
            <w:lang w:val="en-AU"/>
          </w:rPr>
          <w:t>eMIMS</w:t>
        </w:r>
        <w:proofErr w:type="spellEnd"/>
        <w:proofErr w:type="gramEnd"/>
        <w:r w:rsidRPr="00073A12">
          <w:rPr>
            <w:rStyle w:val="Hyperlink"/>
            <w:rFonts w:cstheme="minorHAnsi"/>
            <w:lang w:val="en-AU"/>
          </w:rPr>
          <w:t xml:space="preserve"> cloud</w:t>
        </w:r>
      </w:hyperlink>
      <w:r w:rsidRPr="00073A12">
        <w:rPr>
          <w:rFonts w:cstheme="minorHAnsi"/>
          <w:lang w:val="en-AU"/>
        </w:rPr>
        <w:t xml:space="preserve">. </w:t>
      </w:r>
    </w:p>
    <w:p w:rsidR="00244760" w:rsidRPr="00073A12" w:rsidRDefault="00244760" w:rsidP="00C110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cstheme="minorHAnsi"/>
          <w:color w:val="565656"/>
          <w:lang w:val="en-AU"/>
        </w:rPr>
      </w:pPr>
      <w:r w:rsidRPr="00073A12">
        <w:rPr>
          <w:rFonts w:cstheme="minorHAnsi"/>
          <w:lang w:val="en-AU"/>
        </w:rPr>
        <w:t xml:space="preserve">Ombudsman NSW 2018. </w:t>
      </w:r>
      <w:hyperlink r:id="rId11" w:history="1">
        <w:r w:rsidRPr="00073A12">
          <w:rPr>
            <w:rStyle w:val="Hyperlink"/>
            <w:rFonts w:cstheme="minorHAnsi"/>
            <w:lang w:val="en-AU"/>
          </w:rPr>
          <w:t>Report of Reviewable Deaths</w:t>
        </w:r>
      </w:hyperlink>
      <w:r w:rsidRPr="00073A12">
        <w:rPr>
          <w:rFonts w:cstheme="minorHAnsi"/>
          <w:lang w:val="en-AU"/>
        </w:rPr>
        <w:t xml:space="preserve">. </w:t>
      </w:r>
    </w:p>
    <w:p w:rsidR="00244760" w:rsidRPr="00073A12" w:rsidRDefault="00244760" w:rsidP="00C110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Style w:val="Hyperlink"/>
          <w:rFonts w:cstheme="minorHAnsi"/>
          <w:color w:val="565656"/>
          <w:u w:val="none"/>
          <w:lang w:val="en-AU"/>
        </w:rPr>
      </w:pPr>
      <w:r w:rsidRPr="00073A12">
        <w:rPr>
          <w:rFonts w:cstheme="minorHAnsi"/>
          <w:lang w:val="en-AU"/>
        </w:rPr>
        <w:t xml:space="preserve">Speech Pathology Australia (2012). </w:t>
      </w:r>
      <w:hyperlink r:id="rId12" w:history="1">
        <w:r w:rsidRPr="00073A12">
          <w:rPr>
            <w:rStyle w:val="Hyperlink"/>
            <w:rFonts w:cstheme="minorHAnsi"/>
            <w:lang w:val="en-AU"/>
          </w:rPr>
          <w:t>Dysphagia Clinical Guideline</w:t>
        </w:r>
      </w:hyperlink>
      <w:r w:rsidRPr="00073A12">
        <w:rPr>
          <w:rFonts w:cstheme="minorHAnsi"/>
          <w:lang w:val="en-AU"/>
        </w:rPr>
        <w:t xml:space="preserve">. </w:t>
      </w:r>
    </w:p>
    <w:p w:rsidR="00244760" w:rsidRPr="00073A12" w:rsidRDefault="00244760" w:rsidP="00C110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cstheme="minorHAnsi"/>
          <w:color w:val="565656"/>
          <w:lang w:val="en-AU"/>
        </w:rPr>
      </w:pPr>
      <w:r w:rsidRPr="00073A12">
        <w:rPr>
          <w:rFonts w:cstheme="minorHAnsi"/>
          <w:lang w:val="en-AU"/>
        </w:rPr>
        <w:t xml:space="preserve">Victorian Disability Services Commissioner (2017). </w:t>
      </w:r>
      <w:hyperlink r:id="rId13" w:history="1">
        <w:r w:rsidRPr="00073A12">
          <w:rPr>
            <w:rStyle w:val="Hyperlink"/>
            <w:rFonts w:cstheme="minorHAnsi"/>
            <w:lang w:val="en-AU"/>
          </w:rPr>
          <w:t>Review of disability service provision to people who have died</w:t>
        </w:r>
      </w:hyperlink>
      <w:r w:rsidRPr="00073A12">
        <w:rPr>
          <w:rFonts w:cstheme="minorHAnsi"/>
          <w:lang w:val="en-AU"/>
        </w:rPr>
        <w:t xml:space="preserve">. </w:t>
      </w:r>
    </w:p>
    <w:p w:rsidR="00FF19E1" w:rsidRPr="00073A12" w:rsidRDefault="00FF19E1" w:rsidP="00DE2061">
      <w:pPr>
        <w:pStyle w:val="7Headingh4"/>
        <w:spacing w:before="240" w:after="120"/>
        <w:rPr>
          <w:lang w:val="en-AU"/>
        </w:rPr>
      </w:pPr>
      <w:r w:rsidRPr="00073A12">
        <w:rPr>
          <w:lang w:val="en-AU"/>
        </w:rPr>
        <w:t xml:space="preserve">Role of the NDIS </w:t>
      </w:r>
      <w:r w:rsidR="00CA1545" w:rsidRPr="00073A12">
        <w:rPr>
          <w:lang w:val="en-AU"/>
        </w:rPr>
        <w:t xml:space="preserve">Quality and Safeguards </w:t>
      </w:r>
      <w:r w:rsidRPr="00073A12">
        <w:rPr>
          <w:lang w:val="en-AU"/>
        </w:rPr>
        <w:t>Commission</w:t>
      </w:r>
    </w:p>
    <w:p w:rsidR="00FF19E1" w:rsidRPr="00073A12" w:rsidRDefault="00FF19E1" w:rsidP="00DE2061">
      <w:pPr>
        <w:spacing w:before="120" w:after="120" w:line="276" w:lineRule="auto"/>
        <w:rPr>
          <w:rFonts w:eastAsia="Times New Roman" w:cstheme="minorHAnsi"/>
          <w:lang w:val="en-AU" w:eastAsia="en-AU"/>
        </w:rPr>
      </w:pPr>
      <w:r w:rsidRPr="00073A12">
        <w:rPr>
          <w:rFonts w:eastAsia="Times New Roman" w:cstheme="minorHAnsi"/>
          <w:lang w:val="en-AU" w:eastAsia="en-AU"/>
        </w:rPr>
        <w:t>The NDIS Quality and Safeguards Commission (NDIS Commission) is committed to upholding the rights of people with disability.</w:t>
      </w:r>
    </w:p>
    <w:p w:rsidR="00FF19E1" w:rsidRPr="00073A12" w:rsidRDefault="00FF19E1" w:rsidP="00FF19E1">
      <w:pP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t xml:space="preserve">This Practice Alert reflects the NDIS Quality and Safeguards Commissioner’s functions listed under the </w:t>
      </w:r>
      <w:r w:rsidRPr="00073A12">
        <w:rPr>
          <w:rFonts w:eastAsia="Times New Roman" w:cstheme="minorHAnsi"/>
          <w:i/>
          <w:iCs/>
          <w:lang w:val="en-AU" w:eastAsia="en-AU"/>
        </w:rPr>
        <w:t>National Disability Insurance Scheme Act 2013</w:t>
      </w:r>
      <w:r w:rsidRPr="00073A12">
        <w:rPr>
          <w:rFonts w:eastAsia="Times New Roman" w:cstheme="minorHAnsi"/>
          <w:lang w:val="en-AU" w:eastAsia="en-AU"/>
        </w:rPr>
        <w:t>. In particular, it reflects the Commissioner’s core functions (Section 181E) which include:</w:t>
      </w:r>
    </w:p>
    <w:p w:rsidR="00FF19E1" w:rsidRPr="00073A12" w:rsidRDefault="00FF19E1" w:rsidP="0086046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r w:rsidRPr="00073A12">
        <w:rPr>
          <w:rFonts w:eastAsia="Times New Roman" w:cstheme="minorHAnsi"/>
          <w:lang w:val="en-AU" w:eastAsia="en-AU"/>
        </w:rPr>
        <w:lastRenderedPageBreak/>
        <w:t>to uphold the rights of, and promote the health, safety and wellbeing of, people with disability receiving supports or services, including those received under the National Disability Insurance Scheme</w:t>
      </w:r>
    </w:p>
    <w:p w:rsidR="00FF19E1" w:rsidRPr="00073A12" w:rsidRDefault="00FF19E1" w:rsidP="0086046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r w:rsidRPr="00073A12">
        <w:rPr>
          <w:rFonts w:eastAsia="Times New Roman" w:cstheme="minorHAnsi"/>
          <w:lang w:val="en-AU" w:eastAsia="en-AU"/>
        </w:rPr>
        <w:t>to develop a nationally consistent approach to managing quality and safeguards for people with disability receiving supports or services, including those received under the National Disability Insurance Scheme;</w:t>
      </w:r>
    </w:p>
    <w:p w:rsidR="00FF19E1" w:rsidRPr="00073A12" w:rsidRDefault="00FF19E1" w:rsidP="0086046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proofErr w:type="gramStart"/>
      <w:r w:rsidRPr="00073A12">
        <w:rPr>
          <w:rFonts w:eastAsia="Times New Roman" w:cstheme="minorHAnsi"/>
          <w:lang w:val="en-AU" w:eastAsia="en-AU"/>
        </w:rPr>
        <w:t>to</w:t>
      </w:r>
      <w:proofErr w:type="gramEnd"/>
      <w:r w:rsidRPr="00073A12">
        <w:rPr>
          <w:rFonts w:eastAsia="Times New Roman" w:cstheme="minorHAnsi"/>
          <w:lang w:val="en-AU" w:eastAsia="en-AU"/>
        </w:rPr>
        <w:t xml:space="preserve"> promote the provision of advice, information, education and training to NDIS providers and people with disability.</w:t>
      </w:r>
    </w:p>
    <w:p w:rsidR="00FF19E1" w:rsidRPr="00073A12" w:rsidRDefault="00FF19E1" w:rsidP="00FF19E1">
      <w:pP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t>The role of the NDIS Quality and Safeguards Commissioner’s behaviour support function (Section 181H) is to provide leadership in relation to behaviour support, and in the reduction and elimination of the use of restrictive practices by NDIS providers, including by</w:t>
      </w:r>
    </w:p>
    <w:p w:rsidR="00FF19E1" w:rsidRPr="00073A12" w:rsidRDefault="00FF19E1" w:rsidP="0086046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rPr>
          <w:rFonts w:eastAsia="Times New Roman" w:cstheme="minorHAnsi"/>
          <w:lang w:val="en-AU" w:eastAsia="en-AU"/>
        </w:rPr>
      </w:pPr>
      <w:r w:rsidRPr="00073A12">
        <w:rPr>
          <w:rFonts w:eastAsia="Times New Roman" w:cstheme="minorHAnsi"/>
          <w:lang w:val="en-AU" w:eastAsia="en-AU"/>
        </w:rPr>
        <w:t>developing policy and guidance materials in relation to behaviour supports and the reduction and elimination of the use of restrictive practices by NDIS providers; and</w:t>
      </w:r>
    </w:p>
    <w:p w:rsidR="00FF19E1" w:rsidRPr="00073A12" w:rsidRDefault="00FF19E1" w:rsidP="0086046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rPr>
          <w:rFonts w:eastAsia="Times New Roman" w:cstheme="minorHAnsi"/>
          <w:lang w:val="en-AU" w:eastAsia="en-AU"/>
        </w:rPr>
      </w:pPr>
      <w:proofErr w:type="gramStart"/>
      <w:r w:rsidRPr="00073A12">
        <w:rPr>
          <w:rFonts w:eastAsia="Times New Roman" w:cstheme="minorHAnsi"/>
          <w:lang w:val="en-AU" w:eastAsia="en-AU"/>
        </w:rPr>
        <w:t>providing</w:t>
      </w:r>
      <w:proofErr w:type="gramEnd"/>
      <w:r w:rsidRPr="00073A12">
        <w:rPr>
          <w:rFonts w:eastAsia="Times New Roman" w:cstheme="minorHAnsi"/>
          <w:lang w:val="en-AU" w:eastAsia="en-AU"/>
        </w:rPr>
        <w:t xml:space="preserve"> education, training and advice on the use of behaviour supports and the reduction and elimination of the use of restrictive practices.</w:t>
      </w:r>
    </w:p>
    <w:p w:rsidR="00FF19E1" w:rsidRPr="00073A12" w:rsidRDefault="00FF19E1" w:rsidP="00DE2061">
      <w:pPr>
        <w:spacing w:before="120" w:line="276" w:lineRule="auto"/>
        <w:contextualSpacing/>
        <w:rPr>
          <w:rFonts w:eastAsia="Times New Roman" w:cstheme="minorHAnsi"/>
          <w:lang w:val="en-AU" w:eastAsia="en-AU"/>
        </w:rPr>
      </w:pPr>
      <w:r w:rsidRPr="00073A12">
        <w:rPr>
          <w:rFonts w:eastAsia="Times New Roman" w:cstheme="minorHAnsi"/>
          <w:lang w:val="en-AU" w:eastAsia="en-AU"/>
        </w:rPr>
        <w:t>This Practice Alert also reflects the National Disability Insurance Scheme (Quality Indicators) Guidelines 2018 and the obligations of both providers and workers to comply with the NDIS Code of Conduct. Relevant sections in the National Disability Insurance Scheme (Quality Indicators) Guidelines 2018 include the management of medication (Part 2 Core Module, Division 4, section 26) and Enteral Feeding and Management (Part 3 High Intensity Daily Personal Activities Module, Section 30).</w:t>
      </w:r>
    </w:p>
    <w:p w:rsidR="00A459BE" w:rsidRPr="00073A12" w:rsidRDefault="00CA1545" w:rsidP="00B941B3">
      <w:pPr>
        <w:pStyle w:val="ContactUsheadingh4"/>
        <w:spacing w:before="240" w:after="240"/>
        <w:ind w:right="-34"/>
        <w:rPr>
          <w:rFonts w:eastAsia="Calibri" w:cs="Calibri"/>
          <w:lang w:val="en-AU"/>
        </w:rPr>
      </w:pPr>
      <w:r w:rsidRPr="00073A12">
        <w:rPr>
          <w:lang w:val="en-AU"/>
        </w:rPr>
        <w:t>General enquiries</w:t>
      </w:r>
    </w:p>
    <w:p w:rsidR="00A459BE" w:rsidRPr="00073A12" w:rsidRDefault="00A459BE" w:rsidP="00DE2061">
      <w:pPr>
        <w:pStyle w:val="Body"/>
        <w:spacing w:after="120"/>
        <w:ind w:right="-34"/>
        <w:rPr>
          <w:lang w:val="en-AU"/>
        </w:rPr>
      </w:pPr>
      <w:r w:rsidRPr="00073A12">
        <w:rPr>
          <w:b/>
          <w:bCs/>
          <w:color w:val="auto"/>
          <w:sz w:val="28"/>
          <w:szCs w:val="28"/>
          <w:lang w:val="en-AU"/>
        </w:rPr>
        <w:t xml:space="preserve">Call: 1800 035 544 </w:t>
      </w:r>
      <w:r w:rsidRPr="00073A12">
        <w:rPr>
          <w:lang w:val="en-AU"/>
        </w:rPr>
        <w:t xml:space="preserve">(free call from landlines). Our contact centre is open 9.00am to 4.30pm in the NT, </w:t>
      </w:r>
      <w:r w:rsidR="003F767B" w:rsidRPr="00073A12">
        <w:rPr>
          <w:lang w:val="en-AU"/>
        </w:rPr>
        <w:t xml:space="preserve">and </w:t>
      </w:r>
      <w:r w:rsidRPr="00073A12">
        <w:rPr>
          <w:lang w:val="en-AU"/>
        </w:rPr>
        <w:t xml:space="preserve">9.00am to 5.00pm in </w:t>
      </w:r>
      <w:r w:rsidR="00D04039" w:rsidRPr="00073A12">
        <w:rPr>
          <w:lang w:val="en-AU"/>
        </w:rPr>
        <w:t>other states and territories</w:t>
      </w:r>
      <w:r w:rsidRPr="00073A12">
        <w:rPr>
          <w:lang w:val="en-AU"/>
        </w:rPr>
        <w:t xml:space="preserve"> Monday to Friday, excluding public holidays. </w:t>
      </w:r>
    </w:p>
    <w:p w:rsidR="00A459BE" w:rsidRPr="00073A12" w:rsidRDefault="00A459BE" w:rsidP="00DE2061">
      <w:pPr>
        <w:pStyle w:val="Body"/>
        <w:spacing w:after="120"/>
        <w:ind w:right="-34"/>
        <w:rPr>
          <w:lang w:val="en-AU"/>
        </w:rPr>
      </w:pPr>
      <w:r w:rsidRPr="00073A12">
        <w:rPr>
          <w:b/>
          <w:lang w:val="en-AU"/>
        </w:rPr>
        <w:t>Email</w:t>
      </w:r>
      <w:r w:rsidRPr="00073A12">
        <w:rPr>
          <w:lang w:val="en-AU"/>
        </w:rPr>
        <w:t xml:space="preserve">: </w:t>
      </w:r>
      <w:hyperlink r:id="rId14" w:history="1">
        <w:r w:rsidR="00FF19E1" w:rsidRPr="00073A12">
          <w:rPr>
            <w:rStyle w:val="Hyperlink"/>
            <w:lang w:val="en-AU"/>
          </w:rPr>
          <w:t>contactcentre@ndiscommission.gov.au</w:t>
        </w:r>
      </w:hyperlink>
      <w:r w:rsidR="00FF19E1" w:rsidRPr="00073A12">
        <w:rPr>
          <w:lang w:val="en-AU"/>
        </w:rPr>
        <w:t xml:space="preserve"> </w:t>
      </w:r>
    </w:p>
    <w:p w:rsidR="003839B7" w:rsidRPr="00073A12" w:rsidRDefault="00A459BE" w:rsidP="00DE2061">
      <w:pPr>
        <w:pStyle w:val="Body"/>
        <w:spacing w:after="120"/>
        <w:ind w:right="-34"/>
        <w:rPr>
          <w:lang w:val="en-AU"/>
        </w:rPr>
      </w:pPr>
      <w:r w:rsidRPr="00073A12">
        <w:rPr>
          <w:b/>
          <w:lang w:val="en-AU"/>
        </w:rPr>
        <w:t>Website</w:t>
      </w:r>
      <w:r w:rsidRPr="00073A12">
        <w:rPr>
          <w:lang w:val="en-AU"/>
        </w:rPr>
        <w:t xml:space="preserve">: </w:t>
      </w:r>
      <w:hyperlink r:id="rId15" w:history="1">
        <w:r w:rsidRPr="00073A12">
          <w:rPr>
            <w:rStyle w:val="Hyperlink"/>
            <w:lang w:val="en-AU"/>
          </w:rPr>
          <w:t>www.ndiscommission.gov.au</w:t>
        </w:r>
      </w:hyperlink>
    </w:p>
    <w:sectPr w:rsidR="003839B7" w:rsidRPr="00073A12" w:rsidSect="00244760">
      <w:headerReference w:type="default" r:id="rId16"/>
      <w:footerReference w:type="default" r:id="rId17"/>
      <w:pgSz w:w="11906" w:h="16838" w:code="9"/>
      <w:pgMar w:top="1820" w:right="1077" w:bottom="851" w:left="1077" w:header="709" w:footer="13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460" w:rsidRDefault="00860460">
      <w:r>
        <w:separator/>
      </w:r>
    </w:p>
  </w:endnote>
  <w:endnote w:type="continuationSeparator" w:id="0">
    <w:p w:rsidR="00860460" w:rsidRDefault="0086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244760" w:rsidP="00003524">
    <w:pPr>
      <w:pStyle w:val="Footer"/>
    </w:pPr>
    <w:r>
      <w:t>Practice Alert: Medicines associated with swallowing problems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460" w:rsidRDefault="00860460">
      <w:r>
        <w:separator/>
      </w:r>
    </w:p>
  </w:footnote>
  <w:footnote w:type="continuationSeparator" w:id="0">
    <w:p w:rsidR="00860460" w:rsidRDefault="0086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rPr>
        <w:noProof/>
        <w:lang w:val="en-AU" w:eastAsia="zh-CN" w:bidi="hi-IN"/>
      </w:rPr>
      <w:drawing>
        <wp:inline distT="0" distB="0" distL="0" distR="0">
          <wp:extent cx="2111657" cy="547955"/>
          <wp:effectExtent l="0" t="0" r="0" b="0"/>
          <wp:docPr id="12" name="Picture 12"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5pt;height:41.55pt" o:bullet="t">
        <v:imagedata r:id="rId1" o:title="Flag-icon"/>
      </v:shape>
    </w:pict>
  </w:numPicBullet>
  <w:abstractNum w:abstractNumId="0" w15:restartNumberingAfterBreak="0">
    <w:nsid w:val="03D76D40"/>
    <w:multiLevelType w:val="hybridMultilevel"/>
    <w:tmpl w:val="EC90D82C"/>
    <w:lvl w:ilvl="0" w:tplc="AC48CFBC">
      <w:start w:val="1"/>
      <w:numFmt w:val="lowerLetter"/>
      <w:lvlText w:val="(%1)"/>
      <w:lvlJc w:val="left"/>
      <w:pPr>
        <w:ind w:left="720" w:hanging="360"/>
      </w:pPr>
      <w:rPr>
        <w:rFonts w:ascii="Calibri" w:hAnsi="Calibri" w:hint="default"/>
        <w:b w:val="0"/>
        <w:bCs w:val="0"/>
        <w:i w:val="0"/>
        <w:iCs w:val="0"/>
        <w:color w:val="auto"/>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E1C9E"/>
    <w:multiLevelType w:val="hybridMultilevel"/>
    <w:tmpl w:val="5ED452FC"/>
    <w:lvl w:ilvl="0" w:tplc="7CFE82E8">
      <w:start w:val="1"/>
      <w:numFmt w:val="bullet"/>
      <w:pStyle w:val="Quote"/>
      <w:lvlText w:val=""/>
      <w:lvlPicBulletId w:val="0"/>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 w15:restartNumberingAfterBreak="0">
    <w:nsid w:val="10D436F0"/>
    <w:multiLevelType w:val="multilevel"/>
    <w:tmpl w:val="98B25044"/>
    <w:lvl w:ilvl="0">
      <w:start w:val="1"/>
      <w:numFmt w:val="bullet"/>
      <w:lvlText w:val=""/>
      <w:lvlJc w:val="left"/>
      <w:pPr>
        <w:tabs>
          <w:tab w:val="num" w:pos="720"/>
        </w:tabs>
        <w:ind w:left="720" w:hanging="360"/>
      </w:pPr>
      <w:rPr>
        <w:rFonts w:ascii="Symbol" w:hAnsi="Symbol" w:hint="default"/>
        <w:color w:val="85367B" w:themeColor="accent3"/>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15540"/>
    <w:multiLevelType w:val="multilevel"/>
    <w:tmpl w:val="72825DA2"/>
    <w:lvl w:ilvl="0">
      <w:start w:val="1"/>
      <w:numFmt w:val="bullet"/>
      <w:lvlText w:val=""/>
      <w:lvlJc w:val="left"/>
      <w:pPr>
        <w:tabs>
          <w:tab w:val="num" w:pos="720"/>
        </w:tabs>
        <w:ind w:left="720" w:hanging="360"/>
      </w:pPr>
      <w:rPr>
        <w:rFonts w:ascii="Symbol" w:hAnsi="Symbol" w:hint="default"/>
        <w:color w:val="85367B" w:themeColor="accent3"/>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234D682F"/>
    <w:multiLevelType w:val="multilevel"/>
    <w:tmpl w:val="502AB9C4"/>
    <w:lvl w:ilvl="0">
      <w:start w:val="1"/>
      <w:numFmt w:val="bullet"/>
      <w:lvlText w:val=""/>
      <w:lvlJc w:val="left"/>
      <w:pPr>
        <w:tabs>
          <w:tab w:val="num" w:pos="720"/>
        </w:tabs>
        <w:ind w:left="720" w:hanging="360"/>
      </w:pPr>
      <w:rPr>
        <w:rFonts w:ascii="Symbol" w:hAnsi="Symbol" w:hint="default"/>
        <w:color w:val="85367B" w:themeColor="accent3"/>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12C69" w:themeColor="text2"/>
      </w:rPr>
    </w:lvl>
    <w:lvl w:ilvl="3">
      <w:start w:val="1"/>
      <w:numFmt w:val="bullet"/>
      <w:lvlText w:val="»"/>
      <w:lvlJc w:val="left"/>
      <w:pPr>
        <w:ind w:left="794" w:hanging="510"/>
      </w:pPr>
      <w:rPr>
        <w:rFonts w:ascii="Arial" w:hAnsi="Arial" w:hint="default"/>
        <w:color w:val="612C69"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5EF29F1"/>
    <w:multiLevelType w:val="multilevel"/>
    <w:tmpl w:val="8DBCEDBA"/>
    <w:lvl w:ilvl="0">
      <w:start w:val="1"/>
      <w:numFmt w:val="bullet"/>
      <w:lvlText w:val=""/>
      <w:lvlJc w:val="left"/>
      <w:pPr>
        <w:tabs>
          <w:tab w:val="num" w:pos="720"/>
        </w:tabs>
        <w:ind w:left="720" w:hanging="360"/>
      </w:pPr>
      <w:rPr>
        <w:rFonts w:ascii="Symbol" w:hAnsi="Symbol" w:hint="default"/>
        <w:color w:val="85367B" w:themeColor="accent3"/>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705800"/>
    <w:multiLevelType w:val="multilevel"/>
    <w:tmpl w:val="689EE918"/>
    <w:lvl w:ilvl="0">
      <w:start w:val="1"/>
      <w:numFmt w:val="bullet"/>
      <w:lvlText w:val=""/>
      <w:lvlJc w:val="left"/>
      <w:pPr>
        <w:tabs>
          <w:tab w:val="num" w:pos="720"/>
        </w:tabs>
        <w:ind w:left="720" w:hanging="360"/>
      </w:pPr>
      <w:rPr>
        <w:rFonts w:ascii="Symbol" w:hAnsi="Symbol" w:hint="default"/>
        <w:color w:val="85367B" w:themeColor="accent3"/>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615703"/>
    <w:multiLevelType w:val="multilevel"/>
    <w:tmpl w:val="803CF862"/>
    <w:numStyleLink w:val="List1Numbered"/>
  </w:abstractNum>
  <w:abstractNum w:abstractNumId="11" w15:restartNumberingAfterBreak="0">
    <w:nsid w:val="633B2A86"/>
    <w:multiLevelType w:val="multilevel"/>
    <w:tmpl w:val="44722E3E"/>
    <w:lvl w:ilvl="0">
      <w:start w:val="1"/>
      <w:numFmt w:val="bullet"/>
      <w:lvlText w:val=""/>
      <w:lvlJc w:val="left"/>
      <w:pPr>
        <w:tabs>
          <w:tab w:val="num" w:pos="720"/>
        </w:tabs>
        <w:ind w:left="720" w:hanging="360"/>
      </w:pPr>
      <w:rPr>
        <w:rFonts w:ascii="Symbol" w:hAnsi="Symbol" w:hint="default"/>
        <w:color w:val="85367B" w:themeColor="accent3"/>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8D491F"/>
    <w:multiLevelType w:val="multilevel"/>
    <w:tmpl w:val="FD509816"/>
    <w:lvl w:ilvl="0">
      <w:start w:val="1"/>
      <w:numFmt w:val="bullet"/>
      <w:lvlText w:val=""/>
      <w:lvlJc w:val="left"/>
      <w:pPr>
        <w:tabs>
          <w:tab w:val="num" w:pos="720"/>
        </w:tabs>
        <w:ind w:left="720" w:hanging="360"/>
      </w:pPr>
      <w:rPr>
        <w:rFonts w:ascii="Symbol" w:hAnsi="Symbol" w:hint="default"/>
        <w:color w:val="85367B" w:themeColor="accent3"/>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8A5A31"/>
    <w:multiLevelType w:val="multilevel"/>
    <w:tmpl w:val="572E1996"/>
    <w:lvl w:ilvl="0">
      <w:start w:val="2"/>
      <w:numFmt w:val="lowerLetter"/>
      <w:lvlText w:val="(%1)"/>
      <w:lvlJc w:val="left"/>
      <w:pPr>
        <w:tabs>
          <w:tab w:val="num" w:pos="720"/>
        </w:tabs>
        <w:ind w:left="720" w:hanging="360"/>
      </w:pPr>
      <w:rPr>
        <w:rFonts w:ascii="Calibri" w:hAnsi="Calibri" w:hint="default"/>
        <w:b w:val="0"/>
        <w:bCs w:val="0"/>
        <w:i w:val="0"/>
        <w:iCs w:val="0"/>
        <w:color w:val="auto"/>
        <w:sz w:val="20"/>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4"/>
  </w:num>
  <w:num w:numId="2">
    <w:abstractNumId w:val="1"/>
  </w:num>
  <w:num w:numId="3">
    <w:abstractNumId w:val="4"/>
  </w:num>
  <w:num w:numId="4">
    <w:abstractNumId w:val="7"/>
  </w:num>
  <w:num w:numId="5">
    <w:abstractNumId w:val="5"/>
  </w:num>
  <w:num w:numId="6">
    <w:abstractNumId w:val="10"/>
  </w:num>
  <w:num w:numId="7">
    <w:abstractNumId w:val="2"/>
  </w:num>
  <w:num w:numId="8">
    <w:abstractNumId w:val="9"/>
  </w:num>
  <w:num w:numId="9">
    <w:abstractNumId w:val="6"/>
  </w:num>
  <w:num w:numId="10">
    <w:abstractNumId w:val="12"/>
  </w:num>
  <w:num w:numId="11">
    <w:abstractNumId w:val="8"/>
  </w:num>
  <w:num w:numId="12">
    <w:abstractNumId w:val="3"/>
  </w:num>
  <w:num w:numId="13">
    <w:abstractNumId w:val="11"/>
  </w:num>
  <w:num w:numId="14">
    <w:abstractNumId w:val="0"/>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73A12"/>
    <w:rsid w:val="000A7F89"/>
    <w:rsid w:val="000B37AC"/>
    <w:rsid w:val="000C32B1"/>
    <w:rsid w:val="000C6312"/>
    <w:rsid w:val="000D084F"/>
    <w:rsid w:val="001045AC"/>
    <w:rsid w:val="001165D5"/>
    <w:rsid w:val="00155A13"/>
    <w:rsid w:val="00174D62"/>
    <w:rsid w:val="001A6429"/>
    <w:rsid w:val="001C0C67"/>
    <w:rsid w:val="001C52EE"/>
    <w:rsid w:val="001E0EDC"/>
    <w:rsid w:val="00244161"/>
    <w:rsid w:val="00244760"/>
    <w:rsid w:val="00255485"/>
    <w:rsid w:val="00261193"/>
    <w:rsid w:val="0027224A"/>
    <w:rsid w:val="0027230A"/>
    <w:rsid w:val="00272BE4"/>
    <w:rsid w:val="00280122"/>
    <w:rsid w:val="002A2678"/>
    <w:rsid w:val="002B01C7"/>
    <w:rsid w:val="002D1D4B"/>
    <w:rsid w:val="00306771"/>
    <w:rsid w:val="0031006D"/>
    <w:rsid w:val="00310BAC"/>
    <w:rsid w:val="00313947"/>
    <w:rsid w:val="0037316A"/>
    <w:rsid w:val="003839B7"/>
    <w:rsid w:val="003A3A42"/>
    <w:rsid w:val="003B09B3"/>
    <w:rsid w:val="003C7B93"/>
    <w:rsid w:val="003F30D8"/>
    <w:rsid w:val="003F767B"/>
    <w:rsid w:val="00405956"/>
    <w:rsid w:val="00416A2C"/>
    <w:rsid w:val="00425CC0"/>
    <w:rsid w:val="00427608"/>
    <w:rsid w:val="00452E46"/>
    <w:rsid w:val="00467979"/>
    <w:rsid w:val="00475D3F"/>
    <w:rsid w:val="00480FBB"/>
    <w:rsid w:val="00485CD9"/>
    <w:rsid w:val="004878AB"/>
    <w:rsid w:val="00493855"/>
    <w:rsid w:val="004960DF"/>
    <w:rsid w:val="00497C00"/>
    <w:rsid w:val="004A1572"/>
    <w:rsid w:val="004C7085"/>
    <w:rsid w:val="004D5EB8"/>
    <w:rsid w:val="004F22E0"/>
    <w:rsid w:val="005008C1"/>
    <w:rsid w:val="00505935"/>
    <w:rsid w:val="00513DAF"/>
    <w:rsid w:val="00514051"/>
    <w:rsid w:val="00524A56"/>
    <w:rsid w:val="005301CB"/>
    <w:rsid w:val="00553244"/>
    <w:rsid w:val="00570007"/>
    <w:rsid w:val="00575C92"/>
    <w:rsid w:val="0058282D"/>
    <w:rsid w:val="00595FE8"/>
    <w:rsid w:val="005B688D"/>
    <w:rsid w:val="005C347D"/>
    <w:rsid w:val="005E14E5"/>
    <w:rsid w:val="005F3AA2"/>
    <w:rsid w:val="006028D8"/>
    <w:rsid w:val="00613181"/>
    <w:rsid w:val="00623EDB"/>
    <w:rsid w:val="00640658"/>
    <w:rsid w:val="00651ABF"/>
    <w:rsid w:val="00655084"/>
    <w:rsid w:val="00660CF2"/>
    <w:rsid w:val="00673136"/>
    <w:rsid w:val="006865EE"/>
    <w:rsid w:val="006B17BF"/>
    <w:rsid w:val="006B5114"/>
    <w:rsid w:val="006E547B"/>
    <w:rsid w:val="00706138"/>
    <w:rsid w:val="00772F7F"/>
    <w:rsid w:val="00782F55"/>
    <w:rsid w:val="007967CE"/>
    <w:rsid w:val="00797731"/>
    <w:rsid w:val="007B540D"/>
    <w:rsid w:val="007C3285"/>
    <w:rsid w:val="007E280A"/>
    <w:rsid w:val="00830B58"/>
    <w:rsid w:val="0084097C"/>
    <w:rsid w:val="00846BA6"/>
    <w:rsid w:val="00853FB9"/>
    <w:rsid w:val="00860460"/>
    <w:rsid w:val="00875A49"/>
    <w:rsid w:val="00887B14"/>
    <w:rsid w:val="008914AB"/>
    <w:rsid w:val="00894EC9"/>
    <w:rsid w:val="008A036D"/>
    <w:rsid w:val="008A4C48"/>
    <w:rsid w:val="008A58D0"/>
    <w:rsid w:val="008E1B7B"/>
    <w:rsid w:val="008F2F50"/>
    <w:rsid w:val="008F67B6"/>
    <w:rsid w:val="0093146D"/>
    <w:rsid w:val="00974269"/>
    <w:rsid w:val="00977A29"/>
    <w:rsid w:val="009817A6"/>
    <w:rsid w:val="00981C6F"/>
    <w:rsid w:val="00991BEB"/>
    <w:rsid w:val="009D1B26"/>
    <w:rsid w:val="009E09C5"/>
    <w:rsid w:val="00A26C67"/>
    <w:rsid w:val="00A367B0"/>
    <w:rsid w:val="00A43D2C"/>
    <w:rsid w:val="00A459BE"/>
    <w:rsid w:val="00A55B39"/>
    <w:rsid w:val="00A624F9"/>
    <w:rsid w:val="00AA3D65"/>
    <w:rsid w:val="00AC38B9"/>
    <w:rsid w:val="00AE5258"/>
    <w:rsid w:val="00AF03E0"/>
    <w:rsid w:val="00B26FE5"/>
    <w:rsid w:val="00B537FC"/>
    <w:rsid w:val="00B542A9"/>
    <w:rsid w:val="00B640EE"/>
    <w:rsid w:val="00B70226"/>
    <w:rsid w:val="00B73E56"/>
    <w:rsid w:val="00B91A42"/>
    <w:rsid w:val="00B941B3"/>
    <w:rsid w:val="00B97C17"/>
    <w:rsid w:val="00BA16DF"/>
    <w:rsid w:val="00BA6A87"/>
    <w:rsid w:val="00BB0004"/>
    <w:rsid w:val="00BC6E58"/>
    <w:rsid w:val="00BF01EE"/>
    <w:rsid w:val="00C016B4"/>
    <w:rsid w:val="00C07050"/>
    <w:rsid w:val="00C0731F"/>
    <w:rsid w:val="00C11085"/>
    <w:rsid w:val="00C37FA6"/>
    <w:rsid w:val="00C572E0"/>
    <w:rsid w:val="00C87F8E"/>
    <w:rsid w:val="00CA1545"/>
    <w:rsid w:val="00CC6949"/>
    <w:rsid w:val="00CD086E"/>
    <w:rsid w:val="00CD3A8D"/>
    <w:rsid w:val="00CE42E2"/>
    <w:rsid w:val="00CE6257"/>
    <w:rsid w:val="00CE73B9"/>
    <w:rsid w:val="00CF0FF5"/>
    <w:rsid w:val="00D04039"/>
    <w:rsid w:val="00D14997"/>
    <w:rsid w:val="00D16027"/>
    <w:rsid w:val="00D220B8"/>
    <w:rsid w:val="00D26560"/>
    <w:rsid w:val="00D7385F"/>
    <w:rsid w:val="00D80B75"/>
    <w:rsid w:val="00D94D13"/>
    <w:rsid w:val="00DB3C94"/>
    <w:rsid w:val="00DB482A"/>
    <w:rsid w:val="00DC2451"/>
    <w:rsid w:val="00DD0F41"/>
    <w:rsid w:val="00DE2061"/>
    <w:rsid w:val="00DE4555"/>
    <w:rsid w:val="00DF103A"/>
    <w:rsid w:val="00DF6E53"/>
    <w:rsid w:val="00E065AB"/>
    <w:rsid w:val="00E13E89"/>
    <w:rsid w:val="00E53494"/>
    <w:rsid w:val="00E72561"/>
    <w:rsid w:val="00E928CC"/>
    <w:rsid w:val="00E97FBE"/>
    <w:rsid w:val="00EB3B0E"/>
    <w:rsid w:val="00EB430B"/>
    <w:rsid w:val="00EE13B2"/>
    <w:rsid w:val="00EE2998"/>
    <w:rsid w:val="00F11D81"/>
    <w:rsid w:val="00F15AC8"/>
    <w:rsid w:val="00F21C49"/>
    <w:rsid w:val="00F3784E"/>
    <w:rsid w:val="00F51A9C"/>
    <w:rsid w:val="00F63716"/>
    <w:rsid w:val="00F730E3"/>
    <w:rsid w:val="00FA27A2"/>
    <w:rsid w:val="00FA36C5"/>
    <w:rsid w:val="00FC4DD1"/>
    <w:rsid w:val="00FD4DBB"/>
    <w:rsid w:val="00FE79E1"/>
    <w:rsid w:val="00FF19E1"/>
    <w:rsid w:val="00FF5BF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8D886"/>
  <w15:docId w15:val="{BC0A29EF-7DC7-4BE5-A222-7D3CEFF8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9"/>
    <w:unhideWhenUsed/>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2"/>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3"/>
      </w:numPr>
      <w:ind w:left="284" w:hanging="284"/>
    </w:p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列"/>
    <w:basedOn w:val="Normal"/>
    <w:link w:val="ListParagraphChar"/>
    <w:uiPriority w:val="34"/>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paragraph" w:customStyle="1" w:styleId="Boxed1Bullet">
    <w:name w:val="Boxed 1 Bullet"/>
    <w:basedOn w:val="Normal"/>
    <w:uiPriority w:val="30"/>
    <w:rsid w:val="00497C00"/>
    <w:pPr>
      <w:numPr>
        <w:numId w:val="4"/>
      </w:numPr>
      <w:pBdr>
        <w:top w:val="single" w:sz="4" w:space="14" w:color="FCF6FE" w:themeColor="background2"/>
        <w:left w:val="single" w:sz="4" w:space="14" w:color="FCF6FE" w:themeColor="background2"/>
        <w:bottom w:val="single" w:sz="4" w:space="14" w:color="FCF6FE" w:themeColor="background2"/>
        <w:right w:val="single" w:sz="4" w:space="14" w:color="FCF6FE" w:themeColor="background2"/>
        <w:between w:val="none" w:sz="0" w:space="0" w:color="auto"/>
        <w:bar w:val="none" w:sz="0" w:color="auto"/>
      </w:pBdr>
      <w:shd w:val="clear" w:color="auto" w:fill="FCF6FE" w:themeFill="background2"/>
      <w:spacing w:before="200" w:after="60" w:line="240" w:lineRule="atLeast"/>
      <w:ind w:right="284"/>
    </w:pPr>
    <w:rPr>
      <w:rFonts w:ascii="Calibri" w:eastAsiaTheme="minorHAnsi" w:hAnsi="Calibri" w:cs="Calibri"/>
      <w:color w:val="000000"/>
      <w:sz w:val="22"/>
      <w:szCs w:val="22"/>
      <w:bdr w:val="none" w:sz="0" w:space="0" w:color="auto"/>
      <w:lang w:val="en-AU"/>
    </w:rPr>
  </w:style>
  <w:style w:type="paragraph" w:customStyle="1" w:styleId="Boxed2Bullet">
    <w:name w:val="Boxed 2 Bullet"/>
    <w:basedOn w:val="Normal"/>
    <w:uiPriority w:val="32"/>
    <w:rsid w:val="00497C00"/>
    <w:pPr>
      <w:numPr>
        <w:ilvl w:val="1"/>
        <w:numId w:val="4"/>
      </w:numPr>
      <w:pBdr>
        <w:top w:val="single" w:sz="4" w:space="14" w:color="612C69" w:themeColor="accent1"/>
        <w:left w:val="single" w:sz="4" w:space="14" w:color="612C69" w:themeColor="accent1"/>
        <w:bottom w:val="single" w:sz="4" w:space="14" w:color="612C69" w:themeColor="accent1"/>
        <w:right w:val="single" w:sz="4" w:space="14" w:color="612C69" w:themeColor="accent1"/>
        <w:between w:val="none" w:sz="0" w:space="0" w:color="auto"/>
        <w:bar w:val="none" w:sz="0" w:color="auto"/>
      </w:pBdr>
      <w:spacing w:before="200" w:after="60" w:line="240" w:lineRule="atLeast"/>
      <w:ind w:right="284"/>
    </w:pPr>
    <w:rPr>
      <w:rFonts w:ascii="Calibri" w:eastAsiaTheme="minorHAnsi" w:hAnsi="Calibri" w:cs="Calibri"/>
      <w:color w:val="000000"/>
      <w:sz w:val="22"/>
      <w:szCs w:val="22"/>
      <w:bdr w:val="none" w:sz="0" w:space="0" w:color="auto"/>
      <w:lang w:val="en-AU"/>
    </w:rPr>
  </w:style>
  <w:style w:type="numbering" w:customStyle="1" w:styleId="BoxedBullets">
    <w:name w:val="Boxed Bullets"/>
    <w:uiPriority w:val="99"/>
    <w:rsid w:val="00497C00"/>
    <w:pPr>
      <w:numPr>
        <w:numId w:val="4"/>
      </w:numPr>
    </w:pPr>
  </w:style>
  <w:style w:type="numbering" w:customStyle="1" w:styleId="List1Numbered">
    <w:name w:val="List 1 Numbered"/>
    <w:uiPriority w:val="99"/>
    <w:rsid w:val="00497C00"/>
    <w:pPr>
      <w:numPr>
        <w:numId w:val="5"/>
      </w:numPr>
    </w:pPr>
  </w:style>
  <w:style w:type="paragraph" w:customStyle="1" w:styleId="List1Numbered1">
    <w:name w:val="List 1 Numbered 1"/>
    <w:basedOn w:val="Normal"/>
    <w:uiPriority w:val="2"/>
    <w:qFormat/>
    <w:rsid w:val="00497C0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280" w:lineRule="atLeast"/>
    </w:pPr>
    <w:rPr>
      <w:rFonts w:ascii="Calibri" w:eastAsiaTheme="minorHAnsi" w:hAnsi="Calibri" w:cs="Calibri"/>
      <w:color w:val="000000"/>
      <w:sz w:val="22"/>
      <w:szCs w:val="22"/>
      <w:bdr w:val="none" w:sz="0" w:space="0" w:color="auto"/>
      <w:lang w:val="en-AU"/>
    </w:rPr>
  </w:style>
  <w:style w:type="paragraph" w:customStyle="1" w:styleId="List1Numbered2">
    <w:name w:val="List 1 Numbered 2"/>
    <w:basedOn w:val="Normal"/>
    <w:uiPriority w:val="4"/>
    <w:unhideWhenUsed/>
    <w:rsid w:val="00497C00"/>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280" w:lineRule="atLeast"/>
    </w:pPr>
    <w:rPr>
      <w:rFonts w:ascii="Calibri" w:eastAsiaTheme="minorHAnsi" w:hAnsi="Calibri" w:cs="Calibri"/>
      <w:color w:val="000000"/>
      <w:sz w:val="22"/>
      <w:szCs w:val="22"/>
      <w:bdr w:val="none" w:sz="0" w:space="0" w:color="auto"/>
      <w:lang w:val="en-AU"/>
    </w:rPr>
  </w:style>
  <w:style w:type="paragraph" w:customStyle="1" w:styleId="List1Numbered3">
    <w:name w:val="List 1 Numbered 3"/>
    <w:basedOn w:val="Normal"/>
    <w:uiPriority w:val="4"/>
    <w:unhideWhenUsed/>
    <w:rsid w:val="00497C00"/>
    <w:pPr>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after="200" w:line="280" w:lineRule="atLeast"/>
    </w:pPr>
    <w:rPr>
      <w:rFonts w:ascii="Calibri" w:eastAsiaTheme="minorHAnsi" w:hAnsi="Calibri" w:cs="Calibri"/>
      <w:color w:val="000000"/>
      <w:sz w:val="22"/>
      <w:szCs w:val="22"/>
      <w:bdr w:val="none" w:sz="0" w:space="0" w:color="auto"/>
      <w:lang w:val="en-AU"/>
    </w:rPr>
  </w:style>
  <w:style w:type="paragraph" w:customStyle="1" w:styleId="Boxed1Text">
    <w:name w:val="Boxed 1 Text"/>
    <w:basedOn w:val="Normal"/>
    <w:uiPriority w:val="29"/>
    <w:rsid w:val="00244760"/>
    <w:pPr>
      <w:pBdr>
        <w:top w:val="single" w:sz="4" w:space="14" w:color="FCF6FE" w:themeColor="background2"/>
        <w:left w:val="single" w:sz="4" w:space="14" w:color="FCF6FE" w:themeColor="background2"/>
        <w:bottom w:val="single" w:sz="4" w:space="14" w:color="FCF6FE" w:themeColor="background2"/>
        <w:right w:val="single" w:sz="4" w:space="14" w:color="FCF6FE" w:themeColor="background2"/>
        <w:between w:val="none" w:sz="0" w:space="0" w:color="auto"/>
        <w:bar w:val="none" w:sz="0" w:color="auto"/>
      </w:pBdr>
      <w:shd w:val="clear" w:color="auto" w:fill="FCF6FE" w:themeFill="background2"/>
      <w:spacing w:before="200" w:after="60" w:line="240" w:lineRule="atLeast"/>
      <w:ind w:left="284" w:right="284"/>
    </w:pPr>
    <w:rPr>
      <w:rFonts w:ascii="Calibri" w:eastAsiaTheme="minorHAnsi" w:hAnsi="Calibri" w:cs="Calibri"/>
      <w:color w:val="000000"/>
      <w:sz w:val="22"/>
      <w:szCs w:val="22"/>
      <w:bdr w:val="none" w:sz="0" w:space="0" w:color="auto"/>
      <w:lang w:val="en-AU"/>
    </w:rPr>
  </w:style>
  <w:style w:type="character" w:styleId="Strong">
    <w:name w:val="Strong"/>
    <w:basedOn w:val="DefaultParagraphFont"/>
    <w:uiPriority w:val="22"/>
    <w:qFormat/>
    <w:rsid w:val="00244760"/>
    <w:rPr>
      <w:b/>
      <w:bCs/>
    </w:rPr>
  </w:style>
  <w:style w:type="paragraph" w:styleId="NormalWeb">
    <w:name w:val="Normal (Web)"/>
    <w:basedOn w:val="Normal"/>
    <w:uiPriority w:val="99"/>
    <w:unhideWhenUsed/>
    <w:rsid w:val="002447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heme="minorHAnsi" w:hAnsi="Times New Roman"/>
      <w:bdr w:val="none" w:sz="0" w:space="0" w:color="auto"/>
      <w:lang w:val="en-AU" w:eastAsia="en-AU"/>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locked/>
    <w:rsid w:val="00FF19E1"/>
    <w:rPr>
      <w:rFonts w:asciiTheme="minorHAnsi" w:hAnsi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odsc.vic.gov.au/abuse-prevention/review-of-disability-service-provi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speechpathologyaustralia.org.au/SPAweb/Members/Clinical_Guidelines/spaweb/Members/Clinical_%20Guidelines/Clinical_Guidelines.aspx?hkey=f66634e4-825a-4f1a-910d-644553f591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bo.nsw.gov.au/newsand-publications/news/report-of-reviewable-deaths" TargetMode="External"/><Relationship Id="rId5" Type="http://schemas.openxmlformats.org/officeDocument/2006/relationships/webSettings" Target="webSettings.xml"/><Relationship Id="rId15" Type="http://schemas.openxmlformats.org/officeDocument/2006/relationships/hyperlink" Target="https://www.ndiscommission.gov.au/" TargetMode="External"/><Relationship Id="rId10" Type="http://schemas.openxmlformats.org/officeDocument/2006/relationships/hyperlink" Target="http://www.emims.com.au/Australia/drug/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contactcentre@ndiscommiss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9D66-5A89-466A-BE66-4681F31A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Practice alert: Medicines associated with swallowing problems</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Medicines associated with swallowing problems</dc:title>
  <dc:creator>NDIS Quality and Safeguards Commission</dc:creator>
  <cp:lastModifiedBy>LUNNEY, Heather</cp:lastModifiedBy>
  <cp:revision>9</cp:revision>
  <dcterms:created xsi:type="dcterms:W3CDTF">2020-11-24T00:20:00Z</dcterms:created>
  <dcterms:modified xsi:type="dcterms:W3CDTF">2020-11-24T02:25:00Z</dcterms:modified>
</cp:coreProperties>
</file>