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65B08" w14:textId="77777777" w:rsidR="009E5FA8" w:rsidRPr="008F0C38" w:rsidRDefault="009E5FA8" w:rsidP="009E5FA8">
      <w:pPr>
        <w:pStyle w:val="4Titledescription"/>
        <w:rPr>
          <w:lang w:val="en-AU"/>
        </w:rPr>
      </w:pPr>
      <w:r w:rsidRPr="008F0C38">
        <w:rPr>
          <w:noProof/>
          <w:lang w:val="en-AU"/>
        </w:rPr>
        <w:drawing>
          <wp:inline distT="0" distB="0" distL="0" distR="0" wp14:anchorId="066B4743" wp14:editId="5C9993AE">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3ABF22A4" w14:textId="77777777" w:rsidR="009E5FA8" w:rsidRPr="008F0C38" w:rsidRDefault="009E5FA8" w:rsidP="009E5FA8">
      <w:pPr>
        <w:pStyle w:val="1Documentnameh1"/>
      </w:pPr>
      <w:r w:rsidRPr="008F0C38">
        <w:t>Practice Alert</w:t>
      </w:r>
    </w:p>
    <w:p w14:paraId="51A0B429" w14:textId="011C0088" w:rsidR="009E5FA8" w:rsidRPr="008F0C38" w:rsidRDefault="009B248C" w:rsidP="009E5FA8">
      <w:pPr>
        <w:pStyle w:val="3Titleh3"/>
        <w:rPr>
          <w:lang w:val="en-AU"/>
        </w:rPr>
      </w:pPr>
      <w:r>
        <w:rPr>
          <w:lang w:val="en-AU"/>
        </w:rPr>
        <w:t>Lifestyle risk factors</w:t>
      </w:r>
      <w:r w:rsidR="004D3DC8" w:rsidRPr="008F0C38">
        <w:rPr>
          <w:lang w:val="en-AU"/>
        </w:rPr>
        <w:t xml:space="preserve"> </w:t>
      </w:r>
    </w:p>
    <w:p w14:paraId="1D2C66C8" w14:textId="022BCD54" w:rsidR="009E5FA8" w:rsidRPr="008F0C38" w:rsidRDefault="004D3DC8" w:rsidP="009E5FA8">
      <w:pPr>
        <w:pStyle w:val="4Titledescription"/>
        <w:rPr>
          <w:lang w:val="en-AU"/>
        </w:rPr>
      </w:pPr>
      <w:r w:rsidRPr="008F0C38">
        <w:rPr>
          <w:lang w:val="en-AU"/>
        </w:rPr>
        <w:t>July</w:t>
      </w:r>
      <w:r w:rsidR="009E5FA8" w:rsidRPr="008F0C38">
        <w:rPr>
          <w:lang w:val="en-AU"/>
        </w:rPr>
        <w:t xml:space="preserve"> 202</w:t>
      </w:r>
      <w:r w:rsidRPr="008F0C38">
        <w:rPr>
          <w:lang w:val="en-AU"/>
        </w:rPr>
        <w:t>1</w:t>
      </w:r>
    </w:p>
    <w:p w14:paraId="51A9436F" w14:textId="2080159F" w:rsidR="00C320EC" w:rsidRPr="008F0C38" w:rsidRDefault="00C320EC" w:rsidP="00C320EC">
      <w:r w:rsidRPr="008F0C38">
        <w:t xml:space="preserve">This practice alert was prepared by the Australian Commission on Safety and Quality in Health Care, </w:t>
      </w:r>
      <w:r w:rsidR="0007109E">
        <w:t>as a</w:t>
      </w:r>
      <w:r w:rsidR="0007109E" w:rsidRPr="008F0C38">
        <w:t xml:space="preserve"> </w:t>
      </w:r>
      <w:r w:rsidRPr="008F0C38">
        <w:t xml:space="preserve">joint publication </w:t>
      </w:r>
      <w:r w:rsidR="0007109E">
        <w:t>with t</w:t>
      </w:r>
      <w:bookmarkStart w:id="0" w:name="_GoBack"/>
      <w:bookmarkEnd w:id="0"/>
      <w:r w:rsidR="0007109E">
        <w:t>he</w:t>
      </w:r>
      <w:r w:rsidR="0007109E" w:rsidRPr="008F0C38">
        <w:t xml:space="preserve"> </w:t>
      </w:r>
      <w:r w:rsidRPr="008F0C38">
        <w:t>NDIS Commission</w:t>
      </w:r>
      <w:r w:rsidR="0007109E">
        <w:t>.</w:t>
      </w:r>
      <w:r w:rsidRPr="008F0C38">
        <w:t xml:space="preserve"> </w:t>
      </w:r>
    </w:p>
    <w:p w14:paraId="4B6FD0FC" w14:textId="28D358CA" w:rsidR="009E5FA8" w:rsidRPr="008F0C38" w:rsidRDefault="009E5FA8" w:rsidP="009359E9">
      <w:pPr>
        <w:pStyle w:val="5AboutHeadingh4"/>
        <w:spacing w:before="240" w:after="240"/>
        <w:ind w:right="-34"/>
        <w:rPr>
          <w:lang w:val="en-AU"/>
        </w:rPr>
      </w:pPr>
      <w:r w:rsidRPr="008F0C38">
        <w:rPr>
          <w:lang w:val="en-AU"/>
        </w:rPr>
        <w:t>Key points</w:t>
      </w:r>
    </w:p>
    <w:p w14:paraId="03C92971" w14:textId="77777777" w:rsidR="009B248C" w:rsidRDefault="009B248C" w:rsidP="009B248C">
      <w:pPr>
        <w:pStyle w:val="6Aboutbullet"/>
        <w:spacing w:before="240"/>
        <w:ind w:right="-34"/>
        <w:rPr>
          <w:lang w:val="en-AU"/>
        </w:rPr>
      </w:pPr>
      <w:r w:rsidRPr="005C32B6">
        <w:t xml:space="preserve">People with disability have a right to the highest attainable standard of health, and a right to choice and control regarding personal lifestyle and daily activities. </w:t>
      </w:r>
    </w:p>
    <w:p w14:paraId="4AB3EBE9" w14:textId="2325D5F2" w:rsidR="009B248C" w:rsidRDefault="00BC070B" w:rsidP="009B248C">
      <w:pPr>
        <w:pStyle w:val="6Aboutbullet"/>
        <w:spacing w:before="240"/>
        <w:ind w:right="-34"/>
        <w:rPr>
          <w:lang w:val="en-AU"/>
        </w:rPr>
      </w:pPr>
      <w:r>
        <w:t>Participant’s</w:t>
      </w:r>
      <w:r w:rsidRPr="00FA18B4">
        <w:t xml:space="preserve"> </w:t>
      </w:r>
      <w:r w:rsidR="009B248C" w:rsidRPr="00FA18B4">
        <w:t>should be encouraged and supported to achieve lifestyle changes that will match their own health and wellbeing goals</w:t>
      </w:r>
      <w:r w:rsidR="009B248C">
        <w:t>.</w:t>
      </w:r>
    </w:p>
    <w:p w14:paraId="33CD3D3E" w14:textId="47352548" w:rsidR="009B248C" w:rsidRDefault="00850FD6" w:rsidP="009B248C">
      <w:pPr>
        <w:pStyle w:val="6Aboutbullet"/>
        <w:spacing w:before="240"/>
        <w:ind w:right="-34"/>
        <w:rPr>
          <w:lang w:val="en-AU"/>
        </w:rPr>
      </w:pPr>
      <w:r>
        <w:t xml:space="preserve">The keys to </w:t>
      </w:r>
      <w:r w:rsidR="002901D5">
        <w:t>reducing</w:t>
      </w:r>
      <w:r>
        <w:t xml:space="preserve"> l</w:t>
      </w:r>
      <w:r w:rsidR="009B248C" w:rsidRPr="00FA18B4">
        <w:t xml:space="preserve">ifestyle </w:t>
      </w:r>
      <w:r>
        <w:t>risks</w:t>
      </w:r>
      <w:r w:rsidRPr="00FA18B4">
        <w:t xml:space="preserve"> </w:t>
      </w:r>
      <w:r w:rsidR="009B248C" w:rsidRPr="00FA18B4">
        <w:t>include eating healthier food, increasing exercise</w:t>
      </w:r>
      <w:r>
        <w:t xml:space="preserve"> and connection with others, while</w:t>
      </w:r>
      <w:r w:rsidR="009B248C" w:rsidRPr="00FA18B4">
        <w:t xml:space="preserve"> reducing stress, </w:t>
      </w:r>
      <w:r>
        <w:t>too much weight, alcohol and stopping smoking</w:t>
      </w:r>
      <w:r w:rsidR="009B248C" w:rsidRPr="00FA18B4">
        <w:t>.</w:t>
      </w:r>
    </w:p>
    <w:p w14:paraId="3BBA37F5" w14:textId="21593763" w:rsidR="004D3DC8" w:rsidRPr="009B248C" w:rsidRDefault="009B248C" w:rsidP="009B248C">
      <w:pPr>
        <w:pStyle w:val="6Aboutbullet"/>
        <w:spacing w:before="240"/>
        <w:ind w:right="-34"/>
        <w:rPr>
          <w:lang w:val="en-AU"/>
        </w:rPr>
      </w:pPr>
      <w:r>
        <w:t>P</w:t>
      </w:r>
      <w:r w:rsidRPr="00570F23">
        <w:t xml:space="preserve">roviders are required to support participant’s to make informed choices, exercise control and </w:t>
      </w:r>
      <w:proofErr w:type="spellStart"/>
      <w:r w:rsidRPr="00570F23">
        <w:t>maximise</w:t>
      </w:r>
      <w:proofErr w:type="spellEnd"/>
      <w:r w:rsidRPr="00570F23">
        <w:t xml:space="preserve"> their independence in relation to the supports provided</w:t>
      </w:r>
      <w:r w:rsidR="004D3DC8" w:rsidRPr="009B248C">
        <w:rPr>
          <w:lang w:val="en-AU"/>
        </w:rPr>
        <w:t>.</w:t>
      </w:r>
    </w:p>
    <w:p w14:paraId="592CA9E0" w14:textId="35303B08" w:rsidR="00AD7AD7" w:rsidRPr="008F0C38" w:rsidRDefault="00D50A04" w:rsidP="009359E9">
      <w:pPr>
        <w:pStyle w:val="Heading1"/>
      </w:pPr>
      <w:r>
        <w:t xml:space="preserve">Why </w:t>
      </w:r>
      <w:r w:rsidR="009B248C">
        <w:t>lifestyle is important</w:t>
      </w:r>
    </w:p>
    <w:p w14:paraId="7CDFA997" w14:textId="36697DD1" w:rsidR="009B248C" w:rsidRPr="009C2D8E" w:rsidRDefault="009B248C" w:rsidP="009B248C">
      <w:pPr>
        <w:rPr>
          <w:lang w:val="en-US"/>
        </w:rPr>
      </w:pPr>
      <w:r>
        <w:rPr>
          <w:lang w:val="en-US"/>
        </w:rPr>
        <w:t>P</w:t>
      </w:r>
      <w:r w:rsidRPr="009C2D8E">
        <w:rPr>
          <w:lang w:val="en-US"/>
        </w:rPr>
        <w:t>eople with disability are more likely to have</w:t>
      </w:r>
      <w:r>
        <w:rPr>
          <w:lang w:val="en-US"/>
        </w:rPr>
        <w:t xml:space="preserve"> </w:t>
      </w:r>
      <w:r w:rsidRPr="00BF06B9">
        <w:rPr>
          <w:lang w:val="en-US"/>
        </w:rPr>
        <w:t>poor physical</w:t>
      </w:r>
      <w:r>
        <w:rPr>
          <w:lang w:val="en-US"/>
        </w:rPr>
        <w:t xml:space="preserve"> and mental</w:t>
      </w:r>
      <w:r w:rsidRPr="00BF06B9">
        <w:rPr>
          <w:lang w:val="en-US"/>
        </w:rPr>
        <w:t xml:space="preserve"> health</w:t>
      </w:r>
      <w:r>
        <w:rPr>
          <w:lang w:val="en-US"/>
        </w:rPr>
        <w:t xml:space="preserve">.  This includes conditions </w:t>
      </w:r>
      <w:r w:rsidRPr="00BF06B9">
        <w:rPr>
          <w:lang w:val="en-US"/>
        </w:rPr>
        <w:t>such as</w:t>
      </w:r>
      <w:r w:rsidRPr="009C2D8E">
        <w:rPr>
          <w:lang w:val="en-US"/>
        </w:rPr>
        <w:t xml:space="preserve"> </w:t>
      </w:r>
      <w:r w:rsidRPr="009C2D8E">
        <w:rPr>
          <w:color w:val="333333"/>
        </w:rPr>
        <w:t>cardiovascular disease, respiratory disease, cancer,</w:t>
      </w:r>
      <w:r>
        <w:rPr>
          <w:color w:val="333333"/>
        </w:rPr>
        <w:t xml:space="preserve"> diabetes, </w:t>
      </w:r>
      <w:r w:rsidR="00CE3FE3">
        <w:rPr>
          <w:color w:val="333333"/>
        </w:rPr>
        <w:t xml:space="preserve">oral diseases, </w:t>
      </w:r>
      <w:r w:rsidRPr="009C2D8E">
        <w:rPr>
          <w:lang w:val="en-US"/>
        </w:rPr>
        <w:t>depression and anxiety. These health conditions may be a direct result of, or made worse, b</w:t>
      </w:r>
      <w:r>
        <w:rPr>
          <w:lang w:val="en-US"/>
        </w:rPr>
        <w:t>y lifestyle risk factors such as, p</w:t>
      </w:r>
      <w:r w:rsidRPr="009C2D8E">
        <w:rPr>
          <w:lang w:val="en-US"/>
        </w:rPr>
        <w:t xml:space="preserve">oor nutrition, </w:t>
      </w:r>
      <w:r w:rsidR="00DC6078">
        <w:rPr>
          <w:lang w:val="en-US"/>
        </w:rPr>
        <w:t xml:space="preserve">obesity, </w:t>
      </w:r>
      <w:r w:rsidRPr="009C2D8E">
        <w:rPr>
          <w:lang w:val="en-US"/>
        </w:rPr>
        <w:t>smoking, alcohol intake and lack of exercise.</w:t>
      </w:r>
    </w:p>
    <w:p w14:paraId="2B79F0C8" w14:textId="77777777" w:rsidR="009B248C" w:rsidRDefault="009B248C" w:rsidP="009B248C">
      <w:pPr>
        <w:pStyle w:val="Heading1"/>
        <w:rPr>
          <w:lang w:val="en-US"/>
        </w:rPr>
      </w:pPr>
      <w:r>
        <w:rPr>
          <w:lang w:val="en-US"/>
        </w:rPr>
        <w:t>What are lifestyle factors?</w:t>
      </w:r>
    </w:p>
    <w:p w14:paraId="0016E3EE" w14:textId="6738F68E" w:rsidR="009B248C" w:rsidRDefault="009B248C" w:rsidP="009B248C">
      <w:pPr>
        <w:rPr>
          <w:lang w:val="en-US"/>
        </w:rPr>
      </w:pPr>
      <w:r>
        <w:rPr>
          <w:lang w:val="en-US"/>
        </w:rPr>
        <w:t xml:space="preserve">Lifestyle factors are ways in which we live that can be changed or modified to improve health. Examples of lifestyle factors that can improve health are nutrition, physical activity, </w:t>
      </w:r>
      <w:proofErr w:type="gramStart"/>
      <w:r w:rsidR="00DC6078">
        <w:rPr>
          <w:lang w:val="en-US"/>
        </w:rPr>
        <w:t>adequate</w:t>
      </w:r>
      <w:proofErr w:type="gramEnd"/>
      <w:r>
        <w:rPr>
          <w:lang w:val="en-US"/>
        </w:rPr>
        <w:t xml:space="preserve"> sleep, </w:t>
      </w:r>
      <w:r w:rsidR="00393A6B">
        <w:rPr>
          <w:lang w:val="en-US"/>
        </w:rPr>
        <w:t xml:space="preserve">reducing </w:t>
      </w:r>
      <w:r w:rsidR="004D688C">
        <w:rPr>
          <w:lang w:val="en-US"/>
        </w:rPr>
        <w:t>stress, anxiety,</w:t>
      </w:r>
      <w:r w:rsidR="00393A6B">
        <w:rPr>
          <w:lang w:val="en-US"/>
        </w:rPr>
        <w:t xml:space="preserve"> </w:t>
      </w:r>
      <w:r>
        <w:rPr>
          <w:lang w:val="en-US"/>
        </w:rPr>
        <w:t>alcohol intake</w:t>
      </w:r>
      <w:r w:rsidR="00393A6B">
        <w:rPr>
          <w:lang w:val="en-US"/>
        </w:rPr>
        <w:t xml:space="preserve"> and stopping smoking.</w:t>
      </w:r>
    </w:p>
    <w:p w14:paraId="0932C894" w14:textId="77777777" w:rsidR="009B248C" w:rsidRDefault="009B248C" w:rsidP="009B248C">
      <w:pPr>
        <w:rPr>
          <w:lang w:val="en-US"/>
        </w:rPr>
      </w:pPr>
      <w:r>
        <w:rPr>
          <w:lang w:val="en-US"/>
        </w:rPr>
        <w:lastRenderedPageBreak/>
        <w:t>Loneliness and isolation are also lifestyle risk factors. For instance, the lack of a job, friends or hobbies can lead to many hours spent alone without purpose or connection.</w:t>
      </w:r>
    </w:p>
    <w:p w14:paraId="7C458232" w14:textId="7D397768" w:rsidR="009B248C" w:rsidRDefault="009B248C" w:rsidP="009B248C">
      <w:r>
        <w:t>The Australian Institute of Health and Welfare (AIHW) estimates that 72% of people with a disability in Australia are inactive compared to 52% of people without a disability.  This means that the majority of people with a disability are not exercising or joining in community-based activities.</w:t>
      </w:r>
    </w:p>
    <w:p w14:paraId="11A0BB03" w14:textId="77777777" w:rsidR="009B248C" w:rsidRPr="00C010A4" w:rsidRDefault="009B248C" w:rsidP="009B248C">
      <w:pPr>
        <w:pStyle w:val="Heading1"/>
        <w:rPr>
          <w:lang w:val="en-US"/>
        </w:rPr>
      </w:pPr>
      <w:r>
        <w:rPr>
          <w:lang w:val="en-US"/>
        </w:rPr>
        <w:t>How can lifestyle risks be addressed?</w:t>
      </w:r>
    </w:p>
    <w:p w14:paraId="5E331351" w14:textId="21C1C531" w:rsidR="009B248C" w:rsidRDefault="009B248C" w:rsidP="009B248C">
      <w:pPr>
        <w:rPr>
          <w:lang w:val="en-US"/>
        </w:rPr>
      </w:pPr>
      <w:r>
        <w:rPr>
          <w:lang w:val="en-US"/>
        </w:rPr>
        <w:t xml:space="preserve">Lifestyle risks can be addressed by eating healthy food, increasing exercise, reducing stress and connecting with others. For instance, reducing the amount of takeaway food eaten, </w:t>
      </w:r>
      <w:r w:rsidR="00CE3FE3">
        <w:rPr>
          <w:lang w:val="en-US"/>
        </w:rPr>
        <w:t xml:space="preserve">choosing food and drinks low in added sugar, </w:t>
      </w:r>
      <w:r>
        <w:rPr>
          <w:lang w:val="en-US"/>
        </w:rPr>
        <w:t>increasing movement throughout the day and becoming involved in a community activity that will create connection with others.</w:t>
      </w:r>
    </w:p>
    <w:p w14:paraId="6878F13A" w14:textId="177B9C00" w:rsidR="009B248C" w:rsidRDefault="009B248C" w:rsidP="009B248C">
      <w:pPr>
        <w:rPr>
          <w:lang w:val="en-US"/>
        </w:rPr>
      </w:pPr>
      <w:r w:rsidRPr="009C2D8E">
        <w:rPr>
          <w:lang w:val="en-US"/>
        </w:rPr>
        <w:t>People with disability may not have had the opportunity to access or control their living environment. For instance choice of food, daily activities, exercise and community participation.</w:t>
      </w:r>
    </w:p>
    <w:p w14:paraId="02CB2001" w14:textId="77777777" w:rsidR="009B248C" w:rsidRDefault="009B248C" w:rsidP="009B248C">
      <w:pPr>
        <w:rPr>
          <w:lang w:val="en-US"/>
        </w:rPr>
      </w:pPr>
      <w:r>
        <w:rPr>
          <w:lang w:val="en-US"/>
        </w:rPr>
        <w:t>Changes to lifestyle happen through raising awareness, setting goals for change, changes to the living environment and learning the new skills that may be needed; some of the specific interventions that will create change are outlined below.</w:t>
      </w:r>
    </w:p>
    <w:p w14:paraId="45978959" w14:textId="77777777" w:rsidR="009B248C" w:rsidRDefault="009B248C" w:rsidP="009B248C">
      <w:pPr>
        <w:pStyle w:val="Heading2"/>
        <w:rPr>
          <w:lang w:val="en-US"/>
        </w:rPr>
      </w:pPr>
      <w:r>
        <w:rPr>
          <w:lang w:val="en-US"/>
        </w:rPr>
        <w:t xml:space="preserve">Raising awareness through health promotion </w:t>
      </w:r>
    </w:p>
    <w:p w14:paraId="617D0402" w14:textId="77777777" w:rsidR="009B248C" w:rsidRDefault="009B248C" w:rsidP="009B248C">
      <w:pPr>
        <w:rPr>
          <w:lang w:val="en-US"/>
        </w:rPr>
      </w:pPr>
      <w:r>
        <w:rPr>
          <w:lang w:val="en-US"/>
        </w:rPr>
        <w:t>Health promotion is the provision of information about how everyday activities can effect health. This information raises health awareness and give ideas of how to make lifestyle changes that will address risks such as obesity, high blood pressure and stress management.</w:t>
      </w:r>
    </w:p>
    <w:p w14:paraId="140FA80E" w14:textId="77777777" w:rsidR="009B248C" w:rsidRPr="005F247B" w:rsidRDefault="009B248C" w:rsidP="009B248C">
      <w:pPr>
        <w:pStyle w:val="Heading2"/>
      </w:pPr>
      <w:r w:rsidRPr="005F247B">
        <w:t xml:space="preserve">Setting goals for change </w:t>
      </w:r>
    </w:p>
    <w:p w14:paraId="37AEE712" w14:textId="77777777" w:rsidR="009B248C" w:rsidRDefault="009B248C" w:rsidP="009B248C">
      <w:pPr>
        <w:rPr>
          <w:lang w:val="en-US"/>
        </w:rPr>
      </w:pPr>
      <w:r>
        <w:rPr>
          <w:lang w:val="en-US"/>
        </w:rPr>
        <w:t xml:space="preserve">Setting small achievable goals for change such as walking short distances, not taking sugar in coffee or tea will gradually build to bigger goals.  </w:t>
      </w:r>
    </w:p>
    <w:p w14:paraId="4BE36A0A" w14:textId="6623AB54" w:rsidR="009B248C" w:rsidRDefault="009B248C" w:rsidP="009B248C">
      <w:pPr>
        <w:pStyle w:val="Heading2"/>
        <w:rPr>
          <w:lang w:val="en-US"/>
        </w:rPr>
      </w:pPr>
      <w:r>
        <w:rPr>
          <w:lang w:val="en-US"/>
        </w:rPr>
        <w:t>Learning with peer support</w:t>
      </w:r>
    </w:p>
    <w:p w14:paraId="6E67ECED" w14:textId="7D8D692C" w:rsidR="009B248C" w:rsidRPr="000A7ADD" w:rsidRDefault="009B248C" w:rsidP="009B248C">
      <w:pPr>
        <w:rPr>
          <w:lang w:val="en-US"/>
        </w:rPr>
      </w:pPr>
      <w:r>
        <w:rPr>
          <w:lang w:val="en-US"/>
        </w:rPr>
        <w:t xml:space="preserve">Joining with others who have the same goals can also address lifestyle risks, such as walking with friends, physical training with a group, </w:t>
      </w:r>
      <w:r w:rsidR="003234CA">
        <w:rPr>
          <w:lang w:val="en-US"/>
        </w:rPr>
        <w:t>joining a community garden</w:t>
      </w:r>
      <w:proofErr w:type="gramStart"/>
      <w:r w:rsidR="003234CA">
        <w:rPr>
          <w:lang w:val="en-US"/>
        </w:rPr>
        <w:t xml:space="preserve">, </w:t>
      </w:r>
      <w:r w:rsidR="00623666">
        <w:rPr>
          <w:lang w:val="en-US"/>
        </w:rPr>
        <w:t xml:space="preserve"> </w:t>
      </w:r>
      <w:r w:rsidR="003234CA">
        <w:rPr>
          <w:lang w:val="en-US"/>
        </w:rPr>
        <w:t>water</w:t>
      </w:r>
      <w:proofErr w:type="gramEnd"/>
      <w:r w:rsidR="003234CA">
        <w:rPr>
          <w:lang w:val="en-US"/>
        </w:rPr>
        <w:t xml:space="preserve"> aerobics </w:t>
      </w:r>
      <w:r>
        <w:rPr>
          <w:lang w:val="en-US"/>
        </w:rPr>
        <w:t xml:space="preserve">or participating in a walkathon or fun run. To increase connection with others, joining an art class, </w:t>
      </w:r>
      <w:r w:rsidR="00623666">
        <w:rPr>
          <w:lang w:val="en-US"/>
        </w:rPr>
        <w:t xml:space="preserve">music </w:t>
      </w:r>
      <w:r>
        <w:rPr>
          <w:lang w:val="en-US"/>
        </w:rPr>
        <w:t>or dancing lessons will assist.</w:t>
      </w:r>
    </w:p>
    <w:p w14:paraId="23F9447F" w14:textId="7288FDAA" w:rsidR="009B248C" w:rsidRPr="00E3483C" w:rsidRDefault="009B248C" w:rsidP="009B248C">
      <w:pPr>
        <w:pStyle w:val="Heading2"/>
        <w:rPr>
          <w:lang w:val="en-US"/>
        </w:rPr>
      </w:pPr>
      <w:r w:rsidRPr="00E3483C">
        <w:rPr>
          <w:lang w:val="en-US"/>
        </w:rPr>
        <w:t>Chang</w:t>
      </w:r>
      <w:r>
        <w:rPr>
          <w:lang w:val="en-US"/>
        </w:rPr>
        <w:t>ing</w:t>
      </w:r>
      <w:r w:rsidRPr="00E3483C">
        <w:rPr>
          <w:lang w:val="en-US"/>
        </w:rPr>
        <w:t xml:space="preserve"> the </w:t>
      </w:r>
      <w:r>
        <w:rPr>
          <w:lang w:val="en-US"/>
        </w:rPr>
        <w:t xml:space="preserve">living </w:t>
      </w:r>
      <w:r w:rsidRPr="00E3483C">
        <w:rPr>
          <w:lang w:val="en-US"/>
        </w:rPr>
        <w:t xml:space="preserve">environment </w:t>
      </w:r>
    </w:p>
    <w:p w14:paraId="2CC5947B" w14:textId="77777777" w:rsidR="009B248C" w:rsidRPr="0000602A" w:rsidRDefault="009B248C" w:rsidP="009B248C">
      <w:r>
        <w:t xml:space="preserve">Lifestyle risks can be reduced by making changes to the environment that can support goals. These changes can be small such as having healthy food choices available planning, shopping and cooking healthy meals. </w:t>
      </w:r>
    </w:p>
    <w:p w14:paraId="32DDEC14" w14:textId="77777777" w:rsidR="009B248C" w:rsidRPr="00732483" w:rsidRDefault="009B248C" w:rsidP="009B248C">
      <w:pPr>
        <w:pStyle w:val="Heading2"/>
        <w:rPr>
          <w:lang w:val="en-US"/>
        </w:rPr>
      </w:pPr>
      <w:r>
        <w:rPr>
          <w:lang w:val="en-US"/>
        </w:rPr>
        <w:t xml:space="preserve">Encouraging and increasing physical activity </w:t>
      </w:r>
    </w:p>
    <w:p w14:paraId="06B69A5A" w14:textId="77777777" w:rsidR="009B248C" w:rsidRDefault="009B248C" w:rsidP="009B248C">
      <w:pPr>
        <w:rPr>
          <w:lang w:val="en-US"/>
        </w:rPr>
      </w:pPr>
      <w:r>
        <w:rPr>
          <w:lang w:val="en-US"/>
        </w:rPr>
        <w:t>Encouraging positive ideas of physical activity and self-esteem will also assist in motivating change. Many people think that they may not cope with exercise and this prevents them from taking it up.  Increasing movement through normal daily activities is a way to start feeling more positive about our bodies and movement.</w:t>
      </w:r>
    </w:p>
    <w:p w14:paraId="264C356E" w14:textId="77777777" w:rsidR="009B248C" w:rsidRDefault="009B248C" w:rsidP="009B248C">
      <w:pPr>
        <w:rPr>
          <w:lang w:val="en-US"/>
        </w:rPr>
      </w:pPr>
      <w:r>
        <w:rPr>
          <w:lang w:val="en-US"/>
        </w:rPr>
        <w:t>Increasing physical activity</w:t>
      </w:r>
      <w:r w:rsidRPr="00D96052">
        <w:rPr>
          <w:lang w:val="en-US"/>
        </w:rPr>
        <w:t xml:space="preserve"> </w:t>
      </w:r>
      <w:r>
        <w:rPr>
          <w:lang w:val="en-US"/>
        </w:rPr>
        <w:t>improves health and has a flow on effect to other lifestyle risks such as nutrition, stress and smoking. Exercise will lower blood pressure, improve self-esteem and improve mental health.</w:t>
      </w:r>
    </w:p>
    <w:p w14:paraId="54AA826B" w14:textId="77777777" w:rsidR="009B248C" w:rsidRPr="004F227C" w:rsidRDefault="009B248C" w:rsidP="009B248C">
      <w:pPr>
        <w:pStyle w:val="ListParagraph"/>
        <w:rPr>
          <w:i/>
          <w:iCs/>
        </w:rPr>
      </w:pPr>
    </w:p>
    <w:p w14:paraId="2C5A2B53" w14:textId="5D5C3632" w:rsidR="009B248C" w:rsidRPr="00504EBE" w:rsidRDefault="009B248C" w:rsidP="009B248C">
      <w:pPr>
        <w:pStyle w:val="Heading1"/>
        <w:rPr>
          <w:lang w:val="en-US"/>
        </w:rPr>
      </w:pPr>
      <w:r>
        <w:lastRenderedPageBreak/>
        <w:t>Supporting participants</w:t>
      </w:r>
    </w:p>
    <w:p w14:paraId="1A3CCA93" w14:textId="77777777" w:rsidR="009B248C" w:rsidRPr="00F6451E" w:rsidRDefault="009B248C" w:rsidP="009B248C">
      <w:pPr>
        <w:rPr>
          <w:rFonts w:cstheme="minorHAnsi"/>
        </w:rPr>
      </w:pPr>
      <w:r w:rsidRPr="003424ED">
        <w:rPr>
          <w:rFonts w:cstheme="minorHAnsi"/>
        </w:rPr>
        <w:t>Providers are required to monitor participants’ health, safety and wellbeing, support participants to maintain their health and to access appropriate health services</w:t>
      </w:r>
      <w:r w:rsidRPr="003424ED">
        <w:rPr>
          <w:rFonts w:cstheme="minorHAnsi"/>
          <w:bCs/>
        </w:rPr>
        <w:t>.</w:t>
      </w:r>
    </w:p>
    <w:p w14:paraId="29341E74" w14:textId="77777777" w:rsidR="009B248C" w:rsidRDefault="009B248C" w:rsidP="009B248C">
      <w:pPr>
        <w:rPr>
          <w:rFonts w:cstheme="minorHAnsi"/>
        </w:rPr>
      </w:pPr>
      <w:r w:rsidRPr="007C5A43">
        <w:rPr>
          <w:rFonts w:cstheme="minorHAnsi"/>
        </w:rPr>
        <w:t xml:space="preserve">Providers should </w:t>
      </w:r>
      <w:r>
        <w:rPr>
          <w:rFonts w:cstheme="minorHAnsi"/>
        </w:rPr>
        <w:t>support</w:t>
      </w:r>
      <w:r w:rsidRPr="007C5A43">
        <w:rPr>
          <w:rFonts w:cstheme="minorHAnsi"/>
        </w:rPr>
        <w:t xml:space="preserve"> participant</w:t>
      </w:r>
      <w:r>
        <w:rPr>
          <w:rFonts w:cstheme="minorHAnsi"/>
        </w:rPr>
        <w:t>s</w:t>
      </w:r>
      <w:r w:rsidRPr="007C5A43">
        <w:rPr>
          <w:rFonts w:cstheme="minorHAnsi"/>
        </w:rPr>
        <w:t xml:space="preserve"> to be empowered to live a healthy lifestyle and </w:t>
      </w:r>
      <w:r>
        <w:rPr>
          <w:rFonts w:cstheme="minorHAnsi"/>
        </w:rPr>
        <w:t>understand why it is important.</w:t>
      </w:r>
      <w:r w:rsidRPr="007C5A43">
        <w:rPr>
          <w:rFonts w:cstheme="minorHAnsi"/>
        </w:rPr>
        <w:t xml:space="preserve"> </w:t>
      </w:r>
    </w:p>
    <w:p w14:paraId="4F8112B2" w14:textId="77777777" w:rsidR="009B248C" w:rsidRDefault="009B248C" w:rsidP="009B248C">
      <w:r>
        <w:t xml:space="preserve">Providers can support participants in the following ways: </w:t>
      </w:r>
    </w:p>
    <w:p w14:paraId="25B7063D" w14:textId="77777777" w:rsidR="009B248C" w:rsidRDefault="009B248C" w:rsidP="009B248C">
      <w:pPr>
        <w:pStyle w:val="ListParagraph"/>
        <w:numPr>
          <w:ilvl w:val="0"/>
          <w:numId w:val="33"/>
        </w:numPr>
        <w:spacing w:after="0"/>
      </w:pPr>
      <w:r w:rsidRPr="00FF347D">
        <w:t>incorporat</w:t>
      </w:r>
      <w:r>
        <w:t>e</w:t>
      </w:r>
      <w:r w:rsidRPr="00FF347D">
        <w:t xml:space="preserve"> health promotion, and ways to live a healthy lifestyle </w:t>
      </w:r>
      <w:r>
        <w:t xml:space="preserve">into </w:t>
      </w:r>
      <w:r w:rsidRPr="00FF347D">
        <w:t>support planning</w:t>
      </w:r>
      <w:r>
        <w:t xml:space="preserve"> </w:t>
      </w:r>
    </w:p>
    <w:p w14:paraId="79772840" w14:textId="77777777" w:rsidR="009B248C" w:rsidRPr="00C010A4" w:rsidRDefault="009B248C" w:rsidP="009B248C">
      <w:pPr>
        <w:pStyle w:val="ListParagraph"/>
        <w:numPr>
          <w:ilvl w:val="0"/>
          <w:numId w:val="33"/>
        </w:numPr>
        <w:spacing w:after="0"/>
      </w:pPr>
      <w:r>
        <w:t xml:space="preserve">link actions for a healthy lifestyle to the participant’s annual comprehensive assessment </w:t>
      </w:r>
      <w:r w:rsidRPr="009B248C">
        <w:rPr>
          <w:lang w:val="en-US"/>
        </w:rPr>
        <w:t xml:space="preserve"> </w:t>
      </w:r>
    </w:p>
    <w:p w14:paraId="6B501423" w14:textId="77777777" w:rsidR="009B248C" w:rsidRPr="00A34BC5" w:rsidRDefault="009B248C" w:rsidP="009B248C">
      <w:pPr>
        <w:pStyle w:val="ListParagraph"/>
        <w:numPr>
          <w:ilvl w:val="0"/>
          <w:numId w:val="33"/>
        </w:numPr>
        <w:spacing w:after="0"/>
      </w:pPr>
      <w:proofErr w:type="gramStart"/>
      <w:r w:rsidRPr="009B248C">
        <w:rPr>
          <w:lang w:val="en-US"/>
        </w:rPr>
        <w:t>provide</w:t>
      </w:r>
      <w:proofErr w:type="gramEnd"/>
      <w:r w:rsidRPr="009B248C">
        <w:rPr>
          <w:lang w:val="en-US"/>
        </w:rPr>
        <w:t xml:space="preserve"> support to make informed decisions regarding their own lifestyle. This includes support to:</w:t>
      </w:r>
    </w:p>
    <w:p w14:paraId="3A98DA1B" w14:textId="77777777" w:rsidR="00E529D9" w:rsidRPr="00E529D9" w:rsidRDefault="009B248C" w:rsidP="00E529D9">
      <w:pPr>
        <w:pStyle w:val="Bullet1"/>
      </w:pPr>
      <w:r w:rsidRPr="005C32B6">
        <w:rPr>
          <w:lang w:val="en-US"/>
        </w:rPr>
        <w:t>understand any risks arising from their present lifestyle</w:t>
      </w:r>
    </w:p>
    <w:p w14:paraId="4665111D" w14:textId="77777777" w:rsidR="00E529D9" w:rsidRDefault="009B248C" w:rsidP="00E529D9">
      <w:pPr>
        <w:pStyle w:val="Bullet1"/>
      </w:pPr>
      <w:r w:rsidRPr="005C32B6">
        <w:t xml:space="preserve">understand how they can improve their lifestyle to match their own health goals </w:t>
      </w:r>
    </w:p>
    <w:p w14:paraId="71EC0A31" w14:textId="7EA2CB7A" w:rsidR="009B248C" w:rsidRDefault="009B248C" w:rsidP="00E529D9">
      <w:pPr>
        <w:pStyle w:val="Bullet1"/>
      </w:pPr>
      <w:r w:rsidRPr="00E529D9">
        <w:rPr>
          <w:lang w:val="en-US"/>
        </w:rPr>
        <w:t xml:space="preserve">talk to their GP about their health and what lifestyle changes are needed to </w:t>
      </w:r>
      <w:proofErr w:type="spellStart"/>
      <w:r w:rsidRPr="00E529D9">
        <w:rPr>
          <w:lang w:val="en-US"/>
        </w:rPr>
        <w:t>optimise</w:t>
      </w:r>
      <w:proofErr w:type="spellEnd"/>
      <w:r w:rsidRPr="00E529D9">
        <w:rPr>
          <w:lang w:val="en-US"/>
        </w:rPr>
        <w:t xml:space="preserve"> their health</w:t>
      </w:r>
    </w:p>
    <w:p w14:paraId="074FE986" w14:textId="77777777" w:rsidR="009B248C" w:rsidRPr="00504EBE" w:rsidRDefault="009B248C" w:rsidP="009B248C">
      <w:pPr>
        <w:pStyle w:val="ListParagraph"/>
        <w:numPr>
          <w:ilvl w:val="0"/>
          <w:numId w:val="34"/>
        </w:numPr>
        <w:spacing w:after="0"/>
      </w:pPr>
      <w:r>
        <w:t>facilitate choice</w:t>
      </w:r>
      <w:r w:rsidRPr="00FF347D">
        <w:t xml:space="preserve"> </w:t>
      </w:r>
      <w:r>
        <w:t>in</w:t>
      </w:r>
      <w:r w:rsidRPr="00FF347D">
        <w:t xml:space="preserve"> lifestyle change</w:t>
      </w:r>
      <w:r>
        <w:t>s and</w:t>
      </w:r>
      <w:r w:rsidRPr="00FF347D">
        <w:t xml:space="preserve"> </w:t>
      </w:r>
      <w:r>
        <w:t>understanding about their own health, using accessible tools and resources</w:t>
      </w:r>
    </w:p>
    <w:p w14:paraId="1FBE6690" w14:textId="77777777" w:rsidR="009B248C" w:rsidRPr="00FF347D" w:rsidRDefault="009B248C" w:rsidP="009B248C">
      <w:pPr>
        <w:pStyle w:val="ListParagraph"/>
        <w:numPr>
          <w:ilvl w:val="0"/>
          <w:numId w:val="34"/>
        </w:numPr>
        <w:spacing w:after="0"/>
      </w:pPr>
      <w:r>
        <w:t>engage the participant with encouragement and highlight their achievements so that they are motivated to develop a healthy lifestyle</w:t>
      </w:r>
      <w:r w:rsidRPr="00FF347D">
        <w:t xml:space="preserve"> </w:t>
      </w:r>
    </w:p>
    <w:p w14:paraId="66717495" w14:textId="77777777" w:rsidR="009B248C" w:rsidRPr="00FF347D" w:rsidRDefault="009B248C" w:rsidP="009B248C">
      <w:pPr>
        <w:pStyle w:val="ListParagraph"/>
        <w:numPr>
          <w:ilvl w:val="0"/>
          <w:numId w:val="34"/>
        </w:numPr>
        <w:spacing w:after="0"/>
        <w:rPr>
          <w:lang w:val="en-US"/>
        </w:rPr>
      </w:pPr>
      <w:r w:rsidRPr="00FF347D">
        <w:rPr>
          <w:lang w:val="en-US"/>
        </w:rPr>
        <w:t>provide information about health</w:t>
      </w:r>
      <w:r>
        <w:rPr>
          <w:lang w:val="en-US"/>
        </w:rPr>
        <w:t>y lifestyles</w:t>
      </w:r>
      <w:r w:rsidRPr="00FF347D">
        <w:rPr>
          <w:lang w:val="en-US"/>
        </w:rPr>
        <w:t xml:space="preserve"> and </w:t>
      </w:r>
      <w:r>
        <w:rPr>
          <w:lang w:val="en-US"/>
        </w:rPr>
        <w:t>different ideas to improve</w:t>
      </w:r>
      <w:r w:rsidRPr="00FF347D">
        <w:rPr>
          <w:lang w:val="en-US"/>
        </w:rPr>
        <w:t xml:space="preserve"> health, such as walking instead of driving, learning to cook a new healthy dish or taking up an exercise class</w:t>
      </w:r>
    </w:p>
    <w:p w14:paraId="299262E7" w14:textId="77777777" w:rsidR="009B248C" w:rsidRPr="00FF347D" w:rsidRDefault="009B248C" w:rsidP="009B248C">
      <w:pPr>
        <w:pStyle w:val="ListParagraph"/>
        <w:numPr>
          <w:ilvl w:val="0"/>
          <w:numId w:val="34"/>
        </w:numPr>
        <w:spacing w:after="0"/>
        <w:rPr>
          <w:lang w:val="en-US"/>
        </w:rPr>
      </w:pPr>
      <w:r w:rsidRPr="00FF347D">
        <w:rPr>
          <w:lang w:val="en-US"/>
        </w:rPr>
        <w:t>suggest</w:t>
      </w:r>
      <w:r>
        <w:rPr>
          <w:lang w:val="en-US"/>
        </w:rPr>
        <w:t xml:space="preserve"> and support access to new</w:t>
      </w:r>
      <w:r w:rsidRPr="00FF347D">
        <w:rPr>
          <w:lang w:val="en-US"/>
        </w:rPr>
        <w:t xml:space="preserve"> activities </w:t>
      </w:r>
      <w:r>
        <w:rPr>
          <w:lang w:val="en-US"/>
        </w:rPr>
        <w:t xml:space="preserve">or </w:t>
      </w:r>
      <w:r w:rsidRPr="00FF347D">
        <w:rPr>
          <w:lang w:val="en-US"/>
        </w:rPr>
        <w:t>choices that link to the participant’s goals and dreams and how a healthy lifestyle may help them achieve this goal</w:t>
      </w:r>
    </w:p>
    <w:p w14:paraId="6FE90B89" w14:textId="77777777" w:rsidR="009B248C" w:rsidRDefault="009B248C" w:rsidP="009B248C">
      <w:pPr>
        <w:pStyle w:val="ListParagraph"/>
        <w:numPr>
          <w:ilvl w:val="0"/>
          <w:numId w:val="34"/>
        </w:numPr>
        <w:spacing w:after="0"/>
        <w:rPr>
          <w:lang w:val="en-US"/>
        </w:rPr>
      </w:pPr>
      <w:r w:rsidRPr="00FF347D">
        <w:rPr>
          <w:lang w:val="en-US"/>
        </w:rPr>
        <w:t>provide information</w:t>
      </w:r>
      <w:r>
        <w:rPr>
          <w:lang w:val="en-US"/>
        </w:rPr>
        <w:t xml:space="preserve"> about and support access to new interests and community activities in the local area such as a community garden, amateur theatre, start a </w:t>
      </w:r>
      <w:r w:rsidRPr="00FF347D">
        <w:rPr>
          <w:lang w:val="en-US"/>
        </w:rPr>
        <w:t xml:space="preserve">walking group, </w:t>
      </w:r>
      <w:r>
        <w:rPr>
          <w:lang w:val="en-US"/>
        </w:rPr>
        <w:t>cooking lessons or arts and crafts</w:t>
      </w:r>
    </w:p>
    <w:p w14:paraId="5A6C7BE2" w14:textId="77777777" w:rsidR="009B248C" w:rsidRDefault="009B248C" w:rsidP="009B248C">
      <w:pPr>
        <w:pStyle w:val="ListParagraph"/>
        <w:numPr>
          <w:ilvl w:val="0"/>
          <w:numId w:val="34"/>
        </w:numPr>
        <w:spacing w:after="0"/>
        <w:rPr>
          <w:lang w:val="en-US"/>
        </w:rPr>
      </w:pPr>
      <w:r>
        <w:rPr>
          <w:lang w:val="en-US"/>
        </w:rPr>
        <w:t>support the participant to make changes to their living environment that will support their goals, increase incidental exercise around the house, keep healthy food choices in the cupboard, and walk to places when possible</w:t>
      </w:r>
    </w:p>
    <w:p w14:paraId="0ED96359" w14:textId="5C5B2A13" w:rsidR="009B248C" w:rsidRPr="005C32B6" w:rsidRDefault="009B248C" w:rsidP="009B248C">
      <w:pPr>
        <w:pStyle w:val="ListParagraph"/>
        <w:numPr>
          <w:ilvl w:val="0"/>
          <w:numId w:val="34"/>
        </w:numPr>
        <w:spacing w:after="0"/>
        <w:rPr>
          <w:lang w:val="en-US"/>
        </w:rPr>
      </w:pPr>
      <w:proofErr w:type="gramStart"/>
      <w:r>
        <w:rPr>
          <w:lang w:val="en-US"/>
        </w:rPr>
        <w:t>s</w:t>
      </w:r>
      <w:r w:rsidRPr="005C32B6">
        <w:rPr>
          <w:lang w:val="en-US"/>
        </w:rPr>
        <w:t>upport</w:t>
      </w:r>
      <w:proofErr w:type="gramEnd"/>
      <w:r w:rsidRPr="005C32B6">
        <w:rPr>
          <w:lang w:val="en-US"/>
        </w:rPr>
        <w:t xml:space="preserve"> to access </w:t>
      </w:r>
      <w:r>
        <w:rPr>
          <w:lang w:val="en-US"/>
        </w:rPr>
        <w:t xml:space="preserve">to information or professional assistance such as </w:t>
      </w:r>
      <w:r w:rsidR="00A01400">
        <w:rPr>
          <w:lang w:val="en-US"/>
        </w:rPr>
        <w:t>dietitian</w:t>
      </w:r>
      <w:r>
        <w:rPr>
          <w:lang w:val="en-US"/>
        </w:rPr>
        <w:t xml:space="preserve"> or exercise physiologists</w:t>
      </w:r>
      <w:r w:rsidRPr="005C32B6">
        <w:rPr>
          <w:lang w:val="en-US"/>
        </w:rPr>
        <w:t xml:space="preserve"> where the person’s lifestyle choices are inconsistent with their own health goals</w:t>
      </w:r>
      <w:r>
        <w:rPr>
          <w:lang w:val="en-US"/>
        </w:rPr>
        <w:t>.</w:t>
      </w:r>
    </w:p>
    <w:p w14:paraId="55217258" w14:textId="77777777" w:rsidR="009B248C" w:rsidRPr="003163B0" w:rsidRDefault="009B248C" w:rsidP="009B248C">
      <w:pPr>
        <w:pStyle w:val="Heading2"/>
      </w:pPr>
      <w:r w:rsidRPr="003163B0">
        <w:t>Referrals to other professionals</w:t>
      </w:r>
    </w:p>
    <w:p w14:paraId="7F2C7C92" w14:textId="77777777" w:rsidR="009B248C" w:rsidRDefault="009B248C" w:rsidP="009B248C">
      <w:r>
        <w:t>Changes to lifestyle can involve changes across different aspects of a participant’s life. A multi-disciplinary approach can assist the participant to develop new skills or identify a support need. For instance, identifying an appropriate level and type of exercise or learning how to cook.</w:t>
      </w:r>
    </w:p>
    <w:p w14:paraId="68B3EEBD" w14:textId="7059DB17" w:rsidR="009B248C" w:rsidRDefault="009B248C" w:rsidP="009B248C">
      <w:r>
        <w:t xml:space="preserve">The types of professionals that may assist in lifestyle change include </w:t>
      </w:r>
      <w:r w:rsidR="00A01400">
        <w:t>dietitian</w:t>
      </w:r>
      <w:r>
        <w:t>s, physiotherapists, occupational therapists, exercise physiologists, counsellors and NDIS behaviour support practitioners.</w:t>
      </w:r>
    </w:p>
    <w:p w14:paraId="59DAB2AF" w14:textId="77777777" w:rsidR="009B248C" w:rsidRPr="00504EBE" w:rsidRDefault="009B248C" w:rsidP="009B248C">
      <w:pPr>
        <w:pStyle w:val="Heading2"/>
        <w:rPr>
          <w:lang w:val="en-US"/>
        </w:rPr>
      </w:pPr>
      <w:r w:rsidRPr="00504EBE">
        <w:rPr>
          <w:lang w:val="en-US"/>
        </w:rPr>
        <w:t xml:space="preserve">Training and development </w:t>
      </w:r>
    </w:p>
    <w:p w14:paraId="3605BE3D" w14:textId="5459C497" w:rsidR="009B248C" w:rsidRDefault="009B248C" w:rsidP="009B248C">
      <w:pPr>
        <w:rPr>
          <w:rFonts w:asciiTheme="majorHAnsi" w:eastAsiaTheme="majorEastAsia" w:hAnsiTheme="majorHAnsi" w:cstheme="majorBidi"/>
          <w:b/>
        </w:rPr>
      </w:pPr>
      <w:r>
        <w:t xml:space="preserve">Consider how to increase NDIS workers training and skills in areas such as: </w:t>
      </w:r>
    </w:p>
    <w:p w14:paraId="155FFBC3" w14:textId="77777777" w:rsidR="009B248C" w:rsidRPr="009B248C" w:rsidRDefault="009B248C" w:rsidP="009B248C">
      <w:pPr>
        <w:pStyle w:val="ListParagraph"/>
        <w:numPr>
          <w:ilvl w:val="0"/>
          <w:numId w:val="36"/>
        </w:numPr>
        <w:spacing w:after="0"/>
        <w:rPr>
          <w:rFonts w:cstheme="minorHAnsi"/>
        </w:rPr>
      </w:pPr>
      <w:r w:rsidRPr="009B248C">
        <w:rPr>
          <w:rFonts w:eastAsiaTheme="majorEastAsia" w:cstheme="minorHAnsi"/>
        </w:rPr>
        <w:t xml:space="preserve">healthy lifestyles, nutrition and menu planning and exercise </w:t>
      </w:r>
    </w:p>
    <w:p w14:paraId="1E4A13E6" w14:textId="77777777" w:rsidR="009B248C" w:rsidRPr="009B248C" w:rsidRDefault="009B248C" w:rsidP="009B248C">
      <w:pPr>
        <w:pStyle w:val="ListParagraph"/>
        <w:numPr>
          <w:ilvl w:val="0"/>
          <w:numId w:val="36"/>
        </w:numPr>
        <w:spacing w:after="0"/>
        <w:rPr>
          <w:rFonts w:cstheme="minorHAnsi"/>
        </w:rPr>
      </w:pPr>
      <w:proofErr w:type="gramStart"/>
      <w:r w:rsidRPr="009B248C">
        <w:rPr>
          <w:rFonts w:eastAsiaTheme="majorEastAsia" w:cstheme="minorHAnsi"/>
        </w:rPr>
        <w:t>positive</w:t>
      </w:r>
      <w:proofErr w:type="gramEnd"/>
      <w:r w:rsidRPr="009B248C">
        <w:rPr>
          <w:rFonts w:eastAsiaTheme="majorEastAsia" w:cstheme="minorHAnsi"/>
        </w:rPr>
        <w:t xml:space="preserve"> communication skills to engage with participants and empower change.</w:t>
      </w:r>
    </w:p>
    <w:p w14:paraId="1AEA30E7" w14:textId="77777777" w:rsidR="009B248C" w:rsidRDefault="009B248C" w:rsidP="009B248C">
      <w:pPr>
        <w:pStyle w:val="Heading1"/>
      </w:pPr>
      <w:r w:rsidRPr="00EA453F">
        <w:rPr>
          <w:rFonts w:eastAsia="Times New Roman"/>
        </w:rPr>
        <w:lastRenderedPageBreak/>
        <w:t xml:space="preserve">Provider obligations </w:t>
      </w:r>
    </w:p>
    <w:p w14:paraId="2562D94C" w14:textId="77777777" w:rsidR="009B248C" w:rsidRPr="00504EBE" w:rsidRDefault="009B248C" w:rsidP="009B248C">
      <w:pPr>
        <w:pStyle w:val="Heading2"/>
      </w:pPr>
      <w:r w:rsidRPr="00504EBE">
        <w:t xml:space="preserve">NDIS Code of Conduct </w:t>
      </w:r>
    </w:p>
    <w:p w14:paraId="5C37081B" w14:textId="77777777" w:rsidR="009B248C" w:rsidRPr="00E529D9" w:rsidRDefault="009B248C" w:rsidP="009B248C">
      <w:pPr>
        <w:autoSpaceDE w:val="0"/>
        <w:autoSpaceDN w:val="0"/>
        <w:adjustRightInd w:val="0"/>
      </w:pPr>
      <w:r>
        <w:rPr>
          <w:rFonts w:cstheme="minorHAnsi"/>
        </w:rPr>
        <w:t>Providers and workers</w:t>
      </w:r>
      <w:r w:rsidRPr="00ED1285">
        <w:rPr>
          <w:rFonts w:cstheme="minorHAnsi"/>
        </w:rPr>
        <w:t xml:space="preserve"> must comply </w:t>
      </w:r>
      <w:r w:rsidRPr="00E529D9">
        <w:t xml:space="preserve">with the </w:t>
      </w:r>
      <w:hyperlink r:id="rId9" w:history="1">
        <w:r w:rsidRPr="00E529D9">
          <w:rPr>
            <w:rStyle w:val="Hyperlink"/>
          </w:rPr>
          <w:t>NDIS Code of Conduct</w:t>
        </w:r>
      </w:hyperlink>
      <w:r w:rsidRPr="00E529D9">
        <w:t xml:space="preserve"> when providing supports or services to NDIS participants.</w:t>
      </w:r>
    </w:p>
    <w:p w14:paraId="463EE94C" w14:textId="77777777" w:rsidR="009B248C" w:rsidRDefault="009B248C" w:rsidP="009B248C">
      <w:pPr>
        <w:pStyle w:val="Default"/>
        <w:spacing w:before="120" w:after="120" w:line="276" w:lineRule="auto"/>
        <w:contextualSpacing/>
        <w:jc w:val="both"/>
        <w:rPr>
          <w:rFonts w:asciiTheme="minorHAnsi" w:hAnsiTheme="minorHAnsi" w:cstheme="minorHAnsi"/>
          <w:sz w:val="22"/>
          <w:szCs w:val="22"/>
        </w:rPr>
      </w:pPr>
      <w:r w:rsidRPr="00ED1285">
        <w:rPr>
          <w:rFonts w:asciiTheme="minorHAnsi" w:hAnsiTheme="minorHAnsi" w:cstheme="minorHAnsi"/>
          <w:sz w:val="22"/>
          <w:szCs w:val="22"/>
        </w:rPr>
        <w:t xml:space="preserve">The NDIS Code of Conduct requires all NDIS providers and workers who </w:t>
      </w:r>
      <w:r>
        <w:rPr>
          <w:rFonts w:asciiTheme="minorHAnsi" w:hAnsiTheme="minorHAnsi" w:cstheme="minorHAnsi"/>
          <w:sz w:val="22"/>
          <w:szCs w:val="22"/>
        </w:rPr>
        <w:t>provide</w:t>
      </w:r>
      <w:r w:rsidRPr="00ED1285">
        <w:rPr>
          <w:rFonts w:asciiTheme="minorHAnsi" w:hAnsiTheme="minorHAnsi" w:cstheme="minorHAnsi"/>
          <w:sz w:val="22"/>
          <w:szCs w:val="22"/>
        </w:rPr>
        <w:t xml:space="preserve"> NDIS supports </w:t>
      </w:r>
      <w:r>
        <w:rPr>
          <w:rFonts w:asciiTheme="minorHAnsi" w:hAnsiTheme="minorHAnsi" w:cstheme="minorHAnsi"/>
          <w:sz w:val="22"/>
          <w:szCs w:val="22"/>
        </w:rPr>
        <w:t xml:space="preserve">or services </w:t>
      </w:r>
      <w:r w:rsidRPr="00ED1285">
        <w:rPr>
          <w:rFonts w:asciiTheme="minorHAnsi" w:hAnsiTheme="minorHAnsi" w:cstheme="minorHAnsi"/>
          <w:sz w:val="22"/>
          <w:szCs w:val="22"/>
        </w:rPr>
        <w:t xml:space="preserve">to NDIS participants to, among other things: </w:t>
      </w:r>
    </w:p>
    <w:p w14:paraId="7B5033DC" w14:textId="77777777" w:rsidR="009B248C" w:rsidRDefault="009B248C" w:rsidP="00E529D9">
      <w:pPr>
        <w:pStyle w:val="ListParagraph"/>
        <w:numPr>
          <w:ilvl w:val="0"/>
          <w:numId w:val="34"/>
        </w:numPr>
        <w:spacing w:after="0"/>
      </w:pPr>
      <w:r w:rsidRPr="00790434">
        <w:t>act with respect for individual rights to freedom of expression, self-determination and decision-making in accordance with applicable laws and conventions</w:t>
      </w:r>
    </w:p>
    <w:p w14:paraId="4EE28AD0" w14:textId="77777777" w:rsidR="009B248C" w:rsidRPr="00ED1285" w:rsidRDefault="009B248C" w:rsidP="00E529D9">
      <w:pPr>
        <w:pStyle w:val="ListParagraph"/>
        <w:numPr>
          <w:ilvl w:val="0"/>
          <w:numId w:val="34"/>
        </w:numPr>
        <w:spacing w:after="0"/>
      </w:pPr>
      <w:r w:rsidRPr="00ED1285">
        <w:t>provide supports and services in a safe and competent manner with care and skill</w:t>
      </w:r>
    </w:p>
    <w:p w14:paraId="63F42C32" w14:textId="77777777" w:rsidR="009B248C" w:rsidRPr="00ED1285" w:rsidRDefault="009B248C" w:rsidP="00E529D9">
      <w:pPr>
        <w:pStyle w:val="ListParagraph"/>
        <w:numPr>
          <w:ilvl w:val="0"/>
          <w:numId w:val="34"/>
        </w:numPr>
        <w:spacing w:after="0"/>
      </w:pPr>
      <w:proofErr w:type="gramStart"/>
      <w:r w:rsidRPr="00E529D9">
        <w:t>promptly</w:t>
      </w:r>
      <w:proofErr w:type="gramEnd"/>
      <w:r w:rsidRPr="00E529D9">
        <w:t xml:space="preserve"> take steps to raise and act on concerns about matters that may impact the quality and safety of supports provided to people with disability. </w:t>
      </w:r>
    </w:p>
    <w:p w14:paraId="0C1200C0" w14:textId="77777777" w:rsidR="009B248C" w:rsidRPr="006830DF" w:rsidRDefault="009B248C" w:rsidP="009B248C">
      <w:pPr>
        <w:pStyle w:val="Heading3"/>
      </w:pPr>
      <w:r w:rsidRPr="006830DF">
        <w:t xml:space="preserve">NDIS Practice Standards </w:t>
      </w:r>
    </w:p>
    <w:p w14:paraId="29B38597" w14:textId="77777777" w:rsidR="009B248C" w:rsidRDefault="009B248C" w:rsidP="009B248C">
      <w:pPr>
        <w:rPr>
          <w:rFonts w:cstheme="minorHAnsi"/>
        </w:rPr>
      </w:pPr>
      <w:r w:rsidRPr="00ED1285">
        <w:rPr>
          <w:rFonts w:cstheme="minorHAnsi"/>
        </w:rPr>
        <w:t xml:space="preserve">If you are a registered NDIS provider, you </w:t>
      </w:r>
      <w:r>
        <w:rPr>
          <w:rFonts w:cstheme="minorHAnsi"/>
        </w:rPr>
        <w:t>must comply with</w:t>
      </w:r>
      <w:r w:rsidRPr="00ED1285">
        <w:rPr>
          <w:rFonts w:cstheme="minorHAnsi"/>
        </w:rPr>
        <w:t xml:space="preserve"> the </w:t>
      </w:r>
      <w:hyperlink r:id="rId10" w:history="1">
        <w:r>
          <w:rPr>
            <w:rStyle w:val="Hyperlink"/>
            <w:rFonts w:cstheme="minorHAnsi"/>
          </w:rPr>
          <w:t>National Disability Insurance Scheme (Provider Registration and Practice Standards) Rules 2018</w:t>
        </w:r>
      </w:hyperlink>
      <w:r w:rsidRPr="00ED1285">
        <w:rPr>
          <w:rFonts w:cstheme="minorHAnsi"/>
        </w:rPr>
        <w:t xml:space="preserve"> as part of your conditions of registration</w:t>
      </w:r>
      <w:r>
        <w:rPr>
          <w:rFonts w:cstheme="minorHAnsi"/>
        </w:rPr>
        <w:t xml:space="preserve">. The NDIS Practice Standards </w:t>
      </w:r>
      <w:r w:rsidRPr="00ED1285">
        <w:rPr>
          <w:rFonts w:cstheme="minorHAnsi"/>
        </w:rPr>
        <w:t>relate to the delivery of safe, quality supports and services, and the management of risks associated with the supports you provide to NDIS participants.</w:t>
      </w:r>
    </w:p>
    <w:p w14:paraId="6718C267" w14:textId="77777777" w:rsidR="009B248C" w:rsidRPr="00ED1285" w:rsidRDefault="009B248C" w:rsidP="009B248C">
      <w:pPr>
        <w:rPr>
          <w:rFonts w:eastAsia="Times New Roman" w:cstheme="minorHAnsi"/>
          <w:color w:val="000000"/>
        </w:rPr>
      </w:pPr>
      <w:r>
        <w:rPr>
          <w:rFonts w:cstheme="minorHAnsi"/>
        </w:rPr>
        <w:t xml:space="preserve">In delivering NDIS support and services, providers must also demonstrate compliance with the </w:t>
      </w:r>
      <w:hyperlink r:id="rId11" w:history="1">
        <w:r w:rsidRPr="00E529D9">
          <w:rPr>
            <w:rStyle w:val="Hyperlink"/>
          </w:rPr>
          <w:t>National Disability Insurance Scheme (Quality Indicators) Guidelines 2018</w:t>
        </w:r>
      </w:hyperlink>
      <w:r w:rsidRPr="00E529D9">
        <w:t>. The NDIS Commission’s</w:t>
      </w:r>
      <w:r w:rsidRPr="00ED1285">
        <w:rPr>
          <w:rFonts w:eastAsia="Times New Roman" w:cstheme="minorHAnsi"/>
          <w:color w:val="000000"/>
        </w:rPr>
        <w:t xml:space="preserve"> guidance on the </w:t>
      </w:r>
      <w:hyperlink r:id="rId12" w:history="1">
        <w:r w:rsidRPr="00ED1285">
          <w:rPr>
            <w:rStyle w:val="Hyperlink"/>
            <w:rFonts w:cstheme="minorHAnsi"/>
          </w:rPr>
          <w:t>NDIS Practice Standards and Quality Indicators</w:t>
        </w:r>
      </w:hyperlink>
      <w:r w:rsidRPr="00ED1285">
        <w:rPr>
          <w:rFonts w:eastAsia="Times New Roman" w:cstheme="minorHAnsi"/>
          <w:color w:val="000000"/>
        </w:rPr>
        <w:t xml:space="preserve"> provides a further resource to assist registered NDIS providers</w:t>
      </w:r>
      <w:r>
        <w:rPr>
          <w:rFonts w:eastAsia="Times New Roman" w:cstheme="minorHAnsi"/>
          <w:color w:val="000000"/>
        </w:rPr>
        <w:t xml:space="preserve"> to</w:t>
      </w:r>
      <w:r w:rsidRPr="00ED1285">
        <w:rPr>
          <w:rFonts w:eastAsia="Times New Roman" w:cstheme="minorHAnsi"/>
          <w:color w:val="000000"/>
        </w:rPr>
        <w:t xml:space="preserve"> understand their obligations.</w:t>
      </w:r>
    </w:p>
    <w:p w14:paraId="3BE6CD5F" w14:textId="77777777" w:rsidR="009B248C" w:rsidRPr="00ED1285" w:rsidRDefault="009B248C" w:rsidP="009B248C">
      <w:pPr>
        <w:autoSpaceDE w:val="0"/>
        <w:autoSpaceDN w:val="0"/>
        <w:adjustRightInd w:val="0"/>
        <w:contextualSpacing/>
        <w:rPr>
          <w:rFonts w:eastAsia="Times New Roman" w:cstheme="minorHAnsi"/>
          <w:color w:val="000000"/>
        </w:rPr>
      </w:pPr>
      <w:r w:rsidRPr="00ED1285">
        <w:rPr>
          <w:rFonts w:eastAsia="Times New Roman" w:cstheme="minorHAnsi"/>
          <w:color w:val="000000"/>
        </w:rPr>
        <w:t>The NDIS Practice Standards that are most relevant to this alert include:</w:t>
      </w:r>
    </w:p>
    <w:p w14:paraId="5B8B6CEF" w14:textId="77777777" w:rsidR="009B248C" w:rsidRPr="0004178C" w:rsidRDefault="009B248C" w:rsidP="009B248C">
      <w:pPr>
        <w:numPr>
          <w:ilvl w:val="0"/>
          <w:numId w:val="38"/>
        </w:numPr>
        <w:spacing w:after="160" w:line="259" w:lineRule="auto"/>
        <w:contextualSpacing/>
      </w:pPr>
      <w:r w:rsidRPr="0004178C">
        <w:rPr>
          <w:b/>
          <w:bCs/>
        </w:rPr>
        <w:t xml:space="preserve">Support planning: </w:t>
      </w:r>
      <w:r w:rsidRPr="0004178C">
        <w:t xml:space="preserve">each participant is actively involved in the development of their support plans. Support plans reflect participant needs, requirements, preferences, strengths, and goals, and are regularly reviewed. </w:t>
      </w:r>
    </w:p>
    <w:p w14:paraId="0EDEE744" w14:textId="77777777" w:rsidR="009B248C" w:rsidRPr="0004178C" w:rsidRDefault="009B248C" w:rsidP="009B248C">
      <w:pPr>
        <w:numPr>
          <w:ilvl w:val="0"/>
          <w:numId w:val="38"/>
        </w:numPr>
        <w:spacing w:after="160" w:line="259" w:lineRule="auto"/>
        <w:contextualSpacing/>
      </w:pPr>
      <w:r w:rsidRPr="00897521">
        <w:rPr>
          <w:b/>
          <w:bCs/>
        </w:rPr>
        <w:t>Independence and informed choice</w:t>
      </w:r>
      <w:r w:rsidRPr="0004178C">
        <w:rPr>
          <w:b/>
          <w:bCs/>
        </w:rPr>
        <w:t xml:space="preserve">: </w:t>
      </w:r>
      <w:r w:rsidRPr="00507E0C">
        <w:rPr>
          <w:bCs/>
        </w:rPr>
        <w:t>Each participant is supported by the provider to make informed choices, exercise control and maximise their independence relating to the supports provided.</w:t>
      </w:r>
    </w:p>
    <w:p w14:paraId="185AD866" w14:textId="77777777" w:rsidR="009B248C" w:rsidRPr="0004178C" w:rsidRDefault="009B248C" w:rsidP="009B248C">
      <w:pPr>
        <w:numPr>
          <w:ilvl w:val="0"/>
          <w:numId w:val="38"/>
        </w:numPr>
        <w:spacing w:after="160" w:line="259" w:lineRule="auto"/>
        <w:contextualSpacing/>
        <w:rPr>
          <w:rFonts w:cstheme="minorHAnsi"/>
        </w:rPr>
      </w:pPr>
      <w:r w:rsidRPr="0004178C">
        <w:rPr>
          <w:b/>
          <w:bCs/>
        </w:rPr>
        <w:t xml:space="preserve">Access to supports: </w:t>
      </w:r>
      <w:r w:rsidRPr="0004178C">
        <w:rPr>
          <w:rFonts w:cstheme="minorHAnsi"/>
        </w:rPr>
        <w:t>each participant accesses the most appropriate supports that meet their needs, goals and preferences.</w:t>
      </w:r>
    </w:p>
    <w:p w14:paraId="702C7979" w14:textId="77777777" w:rsidR="009B248C" w:rsidRPr="0004178C" w:rsidRDefault="009B248C" w:rsidP="009B248C">
      <w:pPr>
        <w:numPr>
          <w:ilvl w:val="0"/>
          <w:numId w:val="38"/>
        </w:numPr>
        <w:spacing w:after="160" w:line="259" w:lineRule="auto"/>
        <w:contextualSpacing/>
        <w:rPr>
          <w:bCs/>
        </w:rPr>
      </w:pPr>
      <w:r w:rsidRPr="0004178C">
        <w:rPr>
          <w:b/>
          <w:bCs/>
        </w:rPr>
        <w:t xml:space="preserve">Incident Management: </w:t>
      </w:r>
      <w:r w:rsidRPr="0004178C">
        <w:rPr>
          <w:bCs/>
        </w:rPr>
        <w:t xml:space="preserve">Each participant is safeguarded by the provider’s incident management system, ensuring that incidents are acknowledged, respond to, well-managed and learned from. </w:t>
      </w:r>
    </w:p>
    <w:p w14:paraId="753D0E8A" w14:textId="77777777" w:rsidR="009B248C" w:rsidRPr="0004178C" w:rsidRDefault="009B248C" w:rsidP="009B248C">
      <w:pPr>
        <w:numPr>
          <w:ilvl w:val="0"/>
          <w:numId w:val="38"/>
        </w:numPr>
        <w:spacing w:after="160" w:line="259" w:lineRule="auto"/>
        <w:contextualSpacing/>
        <w:rPr>
          <w:bCs/>
        </w:rPr>
      </w:pPr>
      <w:r w:rsidRPr="0004178C">
        <w:rPr>
          <w:b/>
          <w:bCs/>
        </w:rPr>
        <w:t xml:space="preserve">Information Management: </w:t>
      </w:r>
      <w:r w:rsidRPr="0004178C">
        <w:rPr>
          <w:bCs/>
        </w:rPr>
        <w:t xml:space="preserve">Each participant’s information is managed to ensure that it is identifiable, accurately recorded, current and confidential. Each participant’s information is easily accessible to the participant and appropriately utilised by relevant workers. </w:t>
      </w:r>
    </w:p>
    <w:p w14:paraId="4263C070" w14:textId="77777777" w:rsidR="009B248C" w:rsidRDefault="009B248C" w:rsidP="009B248C">
      <w:pPr>
        <w:numPr>
          <w:ilvl w:val="0"/>
          <w:numId w:val="38"/>
        </w:numPr>
        <w:spacing w:after="160" w:line="259" w:lineRule="auto"/>
        <w:contextualSpacing/>
        <w:rPr>
          <w:rFonts w:cstheme="minorHAnsi"/>
        </w:rPr>
      </w:pPr>
      <w:r w:rsidRPr="00897521">
        <w:rPr>
          <w:b/>
          <w:bCs/>
        </w:rPr>
        <w:t xml:space="preserve">Human resource management: </w:t>
      </w:r>
      <w:r w:rsidRPr="00897521">
        <w:rPr>
          <w:rFonts w:cstheme="minorHAnsi"/>
        </w:rPr>
        <w:t>each participant’s support needs are met by workers who are competent in relation to their role, hold relevant qualifications, and who have relevant expertise and experience to provide person-centred support</w:t>
      </w:r>
      <w:r w:rsidRPr="00BE054C">
        <w:rPr>
          <w:rFonts w:cstheme="minorHAnsi"/>
        </w:rPr>
        <w:t xml:space="preserve">. </w:t>
      </w:r>
    </w:p>
    <w:p w14:paraId="2C655C15" w14:textId="77777777" w:rsidR="00E529D9" w:rsidRDefault="00E529D9">
      <w:pPr>
        <w:rPr>
          <w:rFonts w:asciiTheme="majorHAnsi" w:eastAsiaTheme="majorEastAsia" w:hAnsiTheme="majorHAnsi" w:cstheme="majorBidi"/>
          <w:b/>
          <w:color w:val="612C69"/>
          <w:sz w:val="40"/>
          <w:szCs w:val="40"/>
        </w:rPr>
      </w:pPr>
      <w:r>
        <w:br w:type="page"/>
      </w:r>
    </w:p>
    <w:p w14:paraId="312B60A1" w14:textId="1BF54BB0" w:rsidR="009B248C" w:rsidRDefault="009B248C" w:rsidP="009B248C">
      <w:pPr>
        <w:pStyle w:val="Heading1"/>
      </w:pPr>
      <w:r w:rsidRPr="005F247B">
        <w:lastRenderedPageBreak/>
        <w:t xml:space="preserve">Resources </w:t>
      </w:r>
    </w:p>
    <w:p w14:paraId="6826C3EC" w14:textId="77777777" w:rsidR="009B248C" w:rsidRPr="00851FDB" w:rsidRDefault="009B248C" w:rsidP="009B248C">
      <w:pPr>
        <w:spacing w:before="0" w:after="240"/>
        <w:rPr>
          <w:rFonts w:cstheme="minorHAnsi"/>
        </w:rPr>
      </w:pPr>
      <w:r>
        <w:rPr>
          <w:rFonts w:cstheme="minorHAnsi"/>
        </w:rPr>
        <w:t xml:space="preserve">Five-booklet toolkit developed by Inclusion Melbourne to assist people with a disability make choices about their life </w:t>
      </w:r>
      <w:hyperlink r:id="rId13" w:history="1">
        <w:r>
          <w:rPr>
            <w:rStyle w:val="Hyperlink"/>
            <w:rFonts w:cstheme="minorHAnsi"/>
          </w:rPr>
          <w:t>my choice tool k</w:t>
        </w:r>
        <w:r w:rsidRPr="00D54688">
          <w:rPr>
            <w:rStyle w:val="Hyperlink"/>
            <w:rFonts w:cstheme="minorHAnsi"/>
          </w:rPr>
          <w:t>it</w:t>
        </w:r>
      </w:hyperlink>
      <w:r w:rsidRPr="00D54688">
        <w:rPr>
          <w:rFonts w:cstheme="minorHAnsi"/>
        </w:rPr>
        <w:t xml:space="preserve"> </w:t>
      </w:r>
    </w:p>
    <w:p w14:paraId="323720DB" w14:textId="77777777" w:rsidR="009B248C" w:rsidRPr="00851FDB" w:rsidRDefault="009B248C" w:rsidP="009B248C">
      <w:pPr>
        <w:spacing w:before="0" w:after="240"/>
        <w:rPr>
          <w:rFonts w:cstheme="minorHAnsi"/>
        </w:rPr>
      </w:pPr>
      <w:r>
        <w:t xml:space="preserve">First Nations People, resource for planning, dreams, goals and lifestyle. First Peoples Disability Network Australia </w:t>
      </w:r>
      <w:hyperlink r:id="rId14" w:history="1">
        <w:r w:rsidRPr="00FB30FF">
          <w:rPr>
            <w:rStyle w:val="Hyperlink"/>
          </w:rPr>
          <w:t>our way planning resources</w:t>
        </w:r>
      </w:hyperlink>
    </w:p>
    <w:p w14:paraId="07F44F86" w14:textId="494433D1" w:rsidR="009B248C" w:rsidRPr="00FA33BA" w:rsidRDefault="005B4142" w:rsidP="009B248C">
      <w:pPr>
        <w:spacing w:before="0" w:after="240"/>
      </w:pPr>
      <w:hyperlink r:id="rId15" w:history="1">
        <w:r w:rsidR="009B248C" w:rsidRPr="00D54688">
          <w:rPr>
            <w:rStyle w:val="Hyperlink"/>
            <w:rFonts w:cstheme="minorHAnsi"/>
          </w:rPr>
          <w:t>Healthy eating for adults</w:t>
        </w:r>
      </w:hyperlink>
      <w:r w:rsidR="009B248C">
        <w:rPr>
          <w:rFonts w:cstheme="minorHAnsi"/>
        </w:rPr>
        <w:t xml:space="preserve"> Australian </w:t>
      </w:r>
      <w:r w:rsidR="00C477E9">
        <w:rPr>
          <w:rFonts w:cstheme="minorHAnsi"/>
        </w:rPr>
        <w:t xml:space="preserve">Government </w:t>
      </w:r>
      <w:r w:rsidR="009B248C">
        <w:rPr>
          <w:rFonts w:cstheme="minorHAnsi"/>
        </w:rPr>
        <w:t>Department of H</w:t>
      </w:r>
      <w:r w:rsidR="009B248C" w:rsidRPr="00D54688">
        <w:rPr>
          <w:rFonts w:cstheme="minorHAnsi"/>
        </w:rPr>
        <w:t>ealth</w:t>
      </w:r>
      <w:r w:rsidR="009B248C">
        <w:rPr>
          <w:rFonts w:cstheme="minorHAnsi"/>
        </w:rPr>
        <w:t xml:space="preserve"> brochure </w:t>
      </w:r>
    </w:p>
    <w:p w14:paraId="429B729D" w14:textId="77777777" w:rsidR="009B248C" w:rsidRPr="00D54688" w:rsidRDefault="009B248C" w:rsidP="009B248C">
      <w:pPr>
        <w:spacing w:before="0" w:after="240"/>
        <w:rPr>
          <w:rFonts w:cstheme="minorHAnsi"/>
        </w:rPr>
      </w:pPr>
      <w:r w:rsidRPr="00D54688">
        <w:rPr>
          <w:rFonts w:cstheme="minorHAnsi"/>
        </w:rPr>
        <w:t>Australian dietary guidelines</w:t>
      </w:r>
      <w:r>
        <w:rPr>
          <w:rFonts w:cstheme="minorHAnsi"/>
        </w:rPr>
        <w:t xml:space="preserve">, website links to a range of information and resources </w:t>
      </w:r>
      <w:hyperlink r:id="rId16" w:history="1">
        <w:r w:rsidRPr="00D54688">
          <w:rPr>
            <w:rStyle w:val="Hyperlink"/>
            <w:rFonts w:cstheme="minorHAnsi"/>
          </w:rPr>
          <w:t>eat for health</w:t>
        </w:r>
      </w:hyperlink>
    </w:p>
    <w:p w14:paraId="6088CDF2" w14:textId="243602B7" w:rsidR="009B248C" w:rsidRPr="00D54688" w:rsidRDefault="005B4142" w:rsidP="009B248C">
      <w:pPr>
        <w:spacing w:before="0" w:after="240"/>
        <w:rPr>
          <w:rFonts w:cstheme="minorHAnsi"/>
        </w:rPr>
      </w:pPr>
      <w:hyperlink r:id="rId17" w:history="1">
        <w:r w:rsidR="00C477E9" w:rsidRPr="00E529D9">
          <w:rPr>
            <w:rStyle w:val="Hyperlink"/>
          </w:rPr>
          <w:t>Physical activity and exercise guidelines for all Australians, Australian Government Department of Health</w:t>
        </w:r>
      </w:hyperlink>
      <w:r w:rsidR="00577B81">
        <w:t xml:space="preserve">, </w:t>
      </w:r>
      <w:r w:rsidR="009B248C" w:rsidRPr="00D54688">
        <w:rPr>
          <w:rFonts w:cstheme="minorHAnsi"/>
          <w:color w:val="222222"/>
        </w:rPr>
        <w:t xml:space="preserve">include tips and ideas for how to fit more activity into your day-to-day life. </w:t>
      </w:r>
      <w:hyperlink r:id="rId18" w:history="1">
        <w:r w:rsidR="009B248C" w:rsidRPr="00D54688">
          <w:rPr>
            <w:rStyle w:val="Hyperlink"/>
            <w:rFonts w:cstheme="minorHAnsi"/>
          </w:rPr>
          <w:t xml:space="preserve"> </w:t>
        </w:r>
      </w:hyperlink>
    </w:p>
    <w:p w14:paraId="7B519FBE" w14:textId="1962DBB1" w:rsidR="009B248C" w:rsidRPr="00851FDB" w:rsidRDefault="009B248C" w:rsidP="009B248C">
      <w:pPr>
        <w:spacing w:before="0" w:after="240"/>
        <w:rPr>
          <w:rFonts w:cstheme="minorHAnsi"/>
        </w:rPr>
      </w:pPr>
      <w:r>
        <w:rPr>
          <w:rFonts w:cstheme="minorHAnsi"/>
        </w:rPr>
        <w:t xml:space="preserve">Link for information, initiatives and resources for healthy lifestyles </w:t>
      </w:r>
      <w:hyperlink r:id="rId19" w:history="1">
        <w:r w:rsidR="00C477E9">
          <w:rPr>
            <w:rStyle w:val="Hyperlink"/>
            <w:rFonts w:cstheme="minorHAnsi"/>
          </w:rPr>
          <w:t xml:space="preserve">Preventative Health, Australian Government Department of Health </w:t>
        </w:r>
      </w:hyperlink>
    </w:p>
    <w:p w14:paraId="056A2C45" w14:textId="77777777" w:rsidR="009B248C" w:rsidRDefault="005B4142" w:rsidP="009B248C">
      <w:pPr>
        <w:spacing w:before="0" w:after="240"/>
      </w:pPr>
      <w:hyperlink r:id="rId20" w:history="1">
        <w:r w:rsidR="009B248C" w:rsidRPr="00FA33BA">
          <w:rPr>
            <w:rStyle w:val="Hyperlink"/>
          </w:rPr>
          <w:t>Council for Intellectual Disability Health Fact sheets</w:t>
        </w:r>
      </w:hyperlink>
      <w:r w:rsidR="009B248C">
        <w:t xml:space="preserve"> including healthy lifestyles</w:t>
      </w:r>
    </w:p>
    <w:p w14:paraId="55310A70" w14:textId="77777777" w:rsidR="009B248C" w:rsidRDefault="005B4142" w:rsidP="009B248C">
      <w:pPr>
        <w:spacing w:before="0" w:after="240"/>
      </w:pPr>
      <w:hyperlink r:id="rId21" w:history="1">
        <w:r w:rsidR="009B248C" w:rsidRPr="00AD6132">
          <w:rPr>
            <w:rStyle w:val="Hyperlink"/>
          </w:rPr>
          <w:t>Healthy Mind e tool for people with intellectual disability</w:t>
        </w:r>
      </w:hyperlink>
      <w:r w:rsidR="009B248C">
        <w:t xml:space="preserve"> </w:t>
      </w:r>
      <w:proofErr w:type="spellStart"/>
      <w:r w:rsidR="009B248C">
        <w:t>Blackdog</w:t>
      </w:r>
      <w:proofErr w:type="spellEnd"/>
      <w:r w:rsidR="009B248C">
        <w:t xml:space="preserve"> Institute</w:t>
      </w:r>
    </w:p>
    <w:sdt>
      <w:sdtPr>
        <w:rPr>
          <w:rFonts w:asciiTheme="minorHAnsi" w:eastAsiaTheme="minorHAnsi" w:hAnsiTheme="minorHAnsi" w:cstheme="minorBidi"/>
          <w:b w:val="0"/>
          <w:color w:val="auto"/>
          <w:sz w:val="22"/>
          <w:szCs w:val="22"/>
        </w:rPr>
        <w:id w:val="-334456855"/>
        <w:docPartObj>
          <w:docPartGallery w:val="Bibliographies"/>
          <w:docPartUnique/>
        </w:docPartObj>
      </w:sdtPr>
      <w:sdtEndPr>
        <w:rPr>
          <w:rFonts w:ascii="Calibri" w:hAnsi="Calibri" w:cs="Calibri"/>
        </w:rPr>
      </w:sdtEndPr>
      <w:sdtContent>
        <w:p w14:paraId="50BA499B" w14:textId="77777777" w:rsidR="009B248C" w:rsidRDefault="009B248C" w:rsidP="009B248C">
          <w:pPr>
            <w:pStyle w:val="Heading1"/>
          </w:pPr>
          <w:r>
            <w:t>References</w:t>
          </w:r>
        </w:p>
        <w:sdt>
          <w:sdtPr>
            <w:rPr>
              <w:rFonts w:ascii="Calibri" w:hAnsi="Calibri" w:cs="Calibri"/>
            </w:rPr>
            <w:id w:val="-573587230"/>
            <w:bibliography/>
          </w:sdtPr>
          <w:sdtEndPr/>
          <w:sdtContent>
            <w:p w14:paraId="15A6B15A" w14:textId="77777777" w:rsidR="009B248C" w:rsidRDefault="009B248C" w:rsidP="009B248C">
              <w:pPr>
                <w:pStyle w:val="Bibliography"/>
                <w:ind w:left="720" w:hanging="720"/>
                <w:rPr>
                  <w:noProof/>
                  <w:sz w:val="24"/>
                  <w:szCs w:val="24"/>
                </w:rPr>
              </w:pPr>
              <w:r>
                <w:fldChar w:fldCharType="begin"/>
              </w:r>
              <w:r>
                <w:instrText xml:space="preserve"> BIBLIOGRAPHY </w:instrText>
              </w:r>
              <w:r>
                <w:fldChar w:fldCharType="separate"/>
              </w:r>
              <w:r>
                <w:rPr>
                  <w:noProof/>
                </w:rPr>
                <w:t xml:space="preserve">Australian Institute of Health and Welfare. (2020). </w:t>
              </w:r>
              <w:r>
                <w:rPr>
                  <w:i/>
                  <w:iCs/>
                  <w:noProof/>
                </w:rPr>
                <w:t>People with Disability.</w:t>
              </w:r>
              <w:r>
                <w:rPr>
                  <w:noProof/>
                </w:rPr>
                <w:t xml:space="preserve"> </w:t>
              </w:r>
            </w:p>
            <w:p w14:paraId="36EE8EB5" w14:textId="77777777" w:rsidR="009B248C" w:rsidRDefault="009B248C" w:rsidP="009B248C">
              <w:pPr>
                <w:pStyle w:val="Bibliography"/>
                <w:ind w:left="720" w:hanging="720"/>
                <w:rPr>
                  <w:noProof/>
                </w:rPr>
              </w:pPr>
              <w:r w:rsidRPr="000B1B95">
                <w:rPr>
                  <w:noProof/>
                </w:rPr>
                <w:t>National Disability Service (2016). Chronic illness and people with disability: prevalence, prevention and management. Chronic-Illness-and-People-with-Intellectual-Disability.PDF (nds.org.au)</w:t>
              </w:r>
              <w:r>
                <w:rPr>
                  <w:noProof/>
                </w:rPr>
                <w:t xml:space="preserve">Emerson, E. (2005). Underweight, obesity and exercise among adults with intellectual disabilities in Northern England. </w:t>
              </w:r>
              <w:r>
                <w:rPr>
                  <w:i/>
                  <w:iCs/>
                  <w:noProof/>
                </w:rPr>
                <w:t>Journal of Intellectual Disability Research</w:t>
              </w:r>
              <w:r>
                <w:rPr>
                  <w:noProof/>
                </w:rPr>
                <w:t>, 134-143.</w:t>
              </w:r>
            </w:p>
            <w:p w14:paraId="78E57464" w14:textId="77777777" w:rsidR="009B248C" w:rsidRDefault="009B248C" w:rsidP="009B248C">
              <w:pPr>
                <w:pStyle w:val="Bibliography"/>
                <w:ind w:left="720" w:hanging="720"/>
                <w:rPr>
                  <w:noProof/>
                </w:rPr>
              </w:pPr>
              <w:r>
                <w:rPr>
                  <w:noProof/>
                </w:rPr>
                <w:t xml:space="preserve">Friedman, C. (2019). Self Management of health by people with intellectual and developmental disabilities. </w:t>
              </w:r>
              <w:r>
                <w:rPr>
                  <w:i/>
                  <w:iCs/>
                  <w:noProof/>
                </w:rPr>
                <w:t>Journal of Applied Research in Intellectual Disability</w:t>
              </w:r>
              <w:r>
                <w:rPr>
                  <w:noProof/>
                </w:rPr>
                <w:t>, 600-609.</w:t>
              </w:r>
            </w:p>
            <w:p w14:paraId="15AF1AD7" w14:textId="77777777" w:rsidR="009B248C" w:rsidRDefault="009B248C" w:rsidP="009B248C">
              <w:pPr>
                <w:pStyle w:val="Bibliography"/>
                <w:ind w:left="720" w:hanging="720"/>
                <w:rPr>
                  <w:noProof/>
                </w:rPr>
              </w:pPr>
              <w:r>
                <w:rPr>
                  <w:noProof/>
                </w:rPr>
                <w:t xml:space="preserve">Hinton, C. F. (2017). The Guide to Community Preventive Services and Disability Inclusion. </w:t>
              </w:r>
              <w:r>
                <w:rPr>
                  <w:i/>
                  <w:iCs/>
                  <w:noProof/>
                </w:rPr>
                <w:t>The American Journal of Preventative Medicine</w:t>
              </w:r>
              <w:r>
                <w:rPr>
                  <w:noProof/>
                </w:rPr>
                <w:t>, 898-903.</w:t>
              </w:r>
            </w:p>
            <w:p w14:paraId="79A55CFB" w14:textId="77777777" w:rsidR="009B248C" w:rsidRDefault="009B248C" w:rsidP="009B248C">
              <w:pPr>
                <w:pStyle w:val="Bibliography"/>
                <w:ind w:left="720" w:hanging="720"/>
                <w:rPr>
                  <w:noProof/>
                </w:rPr>
              </w:pPr>
              <w:r>
                <w:rPr>
                  <w:noProof/>
                </w:rPr>
                <w:t xml:space="preserve">Hithersay, R. (2014). Carer-led health interventions to monitor, promote and improve the health of adults with intellectual disabilities in the community. </w:t>
              </w:r>
              <w:r>
                <w:rPr>
                  <w:i/>
                  <w:iCs/>
                  <w:noProof/>
                </w:rPr>
                <w:t>Research in Development Disabailities 35</w:t>
              </w:r>
              <w:r>
                <w:rPr>
                  <w:noProof/>
                </w:rPr>
                <w:t>, 887-907.</w:t>
              </w:r>
            </w:p>
            <w:p w14:paraId="57ECEFD6" w14:textId="77777777" w:rsidR="009B248C" w:rsidRDefault="009B248C" w:rsidP="009B248C">
              <w:pPr>
                <w:pStyle w:val="Bibliography"/>
                <w:ind w:left="720" w:hanging="720"/>
                <w:rPr>
                  <w:noProof/>
                </w:rPr>
              </w:pPr>
              <w:r>
                <w:rPr>
                  <w:noProof/>
                </w:rPr>
                <w:t xml:space="preserve">Kozma, A. (2009). Outcomes in different residential settings for people with intellectual disability, a systematic review. </w:t>
              </w:r>
              <w:r>
                <w:rPr>
                  <w:i/>
                  <w:iCs/>
                  <w:noProof/>
                </w:rPr>
                <w:t>American Journal on Intellectual and Developmental Disabilities 114</w:t>
              </w:r>
              <w:r>
                <w:rPr>
                  <w:noProof/>
                </w:rPr>
                <w:t>, 193-222.</w:t>
              </w:r>
            </w:p>
            <w:p w14:paraId="37B9B8E3" w14:textId="77777777" w:rsidR="009B248C" w:rsidRDefault="009B248C" w:rsidP="009B248C">
              <w:pPr>
                <w:pStyle w:val="Bibliography"/>
                <w:ind w:left="720" w:hanging="720"/>
                <w:rPr>
                  <w:noProof/>
                </w:rPr>
              </w:pPr>
              <w:r>
                <w:rPr>
                  <w:noProof/>
                </w:rPr>
                <w:t xml:space="preserve">Robertson, J. (2000). Lifestyle related risk factors for poor health in residential care for people with intellectual disabilities. </w:t>
              </w:r>
              <w:r>
                <w:rPr>
                  <w:i/>
                  <w:iCs/>
                  <w:noProof/>
                </w:rPr>
                <w:t>Research in Developmental Disabilities 21</w:t>
              </w:r>
              <w:r>
                <w:rPr>
                  <w:noProof/>
                </w:rPr>
                <w:t>, 469-486.</w:t>
              </w:r>
            </w:p>
            <w:p w14:paraId="6AF6B5A1" w14:textId="77777777" w:rsidR="009B248C" w:rsidRDefault="009B248C" w:rsidP="009B248C">
              <w:pPr>
                <w:pStyle w:val="Bibliography"/>
                <w:ind w:left="720" w:hanging="720"/>
                <w:rPr>
                  <w:noProof/>
                </w:rPr>
              </w:pPr>
              <w:r>
                <w:rPr>
                  <w:noProof/>
                </w:rPr>
                <w:t xml:space="preserve">SAX Institute. (2020). </w:t>
              </w:r>
              <w:r>
                <w:rPr>
                  <w:i/>
                  <w:iCs/>
                  <w:noProof/>
                </w:rPr>
                <w:t>Interventions to prevent or reduce lifestyle risks for people with disability.</w:t>
              </w:r>
              <w:r>
                <w:rPr>
                  <w:noProof/>
                </w:rPr>
                <w:t xml:space="preserve"> </w:t>
              </w:r>
            </w:p>
            <w:p w14:paraId="15A2C12D" w14:textId="77777777" w:rsidR="009B248C" w:rsidRDefault="009B248C" w:rsidP="009B248C">
              <w:pPr>
                <w:pStyle w:val="Bibliography"/>
                <w:ind w:left="720" w:hanging="720"/>
                <w:rPr>
                  <w:noProof/>
                </w:rPr>
              </w:pPr>
              <w:r>
                <w:rPr>
                  <w:noProof/>
                </w:rPr>
                <w:t xml:space="preserve">Taggart, L. (2014). </w:t>
              </w:r>
              <w:r>
                <w:rPr>
                  <w:i/>
                  <w:iCs/>
                  <w:noProof/>
                </w:rPr>
                <w:t>Health Promotion for People with Intellectual and Developmental Disability.</w:t>
              </w:r>
              <w:r>
                <w:rPr>
                  <w:noProof/>
                </w:rPr>
                <w:t xml:space="preserve"> UK: McGraw Hill Education.</w:t>
              </w:r>
            </w:p>
            <w:p w14:paraId="1FD98D2D" w14:textId="6A9E486D" w:rsidR="009B248C" w:rsidRDefault="009B248C" w:rsidP="009B248C">
              <w:pPr>
                <w:pStyle w:val="Bibliography"/>
                <w:ind w:left="720" w:hanging="720"/>
                <w:rPr>
                  <w:noProof/>
                </w:rPr>
              </w:pPr>
              <w:r>
                <w:rPr>
                  <w:noProof/>
                </w:rPr>
                <w:lastRenderedPageBreak/>
                <w:t>Trip, H. (2015). The role of key workers supporting people with intellectual disability in the self management of their diabetes;</w:t>
              </w:r>
              <w:r w:rsidR="00C54942">
                <w:rPr>
                  <w:noProof/>
                </w:rPr>
                <w:t xml:space="preserve"> </w:t>
              </w:r>
              <w:r>
                <w:rPr>
                  <w:noProof/>
                </w:rPr>
                <w:t xml:space="preserve">a qualitative New Zealand study. </w:t>
              </w:r>
              <w:r>
                <w:rPr>
                  <w:i/>
                  <w:iCs/>
                  <w:noProof/>
                </w:rPr>
                <w:t>Health and Social Care in the Community</w:t>
              </w:r>
              <w:r>
                <w:rPr>
                  <w:noProof/>
                </w:rPr>
                <w:t>.</w:t>
              </w:r>
            </w:p>
            <w:p w14:paraId="7809C92B" w14:textId="7C643270" w:rsidR="009B248C" w:rsidRDefault="009B248C" w:rsidP="009B248C">
              <w:pPr>
                <w:pStyle w:val="Bibliography"/>
                <w:ind w:left="720" w:hanging="720"/>
                <w:rPr>
                  <w:noProof/>
                </w:rPr>
              </w:pPr>
              <w:r>
                <w:rPr>
                  <w:noProof/>
                </w:rPr>
                <w:t>World Health Organi</w:t>
              </w:r>
              <w:r w:rsidR="00C54942">
                <w:rPr>
                  <w:noProof/>
                </w:rPr>
                <w:t>z</w:t>
              </w:r>
              <w:r>
                <w:rPr>
                  <w:noProof/>
                </w:rPr>
                <w:t xml:space="preserve">ation. (1948). </w:t>
              </w:r>
              <w:r>
                <w:rPr>
                  <w:i/>
                  <w:iCs/>
                  <w:noProof/>
                </w:rPr>
                <w:t>Constitution.</w:t>
              </w:r>
              <w:r>
                <w:rPr>
                  <w:noProof/>
                </w:rPr>
                <w:t xml:space="preserve"> </w:t>
              </w:r>
            </w:p>
            <w:p w14:paraId="2A775DF3" w14:textId="3DF59915" w:rsidR="009B248C" w:rsidRDefault="009B248C" w:rsidP="009B248C">
              <w:pPr>
                <w:pStyle w:val="Bibliography"/>
                <w:ind w:left="720" w:hanging="720"/>
                <w:rPr>
                  <w:noProof/>
                </w:rPr>
              </w:pPr>
              <w:r>
                <w:rPr>
                  <w:noProof/>
                </w:rPr>
                <w:t>World Health Organi</w:t>
              </w:r>
              <w:r w:rsidR="00C54942">
                <w:rPr>
                  <w:noProof/>
                </w:rPr>
                <w:t>z</w:t>
              </w:r>
              <w:r>
                <w:rPr>
                  <w:noProof/>
                </w:rPr>
                <w:t>ation. (2009). World Health Organisation Milestones in Health Promotion Statements from Global Conferences 2009.</w:t>
              </w:r>
            </w:p>
            <w:p w14:paraId="405BF956" w14:textId="2854EA2F" w:rsidR="009B248C" w:rsidRDefault="009B248C" w:rsidP="009B248C">
              <w:pPr>
                <w:pStyle w:val="Bibliography"/>
                <w:ind w:left="720" w:hanging="720"/>
                <w:rPr>
                  <w:noProof/>
                </w:rPr>
              </w:pPr>
              <w:r>
                <w:rPr>
                  <w:noProof/>
                </w:rPr>
                <w:t>World Health Organi</w:t>
              </w:r>
              <w:r w:rsidR="00C54942">
                <w:rPr>
                  <w:noProof/>
                </w:rPr>
                <w:t>z</w:t>
              </w:r>
              <w:r>
                <w:rPr>
                  <w:noProof/>
                </w:rPr>
                <w:t>ation. (1986). The Ottawa Charter for Health Promotion.</w:t>
              </w:r>
            </w:p>
            <w:p w14:paraId="23792BB7" w14:textId="7B37452A" w:rsidR="009B248C" w:rsidRDefault="009B248C" w:rsidP="009B248C">
              <w:r>
                <w:rPr>
                  <w:b/>
                  <w:bCs/>
                  <w:noProof/>
                </w:rPr>
                <w:fldChar w:fldCharType="end"/>
              </w:r>
            </w:p>
          </w:sdtContent>
        </w:sdt>
      </w:sdtContent>
    </w:sdt>
    <w:p w14:paraId="22BEAA48" w14:textId="77777777" w:rsidR="00000034" w:rsidRPr="008F0C38" w:rsidRDefault="00000034" w:rsidP="009359E9">
      <w:pPr>
        <w:pStyle w:val="Heading1"/>
        <w:pBdr>
          <w:top w:val="single" w:sz="36" w:space="1" w:color="5F2E74" w:themeColor="accent1"/>
        </w:pBdr>
        <w:rPr>
          <w:rFonts w:eastAsia="Calibri" w:cs="Calibri"/>
        </w:rPr>
      </w:pPr>
      <w:r w:rsidRPr="008F0C38">
        <w:t>General enquiries</w:t>
      </w:r>
    </w:p>
    <w:p w14:paraId="0797524B" w14:textId="56D2353B" w:rsidR="00000034" w:rsidRPr="008F0C38" w:rsidRDefault="00000034" w:rsidP="005D05FF">
      <w:pPr>
        <w:pStyle w:val="Body"/>
        <w:spacing w:after="120" w:line="276" w:lineRule="auto"/>
        <w:ind w:right="-34"/>
        <w:rPr>
          <w:sz w:val="22"/>
          <w:szCs w:val="22"/>
          <w:lang w:val="en-AU"/>
        </w:rPr>
      </w:pPr>
      <w:r w:rsidRPr="008F0C38">
        <w:rPr>
          <w:b/>
          <w:bCs/>
          <w:color w:val="auto"/>
          <w:sz w:val="22"/>
          <w:szCs w:val="22"/>
          <w:lang w:val="en-AU"/>
        </w:rPr>
        <w:t xml:space="preserve">Call: 1800 035 544 </w:t>
      </w:r>
      <w:r w:rsidRPr="008F0C38">
        <w:rPr>
          <w:sz w:val="22"/>
          <w:szCs w:val="22"/>
          <w:lang w:val="en-AU"/>
        </w:rPr>
        <w:t xml:space="preserve">(free call from landlines). Our contact centre is open </w:t>
      </w:r>
      <w:r w:rsidR="004D3DC8" w:rsidRPr="008F0C38">
        <w:rPr>
          <w:sz w:val="22"/>
          <w:szCs w:val="22"/>
          <w:lang w:val="en-AU"/>
        </w:rPr>
        <w:t>9.00am to 5.00pm (</w:t>
      </w:r>
      <w:r w:rsidRPr="008F0C38">
        <w:rPr>
          <w:sz w:val="22"/>
          <w:szCs w:val="22"/>
          <w:lang w:val="en-AU"/>
        </w:rPr>
        <w:t>9.00am to 4.30pm in the NT</w:t>
      </w:r>
      <w:r w:rsidR="004D3DC8" w:rsidRPr="008F0C38">
        <w:rPr>
          <w:sz w:val="22"/>
          <w:szCs w:val="22"/>
          <w:lang w:val="en-AU"/>
        </w:rPr>
        <w:t>)</w:t>
      </w:r>
      <w:r w:rsidRPr="008F0C38">
        <w:rPr>
          <w:sz w:val="22"/>
          <w:szCs w:val="22"/>
          <w:lang w:val="en-AU"/>
        </w:rPr>
        <w:t xml:space="preserve"> Monday to Friday, excluding public holidays. </w:t>
      </w:r>
    </w:p>
    <w:p w14:paraId="533CBB52" w14:textId="77777777" w:rsidR="00000034" w:rsidRPr="008F0C38" w:rsidRDefault="00000034" w:rsidP="00E0370F">
      <w:pPr>
        <w:pStyle w:val="Body"/>
        <w:spacing w:after="120" w:line="276" w:lineRule="auto"/>
        <w:ind w:right="-34"/>
        <w:jc w:val="both"/>
        <w:rPr>
          <w:sz w:val="22"/>
          <w:szCs w:val="22"/>
          <w:lang w:val="en-AU"/>
        </w:rPr>
      </w:pPr>
      <w:r w:rsidRPr="008F0C38">
        <w:rPr>
          <w:b/>
          <w:sz w:val="22"/>
          <w:szCs w:val="22"/>
          <w:lang w:val="en-AU"/>
        </w:rPr>
        <w:t>Email</w:t>
      </w:r>
      <w:r w:rsidRPr="008F0C38">
        <w:rPr>
          <w:sz w:val="22"/>
          <w:szCs w:val="22"/>
          <w:lang w:val="en-AU"/>
        </w:rPr>
        <w:t xml:space="preserve">: </w:t>
      </w:r>
      <w:hyperlink r:id="rId22" w:history="1">
        <w:r w:rsidRPr="008F0C38">
          <w:rPr>
            <w:rStyle w:val="Hyperlink"/>
            <w:sz w:val="22"/>
            <w:szCs w:val="22"/>
            <w:lang w:val="en-AU"/>
          </w:rPr>
          <w:t>contactcentre@ndiscommission.gov.au</w:t>
        </w:r>
      </w:hyperlink>
      <w:r w:rsidRPr="008F0C38">
        <w:rPr>
          <w:sz w:val="22"/>
          <w:szCs w:val="22"/>
          <w:lang w:val="en-AU"/>
        </w:rPr>
        <w:t xml:space="preserve"> </w:t>
      </w:r>
    </w:p>
    <w:p w14:paraId="4DE5051B" w14:textId="030C47A4" w:rsidR="00606B46" w:rsidRPr="008F0C38" w:rsidRDefault="00000034" w:rsidP="00E0370F">
      <w:pPr>
        <w:pStyle w:val="Body"/>
        <w:spacing w:after="120" w:line="276" w:lineRule="auto"/>
        <w:ind w:right="-34"/>
        <w:jc w:val="both"/>
        <w:rPr>
          <w:lang w:val="en-AU"/>
        </w:rPr>
      </w:pPr>
      <w:r w:rsidRPr="008F0C38">
        <w:rPr>
          <w:b/>
          <w:sz w:val="22"/>
          <w:szCs w:val="22"/>
          <w:lang w:val="en-AU"/>
        </w:rPr>
        <w:t>Website</w:t>
      </w:r>
      <w:r w:rsidRPr="008F0C38">
        <w:rPr>
          <w:sz w:val="22"/>
          <w:szCs w:val="22"/>
          <w:lang w:val="en-AU"/>
        </w:rPr>
        <w:t xml:space="preserve">: </w:t>
      </w:r>
      <w:hyperlink r:id="rId23" w:history="1">
        <w:r w:rsidRPr="008F0C38">
          <w:rPr>
            <w:rStyle w:val="Hyperlink"/>
            <w:sz w:val="22"/>
            <w:szCs w:val="22"/>
            <w:lang w:val="en-AU"/>
          </w:rPr>
          <w:t>www.ndiscommission.gov.au</w:t>
        </w:r>
      </w:hyperlink>
    </w:p>
    <w:sectPr w:rsidR="00606B46" w:rsidRPr="008F0C38" w:rsidSect="00362AB6">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440" w:right="1440" w:bottom="1440" w:left="1440" w:header="284" w:footer="397" w:gutter="0"/>
      <w:cols w:space="340"/>
      <w:titlePg/>
      <w:docGrid w:linePitch="360"/>
      <w15:footnoteColumns w:val="1"/>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E76C91" w16cex:dateUtc="2020-07-05T22:37:43.616Z"/>
</w16cex:commentsExtensible>
</file>

<file path=word/commentsIds.xml><?xml version="1.0" encoding="utf-8"?>
<w16cid:commentsIds xmlns:mc="http://schemas.openxmlformats.org/markup-compatibility/2006" xmlns:w16cid="http://schemas.microsoft.com/office/word/2016/wordml/cid" mc:Ignorable="w16cid">
  <w16cid:commentId w16cid:paraId="31B7E47C" w16cid:durableId="0F23514D"/>
  <w16cid:commentId w16cid:paraId="0A3BB325" w16cid:durableId="045F3DAA"/>
  <w16cid:commentId w16cid:paraId="7FE09D27" w16cid:durableId="4EC4AF3A"/>
  <w16cid:commentId w16cid:paraId="31881FB8" w16cid:durableId="51A57F26"/>
  <w16cid:commentId w16cid:paraId="4E35A4BE" w16cid:durableId="6495E461"/>
  <w16cid:commentId w16cid:paraId="7AFDF120" w16cid:durableId="5D8CB951"/>
  <w16cid:commentId w16cid:paraId="672FE013" w16cid:durableId="4621140B"/>
  <w16cid:commentId w16cid:paraId="7E4F6512" w16cid:durableId="4454148A"/>
  <w16cid:commentId w16cid:paraId="58FFFFCA" w16cid:durableId="5EB35101"/>
  <w16cid:commentId w16cid:paraId="1643C60A" w16cid:durableId="2C2963BF"/>
  <w16cid:commentId w16cid:paraId="20C1E157" w16cid:durableId="6AFA94A2"/>
  <w16cid:commentId w16cid:paraId="6B77BC3F" w16cid:durableId="09CABDA2"/>
  <w16cid:commentId w16cid:paraId="09186E1C" w16cid:durableId="5A5B7D2A"/>
  <w16cid:commentId w16cid:paraId="1D84AD48" w16cid:durableId="5BF8D26A"/>
  <w16cid:commentId w16cid:paraId="23A5F58E" w16cid:durableId="2098C9D8"/>
  <w16cid:commentId w16cid:paraId="3249394B" w16cid:durableId="3C4DFBC6"/>
  <w16cid:commentId w16cid:paraId="71BB7595" w16cid:durableId="6215CB20"/>
  <w16cid:commentId w16cid:paraId="5BC9CBB9" w16cid:durableId="52C60E56"/>
  <w16cid:commentId w16cid:paraId="13CD0ECB" w16cid:durableId="358C58AA"/>
  <w16cid:commentId w16cid:paraId="14660751" w16cid:durableId="4B0A77D7"/>
  <w16cid:commentId w16cid:paraId="3CBD3D51" w16cid:durableId="3898BC13"/>
  <w16cid:commentId w16cid:paraId="417806D2" w16cid:durableId="687A714D"/>
  <w16cid:commentId w16cid:paraId="63C562A3" w16cid:durableId="56D31746"/>
  <w16cid:commentId w16cid:paraId="216BD0C2" w16cid:durableId="0BE18A37"/>
  <w16cid:commentId w16cid:paraId="47FE8417" w16cid:durableId="6757FA3A"/>
  <w16cid:commentId w16cid:paraId="2F4AD7AD" w16cid:durableId="4B96F2FA"/>
  <w16cid:commentId w16cid:paraId="19539ACB" w16cid:durableId="2932A22D"/>
  <w16cid:commentId w16cid:paraId="07462651" w16cid:durableId="6DE76C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7997F" w14:textId="77777777" w:rsidR="005B2223" w:rsidRDefault="005B2223" w:rsidP="008E21DE">
      <w:r>
        <w:separator/>
      </w:r>
    </w:p>
  </w:endnote>
  <w:endnote w:type="continuationSeparator" w:id="0">
    <w:p w14:paraId="37D5FA01" w14:textId="77777777" w:rsidR="005B2223" w:rsidRDefault="005B2223" w:rsidP="008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A64C5" w14:textId="77777777" w:rsidR="00E747C3" w:rsidRDefault="00E74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7CB1E" w14:textId="15C2CB39" w:rsidR="00000A69" w:rsidRDefault="00000A69" w:rsidP="00362AB6">
    <w:pPr>
      <w:pStyle w:val="Footer"/>
    </w:pPr>
  </w:p>
  <w:p w14:paraId="54F82E37" w14:textId="34A0A1E7" w:rsidR="00000A69" w:rsidRPr="00080615" w:rsidRDefault="009B248C" w:rsidP="009B248C">
    <w:pPr>
      <w:pStyle w:val="Footer"/>
      <w:pBdr>
        <w:top w:val="single" w:sz="4" w:space="1" w:color="auto"/>
      </w:pBdr>
      <w:jc w:val="both"/>
    </w:pPr>
    <w:r>
      <w:t>Practice Alert: Lifestyle risk factors</w:t>
    </w:r>
    <w:r>
      <w:tab/>
    </w:r>
    <w:r>
      <w:tab/>
      <w:t xml:space="preserve">Page </w:t>
    </w:r>
    <w:r>
      <w:fldChar w:fldCharType="begin"/>
    </w:r>
    <w:r>
      <w:instrText xml:space="preserve"> PAGE   \* MERGEFORMAT </w:instrText>
    </w:r>
    <w:r>
      <w:fldChar w:fldCharType="separate"/>
    </w:r>
    <w:r w:rsidR="005B4142">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6DE7" w14:textId="1EAC0182" w:rsidR="00000A69" w:rsidRDefault="00000A69" w:rsidP="00715CAE">
    <w:pPr>
      <w:pStyle w:val="Footer"/>
      <w:jc w:val="right"/>
      <w:rPr>
        <w:sz w:val="18"/>
        <w:szCs w:val="18"/>
      </w:rPr>
    </w:pPr>
  </w:p>
  <w:p w14:paraId="3665FA48" w14:textId="08296CEA" w:rsidR="00000A69" w:rsidRPr="00080615" w:rsidRDefault="009359E9" w:rsidP="009359E9">
    <w:pPr>
      <w:pStyle w:val="Footer"/>
      <w:pBdr>
        <w:top w:val="single" w:sz="4" w:space="1" w:color="auto"/>
      </w:pBdr>
      <w:jc w:val="both"/>
    </w:pPr>
    <w:r>
      <w:t xml:space="preserve">Practice Alert: </w:t>
    </w:r>
    <w:r w:rsidR="009B248C">
      <w:t>Lifestyle risk factors</w:t>
    </w:r>
    <w:r w:rsidR="00C320EC">
      <w:tab/>
    </w:r>
    <w:r>
      <w:tab/>
      <w:t xml:space="preserve">Page </w:t>
    </w:r>
    <w:r>
      <w:fldChar w:fldCharType="begin"/>
    </w:r>
    <w:r>
      <w:instrText xml:space="preserve"> PAGE   \* MERGEFORMAT </w:instrText>
    </w:r>
    <w:r>
      <w:fldChar w:fldCharType="separate"/>
    </w:r>
    <w:r w:rsidR="005B414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B48C6" w14:textId="77777777" w:rsidR="005B2223" w:rsidRDefault="005B2223" w:rsidP="008E21DE">
      <w:r>
        <w:separator/>
      </w:r>
    </w:p>
  </w:footnote>
  <w:footnote w:type="continuationSeparator" w:id="0">
    <w:p w14:paraId="4872BB28" w14:textId="77777777" w:rsidR="005B2223" w:rsidRDefault="005B2223" w:rsidP="008E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B3EEA" w14:textId="77777777" w:rsidR="00E747C3" w:rsidRDefault="00E74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8AC48" w14:textId="505A318F" w:rsidR="00000A69" w:rsidRDefault="00000A69">
    <w:pPr>
      <w:pStyle w:val="Header"/>
    </w:pPr>
  </w:p>
  <w:p w14:paraId="43060073" w14:textId="77777777" w:rsidR="00000A69" w:rsidRDefault="00000A69">
    <w:pPr>
      <w:pStyle w:val="Header"/>
    </w:pPr>
    <w:r>
      <w:rPr>
        <w:b w:val="0"/>
        <w:bCs/>
        <w:noProof/>
        <w:lang w:eastAsia="en-AU"/>
      </w:rPr>
      <mc:AlternateContent>
        <mc:Choice Requires="wps">
          <w:drawing>
            <wp:inline distT="0" distB="0" distL="0" distR="0" wp14:anchorId="2DBB2290" wp14:editId="7F29B3E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4EC4AF3A">
            <v:rect id="Rectangle 2" style="width:451.55pt;height:5.95pt;visibility:visible;mso-wrap-style:square;mso-left-percent:-10001;mso-top-percent:-10001;mso-position-horizontal:absolute;mso-position-horizontal-relative:char;mso-position-vertical:absolute;mso-position-vertical-relative:line;mso-left-percent:-10001;mso-top-percent:-10001;v-text-anchor:middle" alt="Title: background - Description: background" o:spid="_x0000_s1026" fillcolor="#612c69" stroked="f" strokeweight="1pt" w14:anchorId="43087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FB056" w14:textId="6D3E853A" w:rsidR="00000A69" w:rsidRDefault="00000A69">
    <w:pPr>
      <w:pStyle w:val="Header"/>
    </w:pPr>
    <w:r>
      <w:rPr>
        <w:noProof/>
        <w:lang w:eastAsia="en-AU"/>
      </w:rPr>
      <w:ptab w:relativeTo="margin" w:alignment="left" w:leader="none"/>
    </w:r>
    <w:r>
      <w:rPr>
        <w:noProof/>
        <w:lang w:eastAsia="en-AU"/>
      </w:rPr>
      <w:drawing>
        <wp:inline distT="0" distB="0" distL="0" distR="0" wp14:anchorId="480505B1" wp14:editId="03B821C9">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E747C3">
      <w:rPr>
        <w:noProof/>
        <w:lang w:eastAsia="en-AU"/>
      </w:rPr>
      <w:tab/>
    </w:r>
    <w:r w:rsidR="00E747C3">
      <w:rPr>
        <w:noProof/>
        <w:lang w:eastAsia="en-AU"/>
      </w:rPr>
      <w:drawing>
        <wp:inline distT="0" distB="0" distL="0" distR="0" wp14:anchorId="4855DFCB" wp14:editId="27E8FD9F">
          <wp:extent cx="1114425" cy="1080770"/>
          <wp:effectExtent l="0" t="0" r="9525" b="5080"/>
          <wp:docPr id="1" name="Picture 1" descr="C:\Users\DM0126\AppData\Local\Microsoft\Windows\INetCache\Content.Word\LOGO-ACSQHC-block-600px - Copy.png" title="Australian Commission on Safety and Quality in Health C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0126\AppData\Local\Microsoft\Windows\INetCache\Content.Word\LOGO-ACSQHC-block-600px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1080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571"/>
    <w:multiLevelType w:val="hybridMultilevel"/>
    <w:tmpl w:val="1AB050A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C5F34"/>
    <w:multiLevelType w:val="hybridMultilevel"/>
    <w:tmpl w:val="3AF2D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9552F4"/>
    <w:multiLevelType w:val="hybridMultilevel"/>
    <w:tmpl w:val="3B52420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0F3D54"/>
    <w:multiLevelType w:val="hybridMultilevel"/>
    <w:tmpl w:val="DC68FCA6"/>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CA27DB"/>
    <w:multiLevelType w:val="hybridMultilevel"/>
    <w:tmpl w:val="883E2C30"/>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AE5A31"/>
    <w:multiLevelType w:val="hybridMultilevel"/>
    <w:tmpl w:val="B92A0160"/>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CE0828"/>
    <w:multiLevelType w:val="hybridMultilevel"/>
    <w:tmpl w:val="51AEEDA4"/>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800F2"/>
    <w:multiLevelType w:val="hybridMultilevel"/>
    <w:tmpl w:val="45EE06A0"/>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833463"/>
    <w:multiLevelType w:val="hybridMultilevel"/>
    <w:tmpl w:val="076E4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1D092C"/>
    <w:multiLevelType w:val="hybridMultilevel"/>
    <w:tmpl w:val="F7040044"/>
    <w:lvl w:ilvl="0" w:tplc="35FEC1EC">
      <w:start w:val="1"/>
      <w:numFmt w:val="bullet"/>
      <w:lvlText w:val=""/>
      <w:lvlJc w:val="left"/>
      <w:pPr>
        <w:ind w:left="360" w:hanging="360"/>
      </w:pPr>
      <w:rPr>
        <w:rFonts w:ascii="Symbol" w:hAnsi="Symbol" w:hint="default"/>
        <w:color w:val="962C8B" w:themeColor="accent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0324AB"/>
    <w:multiLevelType w:val="hybridMultilevel"/>
    <w:tmpl w:val="E6CCE688"/>
    <w:lvl w:ilvl="0" w:tplc="35FEC1EC">
      <w:start w:val="1"/>
      <w:numFmt w:val="bullet"/>
      <w:lvlText w:val=""/>
      <w:lvlJc w:val="left"/>
      <w:pPr>
        <w:ind w:left="720" w:hanging="360"/>
      </w:pPr>
      <w:rPr>
        <w:rFonts w:ascii="Symbol" w:hAnsi="Symbol" w:hint="default"/>
        <w:color w:val="962C8B"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A3370A"/>
    <w:multiLevelType w:val="hybridMultilevel"/>
    <w:tmpl w:val="507E5158"/>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C25DC1"/>
    <w:multiLevelType w:val="hybridMultilevel"/>
    <w:tmpl w:val="E4D8F208"/>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1B32BC"/>
    <w:multiLevelType w:val="hybridMultilevel"/>
    <w:tmpl w:val="19C8936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174160"/>
    <w:multiLevelType w:val="hybridMultilevel"/>
    <w:tmpl w:val="9EC43B8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2115DE"/>
    <w:multiLevelType w:val="hybridMultilevel"/>
    <w:tmpl w:val="58B45FE4"/>
    <w:lvl w:ilvl="0" w:tplc="35FEC1EC">
      <w:start w:val="1"/>
      <w:numFmt w:val="bullet"/>
      <w:lvlText w:val=""/>
      <w:lvlJc w:val="left"/>
      <w:pPr>
        <w:ind w:left="360" w:hanging="360"/>
      </w:pPr>
      <w:rPr>
        <w:rFonts w:ascii="Symbol" w:hAnsi="Symbol" w:hint="default"/>
        <w:color w:val="962C8B"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0DB60B6"/>
    <w:multiLevelType w:val="hybridMultilevel"/>
    <w:tmpl w:val="FBF48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3" w15:restartNumberingAfterBreak="0">
    <w:nsid w:val="43FC66FE"/>
    <w:multiLevelType w:val="hybridMultilevel"/>
    <w:tmpl w:val="226CD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5F0F6E"/>
    <w:multiLevelType w:val="hybridMultilevel"/>
    <w:tmpl w:val="3D6257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FD62B3"/>
    <w:multiLevelType w:val="hybridMultilevel"/>
    <w:tmpl w:val="72580D3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651841"/>
    <w:multiLevelType w:val="hybridMultilevel"/>
    <w:tmpl w:val="0196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4F2C4A"/>
    <w:multiLevelType w:val="hybridMultilevel"/>
    <w:tmpl w:val="9F20312C"/>
    <w:lvl w:ilvl="0" w:tplc="35FEC1EC">
      <w:start w:val="1"/>
      <w:numFmt w:val="bullet"/>
      <w:lvlText w:val=""/>
      <w:lvlJc w:val="left"/>
      <w:pPr>
        <w:ind w:left="360" w:hanging="360"/>
      </w:pPr>
      <w:rPr>
        <w:rFonts w:ascii="Symbol" w:hAnsi="Symbol" w:hint="default"/>
        <w:color w:val="962C8B" w:themeColor="accent2"/>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0" w15:restartNumberingAfterBreak="0">
    <w:nsid w:val="58615703"/>
    <w:multiLevelType w:val="multilevel"/>
    <w:tmpl w:val="803CF862"/>
    <w:numStyleLink w:val="List1Numbered"/>
  </w:abstractNum>
  <w:abstractNum w:abstractNumId="31" w15:restartNumberingAfterBreak="0">
    <w:nsid w:val="5CAD1EFD"/>
    <w:multiLevelType w:val="hybridMultilevel"/>
    <w:tmpl w:val="23C23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0737C1"/>
    <w:multiLevelType w:val="hybridMultilevel"/>
    <w:tmpl w:val="5038F55E"/>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930AF6"/>
    <w:multiLevelType w:val="hybridMultilevel"/>
    <w:tmpl w:val="4E42D11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4F423B"/>
    <w:multiLevelType w:val="multilevel"/>
    <w:tmpl w:val="4A7CCC2C"/>
    <w:numStyleLink w:val="DefaultBullets"/>
  </w:abstractNum>
  <w:abstractNum w:abstractNumId="3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90B67C4"/>
    <w:multiLevelType w:val="multilevel"/>
    <w:tmpl w:val="FE688822"/>
    <w:numStyleLink w:val="BoxedBullets"/>
  </w:abstractNum>
  <w:abstractNum w:abstractNumId="37" w15:restartNumberingAfterBreak="0">
    <w:nsid w:val="7F541432"/>
    <w:multiLevelType w:val="hybridMultilevel"/>
    <w:tmpl w:val="FCBA023C"/>
    <w:lvl w:ilvl="0" w:tplc="35FEC1EC">
      <w:start w:val="1"/>
      <w:numFmt w:val="bullet"/>
      <w:lvlText w:val=""/>
      <w:lvlJc w:val="left"/>
      <w:pPr>
        <w:ind w:left="360" w:hanging="360"/>
      </w:pPr>
      <w:rPr>
        <w:rFonts w:ascii="Symbol" w:hAnsi="Symbol" w:hint="default"/>
        <w:color w:val="962C8B"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26"/>
  </w:num>
  <w:num w:numId="3">
    <w:abstractNumId w:val="36"/>
  </w:num>
  <w:num w:numId="4">
    <w:abstractNumId w:val="22"/>
  </w:num>
  <w:num w:numId="5">
    <w:abstractNumId w:val="9"/>
  </w:num>
  <w:num w:numId="6">
    <w:abstractNumId w:val="8"/>
  </w:num>
  <w:num w:numId="7">
    <w:abstractNumId w:val="30"/>
  </w:num>
  <w:num w:numId="8">
    <w:abstractNumId w:val="28"/>
  </w:num>
  <w:num w:numId="9">
    <w:abstractNumId w:val="10"/>
  </w:num>
  <w:num w:numId="10">
    <w:abstractNumId w:val="35"/>
  </w:num>
  <w:num w:numId="11">
    <w:abstractNumId w:val="34"/>
    <w:lvlOverride w:ilvl="0">
      <w:lvl w:ilvl="0">
        <w:start w:val="1"/>
        <w:numFmt w:val="bullet"/>
        <w:pStyle w:val="Bullet1"/>
        <w:lvlText w:val=""/>
        <w:lvlJc w:val="left"/>
        <w:pPr>
          <w:ind w:left="644" w:hanging="284"/>
        </w:pPr>
        <w:rPr>
          <w:rFonts w:ascii="Symbol" w:hAnsi="Symbol" w:hint="default"/>
          <w:color w:val="85367B"/>
        </w:rPr>
      </w:lvl>
    </w:lvlOverride>
    <w:lvlOverride w:ilvl="1">
      <w:lvl w:ilvl="1">
        <w:start w:val="1"/>
        <w:numFmt w:val="bullet"/>
        <w:pStyle w:val="Bullet2"/>
        <w:lvlText w:val="–"/>
        <w:lvlJc w:val="left"/>
        <w:pPr>
          <w:ind w:left="928" w:hanging="284"/>
        </w:pPr>
        <w:rPr>
          <w:rFonts w:ascii="Arial" w:hAnsi="Arial" w:hint="default"/>
          <w:color w:val="85367B"/>
        </w:rPr>
      </w:lvl>
    </w:lvlOverride>
    <w:lvlOverride w:ilvl="2">
      <w:lvl w:ilvl="2">
        <w:start w:val="1"/>
        <w:numFmt w:val="bullet"/>
        <w:pStyle w:val="Bullet3"/>
        <w:lvlText w:val="»"/>
        <w:lvlJc w:val="left"/>
        <w:pPr>
          <w:ind w:left="1212" w:hanging="284"/>
        </w:pPr>
        <w:rPr>
          <w:rFonts w:ascii="Arial" w:hAnsi="Arial" w:hint="default"/>
          <w:color w:val="85367B"/>
        </w:rPr>
      </w:lvl>
    </w:lvlOverride>
  </w:num>
  <w:num w:numId="12">
    <w:abstractNumId w:val="5"/>
  </w:num>
  <w:num w:numId="13">
    <w:abstractNumId w:val="11"/>
  </w:num>
  <w:num w:numId="14">
    <w:abstractNumId w:val="16"/>
  </w:num>
  <w:num w:numId="15">
    <w:abstractNumId w:val="15"/>
  </w:num>
  <w:num w:numId="16">
    <w:abstractNumId w:val="19"/>
  </w:num>
  <w:num w:numId="17">
    <w:abstractNumId w:val="2"/>
  </w:num>
  <w:num w:numId="18">
    <w:abstractNumId w:val="0"/>
  </w:num>
  <w:num w:numId="19">
    <w:abstractNumId w:val="12"/>
  </w:num>
  <w:num w:numId="20">
    <w:abstractNumId w:val="3"/>
  </w:num>
  <w:num w:numId="21">
    <w:abstractNumId w:val="6"/>
  </w:num>
  <w:num w:numId="22">
    <w:abstractNumId w:val="32"/>
  </w:num>
  <w:num w:numId="23">
    <w:abstractNumId w:val="17"/>
  </w:num>
  <w:num w:numId="24">
    <w:abstractNumId w:val="27"/>
  </w:num>
  <w:num w:numId="25">
    <w:abstractNumId w:val="23"/>
  </w:num>
  <w:num w:numId="26">
    <w:abstractNumId w:val="24"/>
  </w:num>
  <w:num w:numId="27">
    <w:abstractNumId w:val="31"/>
  </w:num>
  <w:num w:numId="28">
    <w:abstractNumId w:val="21"/>
  </w:num>
  <w:num w:numId="29">
    <w:abstractNumId w:val="13"/>
  </w:num>
  <w:num w:numId="30">
    <w:abstractNumId w:val="1"/>
  </w:num>
  <w:num w:numId="31">
    <w:abstractNumId w:val="14"/>
  </w:num>
  <w:num w:numId="32">
    <w:abstractNumId w:val="25"/>
  </w:num>
  <w:num w:numId="33">
    <w:abstractNumId w:val="29"/>
  </w:num>
  <w:num w:numId="34">
    <w:abstractNumId w:val="20"/>
  </w:num>
  <w:num w:numId="35">
    <w:abstractNumId w:val="37"/>
  </w:num>
  <w:num w:numId="36">
    <w:abstractNumId w:val="7"/>
  </w:num>
  <w:num w:numId="37">
    <w:abstractNumId w:val="18"/>
  </w:num>
  <w:num w:numId="38">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8E"/>
    <w:rsid w:val="00000034"/>
    <w:rsid w:val="00000A69"/>
    <w:rsid w:val="00043D08"/>
    <w:rsid w:val="00046848"/>
    <w:rsid w:val="00056D72"/>
    <w:rsid w:val="00060B5C"/>
    <w:rsid w:val="0006366C"/>
    <w:rsid w:val="0007109E"/>
    <w:rsid w:val="000721DF"/>
    <w:rsid w:val="00073162"/>
    <w:rsid w:val="00080615"/>
    <w:rsid w:val="000838A9"/>
    <w:rsid w:val="000974C9"/>
    <w:rsid w:val="000C1BBC"/>
    <w:rsid w:val="000C252F"/>
    <w:rsid w:val="000C5959"/>
    <w:rsid w:val="000C7CE9"/>
    <w:rsid w:val="000D7AA7"/>
    <w:rsid w:val="000E48A1"/>
    <w:rsid w:val="000F3A54"/>
    <w:rsid w:val="000F48FC"/>
    <w:rsid w:val="0010008B"/>
    <w:rsid w:val="00102C79"/>
    <w:rsid w:val="001058AC"/>
    <w:rsid w:val="00117E87"/>
    <w:rsid w:val="00157720"/>
    <w:rsid w:val="00164EB5"/>
    <w:rsid w:val="00175AC0"/>
    <w:rsid w:val="00182709"/>
    <w:rsid w:val="00190BCA"/>
    <w:rsid w:val="001916AA"/>
    <w:rsid w:val="00197591"/>
    <w:rsid w:val="001975E7"/>
    <w:rsid w:val="001A4048"/>
    <w:rsid w:val="001B233E"/>
    <w:rsid w:val="001C5241"/>
    <w:rsid w:val="001D4196"/>
    <w:rsid w:val="001F54F9"/>
    <w:rsid w:val="00201052"/>
    <w:rsid w:val="0022620F"/>
    <w:rsid w:val="00231AAC"/>
    <w:rsid w:val="00250DAB"/>
    <w:rsid w:val="0027344B"/>
    <w:rsid w:val="002804D3"/>
    <w:rsid w:val="00282E8A"/>
    <w:rsid w:val="00284D1A"/>
    <w:rsid w:val="002901D5"/>
    <w:rsid w:val="00293890"/>
    <w:rsid w:val="002A0072"/>
    <w:rsid w:val="002C6B40"/>
    <w:rsid w:val="002D0FE6"/>
    <w:rsid w:val="002D695D"/>
    <w:rsid w:val="002E6D0E"/>
    <w:rsid w:val="0030095B"/>
    <w:rsid w:val="00316DB6"/>
    <w:rsid w:val="003234CA"/>
    <w:rsid w:val="00342127"/>
    <w:rsid w:val="003449A0"/>
    <w:rsid w:val="00344BB0"/>
    <w:rsid w:val="0034598E"/>
    <w:rsid w:val="00362AB6"/>
    <w:rsid w:val="00393A6B"/>
    <w:rsid w:val="00395DDA"/>
    <w:rsid w:val="003972B2"/>
    <w:rsid w:val="003A6ECC"/>
    <w:rsid w:val="003A764C"/>
    <w:rsid w:val="003C49B9"/>
    <w:rsid w:val="003C7D51"/>
    <w:rsid w:val="003D3533"/>
    <w:rsid w:val="003E70D2"/>
    <w:rsid w:val="003F29B8"/>
    <w:rsid w:val="00407E61"/>
    <w:rsid w:val="004154E2"/>
    <w:rsid w:val="00425001"/>
    <w:rsid w:val="00427EF6"/>
    <w:rsid w:val="004748D8"/>
    <w:rsid w:val="00477A13"/>
    <w:rsid w:val="00493DCF"/>
    <w:rsid w:val="0049413C"/>
    <w:rsid w:val="004B2FB5"/>
    <w:rsid w:val="004D3DC8"/>
    <w:rsid w:val="004D4273"/>
    <w:rsid w:val="004D460E"/>
    <w:rsid w:val="004D688C"/>
    <w:rsid w:val="004E5C0A"/>
    <w:rsid w:val="004E6EFB"/>
    <w:rsid w:val="004F2C6E"/>
    <w:rsid w:val="004F696B"/>
    <w:rsid w:val="0050020D"/>
    <w:rsid w:val="00521E9C"/>
    <w:rsid w:val="00526DBC"/>
    <w:rsid w:val="00534D53"/>
    <w:rsid w:val="00575F25"/>
    <w:rsid w:val="00577B81"/>
    <w:rsid w:val="00593C19"/>
    <w:rsid w:val="005B053D"/>
    <w:rsid w:val="005B2223"/>
    <w:rsid w:val="005B4142"/>
    <w:rsid w:val="005D05FF"/>
    <w:rsid w:val="00606B46"/>
    <w:rsid w:val="00623666"/>
    <w:rsid w:val="00625854"/>
    <w:rsid w:val="0063241F"/>
    <w:rsid w:val="00641512"/>
    <w:rsid w:val="00651348"/>
    <w:rsid w:val="00672C9E"/>
    <w:rsid w:val="006733E6"/>
    <w:rsid w:val="00673DBD"/>
    <w:rsid w:val="00680A20"/>
    <w:rsid w:val="00680F04"/>
    <w:rsid w:val="00693FBE"/>
    <w:rsid w:val="006B2C44"/>
    <w:rsid w:val="006D6D91"/>
    <w:rsid w:val="00715CAE"/>
    <w:rsid w:val="007168C0"/>
    <w:rsid w:val="007260C2"/>
    <w:rsid w:val="007270EB"/>
    <w:rsid w:val="00732399"/>
    <w:rsid w:val="0073767E"/>
    <w:rsid w:val="00741BE9"/>
    <w:rsid w:val="00753A02"/>
    <w:rsid w:val="00754943"/>
    <w:rsid w:val="00764424"/>
    <w:rsid w:val="00765384"/>
    <w:rsid w:val="00765AAF"/>
    <w:rsid w:val="0078103B"/>
    <w:rsid w:val="00790399"/>
    <w:rsid w:val="00796561"/>
    <w:rsid w:val="007A5887"/>
    <w:rsid w:val="007B0A73"/>
    <w:rsid w:val="007B2CF5"/>
    <w:rsid w:val="007D71C8"/>
    <w:rsid w:val="007E4399"/>
    <w:rsid w:val="00837C11"/>
    <w:rsid w:val="00844FD8"/>
    <w:rsid w:val="008459B6"/>
    <w:rsid w:val="00846230"/>
    <w:rsid w:val="00846D1B"/>
    <w:rsid w:val="00850FD6"/>
    <w:rsid w:val="00880F00"/>
    <w:rsid w:val="00884FB3"/>
    <w:rsid w:val="00895DF7"/>
    <w:rsid w:val="008A1D61"/>
    <w:rsid w:val="008A649A"/>
    <w:rsid w:val="008B7938"/>
    <w:rsid w:val="008D1526"/>
    <w:rsid w:val="008D50DA"/>
    <w:rsid w:val="008E21DE"/>
    <w:rsid w:val="008E50AF"/>
    <w:rsid w:val="008F0C38"/>
    <w:rsid w:val="008F33AB"/>
    <w:rsid w:val="00901A4B"/>
    <w:rsid w:val="0090679C"/>
    <w:rsid w:val="0092679E"/>
    <w:rsid w:val="009359E9"/>
    <w:rsid w:val="00946AF7"/>
    <w:rsid w:val="00951325"/>
    <w:rsid w:val="009539C8"/>
    <w:rsid w:val="00953B8A"/>
    <w:rsid w:val="00957487"/>
    <w:rsid w:val="00967F8B"/>
    <w:rsid w:val="009754FE"/>
    <w:rsid w:val="00994643"/>
    <w:rsid w:val="009B12C8"/>
    <w:rsid w:val="009B248C"/>
    <w:rsid w:val="009C2C46"/>
    <w:rsid w:val="009D06E2"/>
    <w:rsid w:val="009D621F"/>
    <w:rsid w:val="009D7A35"/>
    <w:rsid w:val="009E5FA8"/>
    <w:rsid w:val="009F4EAA"/>
    <w:rsid w:val="009F740C"/>
    <w:rsid w:val="00A01400"/>
    <w:rsid w:val="00A023FA"/>
    <w:rsid w:val="00A05D57"/>
    <w:rsid w:val="00A06F5D"/>
    <w:rsid w:val="00A07E4A"/>
    <w:rsid w:val="00A37D9C"/>
    <w:rsid w:val="00A40E7F"/>
    <w:rsid w:val="00A446FD"/>
    <w:rsid w:val="00A60009"/>
    <w:rsid w:val="00A612E3"/>
    <w:rsid w:val="00A670D3"/>
    <w:rsid w:val="00A755CA"/>
    <w:rsid w:val="00A860DA"/>
    <w:rsid w:val="00A8647C"/>
    <w:rsid w:val="00A932F1"/>
    <w:rsid w:val="00A93AE1"/>
    <w:rsid w:val="00AA094B"/>
    <w:rsid w:val="00AA2EAB"/>
    <w:rsid w:val="00AB12D5"/>
    <w:rsid w:val="00AB1FDE"/>
    <w:rsid w:val="00AC08C8"/>
    <w:rsid w:val="00AD0168"/>
    <w:rsid w:val="00AD336C"/>
    <w:rsid w:val="00AD3BAA"/>
    <w:rsid w:val="00AD735D"/>
    <w:rsid w:val="00AD7AD7"/>
    <w:rsid w:val="00AE52DE"/>
    <w:rsid w:val="00AF0899"/>
    <w:rsid w:val="00B00348"/>
    <w:rsid w:val="00B21DCB"/>
    <w:rsid w:val="00B25115"/>
    <w:rsid w:val="00B353FA"/>
    <w:rsid w:val="00B42593"/>
    <w:rsid w:val="00B542B3"/>
    <w:rsid w:val="00B603C0"/>
    <w:rsid w:val="00B83AB4"/>
    <w:rsid w:val="00BA4FF9"/>
    <w:rsid w:val="00BB2967"/>
    <w:rsid w:val="00BB2FD0"/>
    <w:rsid w:val="00BB6F8E"/>
    <w:rsid w:val="00BC070B"/>
    <w:rsid w:val="00BC2180"/>
    <w:rsid w:val="00BC3BA1"/>
    <w:rsid w:val="00BC6F8A"/>
    <w:rsid w:val="00BD0889"/>
    <w:rsid w:val="00BE1DEF"/>
    <w:rsid w:val="00BE7F1E"/>
    <w:rsid w:val="00BF2169"/>
    <w:rsid w:val="00BF463B"/>
    <w:rsid w:val="00C0421C"/>
    <w:rsid w:val="00C0732B"/>
    <w:rsid w:val="00C10202"/>
    <w:rsid w:val="00C1305C"/>
    <w:rsid w:val="00C17A5F"/>
    <w:rsid w:val="00C21944"/>
    <w:rsid w:val="00C242C7"/>
    <w:rsid w:val="00C2698C"/>
    <w:rsid w:val="00C31B8D"/>
    <w:rsid w:val="00C31EAE"/>
    <w:rsid w:val="00C320EC"/>
    <w:rsid w:val="00C35CF9"/>
    <w:rsid w:val="00C477E9"/>
    <w:rsid w:val="00C52C59"/>
    <w:rsid w:val="00C54942"/>
    <w:rsid w:val="00C710F9"/>
    <w:rsid w:val="00C73ACC"/>
    <w:rsid w:val="00C87F13"/>
    <w:rsid w:val="00C90DF2"/>
    <w:rsid w:val="00C94D68"/>
    <w:rsid w:val="00CB64BD"/>
    <w:rsid w:val="00CB6D03"/>
    <w:rsid w:val="00CD54D0"/>
    <w:rsid w:val="00CE3FE3"/>
    <w:rsid w:val="00D04675"/>
    <w:rsid w:val="00D05C96"/>
    <w:rsid w:val="00D21508"/>
    <w:rsid w:val="00D23537"/>
    <w:rsid w:val="00D240C2"/>
    <w:rsid w:val="00D25236"/>
    <w:rsid w:val="00D27D66"/>
    <w:rsid w:val="00D50A04"/>
    <w:rsid w:val="00D6525A"/>
    <w:rsid w:val="00D9727A"/>
    <w:rsid w:val="00DC6078"/>
    <w:rsid w:val="00DE418A"/>
    <w:rsid w:val="00DF74BA"/>
    <w:rsid w:val="00E01D48"/>
    <w:rsid w:val="00E0370F"/>
    <w:rsid w:val="00E06DAA"/>
    <w:rsid w:val="00E14A3C"/>
    <w:rsid w:val="00E17651"/>
    <w:rsid w:val="00E243C4"/>
    <w:rsid w:val="00E260AC"/>
    <w:rsid w:val="00E40290"/>
    <w:rsid w:val="00E529D9"/>
    <w:rsid w:val="00E747C3"/>
    <w:rsid w:val="00E7734F"/>
    <w:rsid w:val="00E829A6"/>
    <w:rsid w:val="00E8311A"/>
    <w:rsid w:val="00ED765A"/>
    <w:rsid w:val="00EE737C"/>
    <w:rsid w:val="00F3209F"/>
    <w:rsid w:val="00F328ED"/>
    <w:rsid w:val="00F34A15"/>
    <w:rsid w:val="00F36173"/>
    <w:rsid w:val="00F41613"/>
    <w:rsid w:val="00F4684A"/>
    <w:rsid w:val="00F5000F"/>
    <w:rsid w:val="00F50728"/>
    <w:rsid w:val="00F50DD3"/>
    <w:rsid w:val="00F70AE7"/>
    <w:rsid w:val="00F9318C"/>
    <w:rsid w:val="00FA24BD"/>
    <w:rsid w:val="00FA3160"/>
    <w:rsid w:val="00FB3FE3"/>
    <w:rsid w:val="00FB5DBE"/>
    <w:rsid w:val="00FB77A7"/>
    <w:rsid w:val="00FD66D7"/>
    <w:rsid w:val="00FE2D8F"/>
    <w:rsid w:val="00FE3CB2"/>
    <w:rsid w:val="00FE3DA3"/>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5EC5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8C"/>
    <w:rPr>
      <w:rFonts w:ascii="Calibri" w:hAnsi="Calibri" w:cs="Calibri"/>
      <w:color w:val="auto"/>
      <w:sz w:val="22"/>
      <w:szCs w:val="22"/>
    </w:rPr>
  </w:style>
  <w:style w:type="paragraph" w:styleId="Heading1">
    <w:name w:val="heading 1"/>
    <w:basedOn w:val="Normal"/>
    <w:next w:val="Normal"/>
    <w:link w:val="Heading1Char"/>
    <w:uiPriority w:val="9"/>
    <w:qFormat/>
    <w:rsid w:val="00C0732B"/>
    <w:pPr>
      <w:keepNext/>
      <w:keepLines/>
      <w:spacing w:before="24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06366C"/>
    <w:pPr>
      <w:keepNext/>
      <w:keepLines/>
      <w:spacing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284D1A"/>
    <w:pPr>
      <w:keepNext/>
      <w:keepLines/>
      <w:spacing w:before="24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06366C"/>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C0732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284D1A"/>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h1">
    <w:name w:val="1. Document name h1"/>
    <w:qFormat/>
    <w:rsid w:val="009E5FA8"/>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9E5FA8"/>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9E5FA8"/>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9E5FA8"/>
    <w:pPr>
      <w:keepNext/>
      <w:pBdr>
        <w:top w:val="single" w:sz="8" w:space="10" w:color="FBF7FD"/>
        <w:left w:val="single" w:sz="8" w:space="10" w:color="FBF7FD"/>
        <w:bottom w:val="single" w:sz="8" w:space="10" w:color="FBF7FD"/>
        <w:right w:val="single" w:sz="8" w:space="10" w:color="FBF7FD"/>
      </w:pBdr>
      <w:shd w:val="clear" w:color="auto" w:fill="F7F0FA"/>
      <w:spacing w:after="200"/>
      <w:ind w:right="-35"/>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D50A04"/>
    <w:pPr>
      <w:spacing w:before="0" w:after="160" w:line="259"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51534">
      <w:bodyDiv w:val="1"/>
      <w:marLeft w:val="0"/>
      <w:marRight w:val="0"/>
      <w:marTop w:val="0"/>
      <w:marBottom w:val="0"/>
      <w:divBdr>
        <w:top w:val="none" w:sz="0" w:space="0" w:color="auto"/>
        <w:left w:val="none" w:sz="0" w:space="0" w:color="auto"/>
        <w:bottom w:val="none" w:sz="0" w:space="0" w:color="auto"/>
        <w:right w:val="none" w:sz="0" w:space="0" w:color="auto"/>
      </w:divBdr>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inclusionmelbourne.org.au/resource/choice/" TargetMode="External"/><Relationship Id="rId18" Type="http://schemas.openxmlformats.org/officeDocument/2006/relationships/hyperlink" Target="https://www1.health.gov.au/internet/main/publishing.nsf/Content/health-pubhlth-strateg-phys-act-guidelines" TargetMode="External"/><Relationship Id="rId26" Type="http://schemas.openxmlformats.org/officeDocument/2006/relationships/footer" Target="footer1.xml"/><Relationship Id="R28a500062eb04de1"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www.blackdoginstitute.org.au/resources-support/digital-tools-apps/healthy-mind/" TargetMode="External"/><Relationship Id="rId7" Type="http://schemas.openxmlformats.org/officeDocument/2006/relationships/endnotes" Target="endnotes.xml"/><Relationship Id="rId12" Type="http://schemas.openxmlformats.org/officeDocument/2006/relationships/hyperlink" Target="https://www.ndiscommission.gov.au/document/986" TargetMode="External"/><Relationship Id="rId17" Type="http://schemas.openxmlformats.org/officeDocument/2006/relationships/hyperlink" Target="https://www.health.gov.au/health-topics/physical-activity-and-exercise/physical-activity-and-exercise-guidelines-for-all-australians?utm_source=health.gov.au&amp;utm_medium=callout-auto-custom&amp;utm_campaign=digital_transformatio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eatforhealth.gov.au/" TargetMode="External"/><Relationship Id="rId20" Type="http://schemas.openxmlformats.org/officeDocument/2006/relationships/hyperlink" Target="https://cid.org.au/resourc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18N00041" TargetMode="External"/><Relationship Id="rId24" Type="http://schemas.openxmlformats.org/officeDocument/2006/relationships/header" Target="header1.xml"/><Relationship Id="R967132ee84e8431b"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eatforhealth.gov.au/sites/default/files/files/the_guidelines/n55g_adult_brochure.pdf" TargetMode="External"/><Relationship Id="rId23" Type="http://schemas.openxmlformats.org/officeDocument/2006/relationships/hyperlink" Target="https://www.ndiscommission.gov.au/" TargetMode="External"/><Relationship Id="rId28" Type="http://schemas.openxmlformats.org/officeDocument/2006/relationships/header" Target="header3.xml"/><Relationship Id="rId10" Type="http://schemas.openxmlformats.org/officeDocument/2006/relationships/hyperlink" Target="https://www.legislation.gov.au/Details/F2020C01088" TargetMode="External"/><Relationship Id="rId19" Type="http://schemas.openxmlformats.org/officeDocument/2006/relationships/hyperlink" Target="https://www.health.gov.au/health-topics/preventive-healt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discommission.gov.au/providers/ndis-code-conduct" TargetMode="External"/><Relationship Id="rId14" Type="http://schemas.openxmlformats.org/officeDocument/2006/relationships/hyperlink" Target="https://fpdn.org.au/our-way-planning-resources/" TargetMode="External"/><Relationship Id="rId22" Type="http://schemas.openxmlformats.org/officeDocument/2006/relationships/hyperlink" Target="mailto:contactcentre@ndiscommission.gov.au"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FDI19</b:Tag>
    <b:SourceType>DocumentFromInternetSite</b:SourceType>
    <b:Guid>{C0F176E1-9186-4C84-B9C5-1551B0154CD0}</b:Guid>
    <b:Title>Oral health literacy,behaviour change and empowering patients to improve their health</b:Title>
    <b:Year>2019</b:Year>
    <b:Author>
      <b:Author>
        <b:Corporate>FDI World Dental Federation</b:Corporate>
      </b:Author>
    </b:Author>
    <b:ConferenceName>Proceedings of the Whole of Mouth Health Summit</b:ConferenceName>
    <b:City>San Fransisico</b:City>
    <b:Publisher>FDI World Dental Federation</b:Publisher>
    <b:InternetSiteTitle>FDI World Federation</b:InternetSiteTitle>
    <b:URL>https://www.fdiworlddental.org/resources/proceedings/introducing-the-whole-mouth-health-project-define-a-pathway-to-global-oral-health-literacy</b:URL>
    <b:RefOrder>1</b:RefOrder>
  </b:Source>
  <b:Source>
    <b:Tag>Lim20</b:Tag>
    <b:SourceType>JournalArticle</b:SourceType>
    <b:Guid>{1F5DF321-4D49-4FD9-BBAD-37BC149A6404}</b:Guid>
    <b:Author>
      <b:Author>
        <b:NameList>
          <b:Person>
            <b:Last>Lim</b:Last>
            <b:First>M</b:First>
            <b:Middle>A W T: Liberali, SA C</b:Middle>
          </b:Person>
          <b:Person>
            <b:Last>Borromeo</b:Last>
            <b:First>G.I</b:First>
          </b:Person>
        </b:NameList>
      </b:Author>
    </b:Author>
    <b:Title>Utilisation of dental services for people with special health care needs in Australia</b:Title>
    <b:JournalName>BMC Oral Health 20, 360</b:JournalName>
    <b:Year>2020</b:Year>
    <b:DOI>https://doi.org/10.1186/s12903-020-01354-6</b:DOI>
    <b:RefOrder>2</b:RefOrder>
  </b:Source>
  <b:Source>
    <b:Tag>Org</b:Tag>
    <b:SourceType>InternetSite</b:SourceType>
    <b:Guid>{E172B8E2-CCDC-47A6-8597-83FF5B70EC3D}</b:Guid>
    <b:Title>Oral Health</b:Title>
    <b:Author>
      <b:Author>
        <b:Corporate>WHO</b:Corporate>
      </b:Author>
    </b:Author>
    <b:InternetSiteTitle>WHO</b:InternetSiteTitle>
    <b:URL>https://www.who.int/news-room/fact-sheets/detail/oral-health#:~:text=The%20majority%20of%20oral%20health,the%20mouth%20mostly%20affecting%20children</b:URL>
    <b:RefOrder>3</b:RefOrder>
  </b:Source>
  <b:Source>
    <b:Tag>Wil19</b:Tag>
    <b:SourceType>JournalArticle</b:SourceType>
    <b:Guid>{E4C30016-24BD-4E71-9E08-0BB34E52FBA7}</b:Guid>
    <b:Title>Countering the poor oral health of people with intellectual and developmental disability: a scoping literature review</b:Title>
    <b:Year>2019</b:Year>
    <b:Author>
      <b:Author>
        <b:NameList>
          <b:Person>
            <b:Last>Wilson</b:Last>
            <b:First>N.J</b:First>
          </b:Person>
          <b:Person>
            <b:Last>Lin</b:Last>
            <b:First>Z</b:First>
          </b:Person>
          <b:Person>
            <b:Last>Villarosa</b:Last>
            <b:First>A.</b:First>
            <b:Middle>et al</b:Middle>
          </b:Person>
        </b:NameList>
      </b:Author>
    </b:Author>
    <b:JournalName>MC Public Health 19, 1530</b:JournalName>
    <b:DOI>https://doi.org/10.3109/13668250.2017.1409596</b:DOI>
    <b:RefOrder>4</b:RefOrder>
  </b:Source>
  <b:Source>
    <b:Tag>SAX201</b:Tag>
    <b:SourceType>Report</b:SourceType>
    <b:Guid>{B7C53A68-0154-4371-BB70-471A07FD0A10}</b:Guid>
    <b:Author>
      <b:Author>
        <b:Corporate>SAX Institute</b:Corporate>
      </b:Author>
    </b:Author>
    <b:Title>The effectiveness of oral health interventions for people with disability</b:Title>
    <b:Year>2020</b:Year>
    <b:RefOrder>5</b:RefOrder>
  </b:Source>
  <b:Source>
    <b:Tag>Joi20</b:Tag>
    <b:SourceType>Misc</b:SourceType>
    <b:Guid>{228E49C7-5B96-4FAE-B4BD-E05362CE4D0E}</b:Guid>
    <b:Title>Submission on Oral Health </b:Title>
    <b:Year>2020</b:Year>
    <b:Author>
      <b:Author>
        <b:Corporate>Disability Royal Commission</b:Corporate>
      </b:Author>
    </b:Author>
    <b:URL>https://disability.royalcommission.gov.au/publications/exhibit-4-223-exp002200010046-oral-health-intellectual-disability-guide-dental-practitioners</b:URL>
    <b:RefOrder>6</b:RefOrder>
  </b:Source>
  <b:Source>
    <b:Tag>Have2</b:Tag>
    <b:SourceType>JournalArticle</b:SourceType>
    <b:Guid>{C56BA039-2F02-4F47-BF3A-AF0D705105C7}</b:Guid>
    <b:Title>National health surveillance of adults with disabilities, adults with intellectual and developmental disabilities, and adults with no disabilities</b:Title>
    <b:JournalName>Disability and Health Journal</b:JournalName>
    <b:Year>2015 </b:Year>
    <b:Pages>165-172</b:Pages>
    <b:Author>
      <b:Author>
        <b:NameList>
          <b:Person>
            <b:Last>Havercamp</b:Last>
            <b:First>S</b:First>
            <b:Middle>M</b:Middle>
          </b:Person>
          <b:Person>
            <b:Last>Haleigh</b:Last>
            <b:First>M</b:First>
          </b:Person>
          <b:Person>
            <b:Last>Scott</b:Last>
            <b:First>M</b:First>
            <b:Middle>A</b:Middle>
          </b:Person>
        </b:NameList>
      </b:Author>
    </b:Author>
    <b:DOI>https://doi.org/10.1016/j.dhjo.2014.11.002</b:DOI>
    <b:RefOrder>7</b:RefOrder>
  </b:Source>
  <b:Source>
    <b:Tag>Gal12</b:Tag>
    <b:SourceType>BookSection</b:SourceType>
    <b:Guid>{25268F1A-5152-486B-805A-FF4203EA3395}</b:Guid>
    <b:Author>
      <b:Author>
        <b:NameList>
          <b:Person>
            <b:Last>Gallagher</b:Last>
            <b:First>J</b:First>
          </b:Person>
          <b:Person>
            <b:Last>Scambler</b:Last>
            <b:First>S</b:First>
          </b:Person>
        </b:NameList>
      </b:Author>
      <b:BookAuthor>
        <b:NameList>
          <b:Person>
            <b:Last>Institute</b:Last>
            <b:First>London</b:First>
            <b:Middle>Dental</b:Middle>
          </b:Person>
        </b:NameList>
      </b:BookAuthor>
    </b:Author>
    <b:Title>Disability and Oral Health</b:Title>
    <b:Year>2012</b:Year>
    <b:BookTitle>Learning Disabilities</b:BookTitle>
    <b:Publisher>Kingdom</b:Publisher>
    <b:ChapterNumber>12</b:ChapterNumber>
    <b:RefOrder>8</b:RefOrder>
  </b:Source>
  <b:Source>
    <b:Tag>htt</b:Tag>
    <b:SourceType>JournalArticle</b:SourceType>
    <b:Guid>{E169B8C0-CFB6-4C7B-95E1-6E0447E28BDB}</b:Guid>
    <b:DOI>https://doi.org/10.1016/j.evalprogplan.2014.07.003.</b:DOI>
    <b:Title>Improving the oral health of residents with intellectual and developmental disabilities: An oral health strategy and pilot study</b:Title>
    <b:Year>2014; Vol 47</b:Year>
    <b:JournalName>Evaluation and Program Planning</b:JournalName>
    <b:Pages>54-63</b:Pages>
    <b:Author>
      <b:Author>
        <b:NameList>
          <b:Person>
            <b:Last>Binkley</b:Last>
            <b:First>Catherine</b:First>
            <b:Middle>J</b:Middle>
          </b:Person>
          <b:Person>
            <b:Last>et</b:Last>
            <b:First>al</b:First>
          </b:Person>
        </b:NameList>
      </b:Author>
    </b:Author>
    <b:RefOrder>9</b:RefOrder>
  </b:Source>
  <b:Source>
    <b:Tag>FDI20</b:Tag>
    <b:SourceType>InternetSite</b:SourceType>
    <b:Guid>{9B3BC947-CC71-441B-B86C-9FB8B027CC06}</b:Guid>
    <b:Title>FDI's Definition of Oral Health</b:Title>
    <b:Year>2020</b:Year>
    <b:Author>
      <b:Author>
        <b:Corporate>FDI World Dental Federation</b:Corporate>
      </b:Author>
    </b:Author>
    <b:InternetSiteTitle>FDI World Dental Federation</b:InternetSiteTitle>
    <b:URL>https://www.fdiworlddental.org/oral-health/fdi-definition-of-oral-health</b:URL>
    <b:RefOrder>10</b:RefOrder>
  </b:Source>
  <b:Source>
    <b:Tag>Cou18</b:Tag>
    <b:SourceType>JournalArticle</b:SourceType>
    <b:Guid>{3EAA09BA-BDFF-48D7-BA00-5C87720B9B45}</b:Guid>
    <b:Author>
      <b:Author>
        <b:NameList>
          <b:Person>
            <b:Last>Couto</b:Last>
            <b:First>P</b:First>
          </b:Person>
        </b:NameList>
      </b:Author>
    </b:Author>
    <b:Title>Oral health-related quality of life of Portuguese adults with mild intellectual disabilities</b:Title>
    <b:Year>2018</b:Year>
    <b:JournalName>PLoS One</b:JournalName>
    <b:DOI> https://doi.org/10.1371/journal.pone.0193953</b:DOI>
    <b:RefOrder>11</b:RefOrder>
  </b:Source>
  <b:Source>
    <b:Tag>Fac12</b:Tag>
    <b:SourceType>DocumentFromInternetSite</b:SourceType>
    <b:Guid>{866DE1A7-94FF-4EDE-BCC8-1E43AB15F742}</b:Guid>
    <b:Title>Clinical Guidelines and Integrated Care Pathways for People with Learning Disabilities</b:Title>
    <b:Year>2012</b:Year>
    <b:InternetSiteTitle>Royal College of Suregeons England</b:InternetSiteTitle>
    <b:URL>https://www.rcseng.ac.uk/library-and-publications/rcs-publications/docs/oral-health-care/</b:URL>
    <b:Author>
      <b:Author>
        <b:Corporate>Faculty of Dental Surgery</b:Corporate>
      </b:Author>
    </b:Author>
    <b:RefOrder>12</b:RefOrder>
  </b:Source>
  <b:Source>
    <b:Tag>Cha18</b:Tag>
    <b:SourceType>JournalArticle</b:SourceType>
    <b:Guid>{A68FA058-BFF8-46DD-9368-41F20C65D967}</b:Guid>
    <b:Author>
      <b:Author>
        <b:NameList>
          <b:Person>
            <b:Last>Chadwick</b:Last>
            <b:First>D</b:First>
          </b:Person>
          <b:Person>
            <b:Last>Chapman</b:Last>
            <b:First>M:</b:First>
            <b:Middle>Davies, G</b:Middle>
          </b:Person>
        </b:NameList>
      </b:Author>
    </b:Author>
    <b:Title>Factors affecting access to daily oral and dental care among adults with intellectual disabilities</b:Title>
    <b:JournalName>Journal of Applied Research in Intellectual Disabilities</b:JournalName>
    <b:Year>2018</b:Year>
    <b:Pages>379-394.</b:Pages>
    <b:DOI>doi:10.1111/jar.12415</b:DOI>
    <b:RefOrder>13</b:RefOrder>
  </b:Source>
  <b:Source>
    <b:Tag>Pra36</b:Tag>
    <b:SourceType>JournalArticle</b:SourceType>
    <b:Guid>{F75E6874-301C-47B6-BFC3-E9BEDE519ECD}</b:Guid>
    <b:Title>A cognitive behavioural intervention for dental anxiety for people with learning disabilities: A case study</b:Title>
    <b:JournalName>British Journal of Learning Disabilities</b:JournalName>
    <b:Year>2008; 36</b:Year>
    <b:Pages>242-248</b:Pages>
    <b:Author>
      <b:Author>
        <b:NameList>
          <b:Person>
            <b:Last>Pragnell</b:Last>
            <b:First>S</b:First>
            <b:Middle>J, Green, K</b:Middle>
          </b:Person>
        </b:NameList>
      </b:Author>
    </b:Author>
    <b:DOI>doi:10.1111/j.1468-3156.2008.00510.x. </b:DOI>
    <b:RefOrder>14</b:RefOrder>
  </b:Source>
  <b:Source>
    <b:Tag>Cyn19</b:Tag>
    <b:SourceType>JournalArticle</b:SourceType>
    <b:Guid>{66E8B8E8-05CB-4300-B794-D4ECAE8D6924}</b:Guid>
    <b:Author>
      <b:Author>
        <b:NameList>
          <b:Person>
            <b:Last>N</b:Last>
            <b:First>Cynthia</b:First>
          </b:Person>
          <b:Person>
            <b:Last>L</b:Last>
            <b:First>Potter</b:First>
            <b:Middle>J</b:Middle>
          </b:Person>
          <b:Person>
            <b:Last>W</b:Last>
            <b:First>Learman</b:First>
          </b:Person>
          <b:Person>
            <b:Last>K</b:Last>
            <b:First>Learman</b:First>
          </b:Person>
        </b:NameList>
      </b:Author>
    </b:Author>
    <b:Year>2019, 44:3</b:Year>
    <b:Title>Effect of sensory adaptions for routine dental care in individuals with intellectual and developmental disabilities: A preliminary study</b:Title>
    <b:JournalName>Journal of intellectual and developmental disabilities</b:JournalName>
    <b:Pages>305-314</b:Pages>
    <b:DOI>DOI: 10.3109/13668250.2017.1409597</b:DOI>
    <b:RefOrder>15</b:RefOrder>
  </b:Source>
  <b:Source>
    <b:Tag>Wor09</b:Tag>
    <b:SourceType>ConferenceProceedings</b:SourceType>
    <b:Guid>{477AAE1F-717E-4203-A567-E96EFA62F3E1}</b:Guid>
    <b:Author>
      <b:Author>
        <b:Corporate>World Health Organisation</b:Corporate>
      </b:Author>
    </b:Author>
    <b:Title>World Health Organisation Milestones in Health Promotion Statements from Global Conferences 2009</b:Title>
    <b:Year>2009</b:Year>
    <b:RefOrder>16</b:RefOrder>
  </b:Source>
  <b:Source>
    <b:Tag>Aus20</b:Tag>
    <b:SourceType>Report</b:SourceType>
    <b:Guid>{CB833C5E-1AC2-4587-B3B6-833D77CAEC2A}</b:Guid>
    <b:Author>
      <b:Author>
        <b:Corporate>Australian Institute of Health and Welfare</b:Corporate>
      </b:Author>
    </b:Author>
    <b:Title>People with Disability</b:Title>
    <b:Year>2020</b:Year>
    <b:RefOrder>17</b:RefOrder>
  </b:Source>
  <b:Source>
    <b:Tag>Wor48</b:Tag>
    <b:SourceType>Report</b:SourceType>
    <b:Guid>{66CDD461-F778-45B3-B3A0-9C7A64D0677B}</b:Guid>
    <b:Author>
      <b:Author>
        <b:Corporate>World Health Organisation </b:Corporate>
      </b:Author>
    </b:Author>
    <b:Title>Constitution</b:Title>
    <b:Year>1948</b:Year>
    <b:RefOrder>18</b:RefOrder>
  </b:Source>
  <b:Source>
    <b:Tag>Wor86</b:Tag>
    <b:SourceType>ConferenceProceedings</b:SourceType>
    <b:Guid>{58E5851B-AD8A-409F-B0EA-BBBB5EE4D8D0}</b:Guid>
    <b:Author>
      <b:Author>
        <b:Corporate>World Health Organsiation</b:Corporate>
      </b:Author>
    </b:Author>
    <b:Title>The Ottawa Charter for Health Promotion</b:Title>
    <b:Year>1986</b:Year>
    <b:RefOrder>19</b:RefOrder>
  </b:Source>
  <b:Source>
    <b:Tag>Ban16</b:Tag>
    <b:SourceType>Report</b:SourceType>
    <b:Guid>{0DA5ACA1-74D4-4D11-BFAA-CC2BA5A823BD}</b:Guid>
    <b:Author>
      <b:Author>
        <b:NameList>
          <b:Person>
            <b:Last>Banks</b:Last>
            <b:First>Dr</b:First>
            <b:Middle>Susan</b:Middle>
          </b:Person>
        </b:NameList>
      </b:Author>
    </b:Author>
    <b:Title>Chronic Ilness and People with Disability</b:Title>
    <b:Year>2016</b:Year>
    <b:Publisher>National Disability Service</b:Publisher>
    <b:RefOrder>20</b:RefOrder>
  </b:Source>
  <b:Source>
    <b:Tag>SAX</b:Tag>
    <b:SourceType>Report</b:SourceType>
    <b:Guid>{AF643F5E-D198-457B-84A7-F29613BDF64D}</b:Guid>
    <b:Author>
      <b:Author>
        <b:Corporate>SAX Institute</b:Corporate>
      </b:Author>
    </b:Author>
    <b:Year>2020</b:Year>
    <b:Title>Interventions to prevent or reduce lifestyle risks for people with disability</b:Title>
    <b:RefOrder>21</b:RefOrder>
  </b:Source>
  <b:Source>
    <b:Tag>Fri19</b:Tag>
    <b:SourceType>JournalArticle</b:SourceType>
    <b:Guid>{6D0642D6-AB86-4423-8E1C-E0A32B754329}</b:Guid>
    <b:Author>
      <b:Author>
        <b:NameList>
          <b:Person>
            <b:Last>Friedman</b:Last>
            <b:First>C</b:First>
          </b:Person>
        </b:NameList>
      </b:Author>
    </b:Author>
    <b:Title>Self Management of health by people with intellectual and developmental disabilities</b:Title>
    <b:Year>2019</b:Year>
    <b:JournalName>Journal of Applied Research in Intellectual Disability</b:JournalName>
    <b:Pages>600-609</b:Pages>
    <b:RefOrder>22</b:RefOrder>
  </b:Source>
  <b:Source>
    <b:Tag>Hit14</b:Tag>
    <b:SourceType>JournalArticle</b:SourceType>
    <b:Guid>{23AA792F-0CA7-40E0-89DC-E58F6139C4FD}</b:Guid>
    <b:Author>
      <b:Author>
        <b:NameList>
          <b:Person>
            <b:Last>Hithersay</b:Last>
            <b:First>R</b:First>
          </b:Person>
        </b:NameList>
      </b:Author>
    </b:Author>
    <b:Title>Carer-led health interventions to monitor, promote and improve the health of adults with intellectual disabilities in the community</b:Title>
    <b:JournalName>Research in Development Disabailities 35</b:JournalName>
    <b:Year>2014</b:Year>
    <b:Pages>887-907</b:Pages>
    <b:RefOrder>23</b:RefOrder>
  </b:Source>
  <b:Source>
    <b:Tag>Koz09</b:Tag>
    <b:SourceType>JournalArticle</b:SourceType>
    <b:Guid>{3BC702FF-5C38-42E6-808A-D24053E74AA1}</b:Guid>
    <b:Author>
      <b:Author>
        <b:NameList>
          <b:Person>
            <b:Last>Kozma</b:Last>
            <b:First>A</b:First>
          </b:Person>
        </b:NameList>
      </b:Author>
    </b:Author>
    <b:Title>Outcomes in different residential settings for people with intellectual disability, a systematic review</b:Title>
    <b:JournalName>American Journal on Intellectual and Developmental Disabilities 114</b:JournalName>
    <b:Year>2009</b:Year>
    <b:Pages>193-222</b:Pages>
    <b:RefOrder>24</b:RefOrder>
  </b:Source>
  <b:Source>
    <b:Tag>Rob00</b:Tag>
    <b:SourceType>JournalArticle</b:SourceType>
    <b:Guid>{A2CE0513-F6B3-4D02-8E2A-9C0F4FAEEE83}</b:Guid>
    <b:Author>
      <b:Author>
        <b:NameList>
          <b:Person>
            <b:Last>Robertson</b:Last>
            <b:First>J</b:First>
          </b:Person>
        </b:NameList>
      </b:Author>
    </b:Author>
    <b:Title>Lifestyle related risk factors for poor health in residential care for people with intellectual disabilities</b:Title>
    <b:JournalName>Research in Developmental Disabilities 21</b:JournalName>
    <b:Year>2000</b:Year>
    <b:Pages>469-486</b:Pages>
    <b:RefOrder>25</b:RefOrder>
  </b:Source>
  <b:Source>
    <b:Tag>Tag13</b:Tag>
    <b:SourceType>Book</b:SourceType>
    <b:Guid>{76191087-63EF-4FFB-84BD-9730A72F93C3}</b:Guid>
    <b:Author>
      <b:Author>
        <b:NameList>
          <b:Person>
            <b:Last>Taggart</b:Last>
            <b:First>L</b:First>
          </b:Person>
        </b:NameList>
      </b:Author>
    </b:Author>
    <b:Title>Health Promotion for People with Intellectual and Developmental Disability</b:Title>
    <b:Year>2014</b:Year>
    <b:City>UK</b:City>
    <b:Publisher>McGraw Hill Education</b:Publisher>
    <b:RefOrder>26</b:RefOrder>
  </b:Source>
  <b:Source>
    <b:Tag>Eme05</b:Tag>
    <b:SourceType>JournalArticle</b:SourceType>
    <b:Guid>{4E54A616-4BAE-4C5C-8094-643EA23FEF20}</b:Guid>
    <b:Author>
      <b:Author>
        <b:NameList>
          <b:Person>
            <b:Last>Emerson</b:Last>
            <b:First>E</b:First>
          </b:Person>
        </b:NameList>
      </b:Author>
    </b:Author>
    <b:Title>Underweight, obesity and exercise among adults with intellectual disabilities in Northern England</b:Title>
    <b:Year>2005</b:Year>
    <b:Pages>134-143</b:Pages>
    <b:JournalName>Journal of Intellectual Disability Research</b:JournalName>
    <b:RefOrder>27</b:RefOrder>
  </b:Source>
  <b:Source>
    <b:Tag>Hin53</b:Tag>
    <b:SourceType>JournalArticle</b:SourceType>
    <b:Guid>{16054660-95A4-43E2-8D5C-676CAFD70D04}</b:Guid>
    <b:Author>
      <b:Author>
        <b:NameList>
          <b:Person>
            <b:Last>Hinton</b:Last>
            <b:First>C</b:First>
            <b:Middle>F</b:Middle>
          </b:Person>
        </b:NameList>
      </b:Author>
    </b:Author>
    <b:Title>The Guide to Community Preventive Services and Disability Inclusion</b:Title>
    <b:JournalName>The American Journal of Preventative Medicine</b:JournalName>
    <b:Year>2017</b:Year>
    <b:Pages>898-903</b:Pages>
    <b:RefOrder>28</b:RefOrder>
  </b:Source>
  <b:Source>
    <b:Tag>Tri15</b:Tag>
    <b:SourceType>JournalArticle</b:SourceType>
    <b:Guid>{0A5AEFF6-DA63-4776-A80F-ADF43A0F0713}</b:Guid>
    <b:Author>
      <b:Author>
        <b:NameList>
          <b:Person>
            <b:Last>Trip</b:Last>
            <b:First>H</b:First>
          </b:Person>
        </b:NameList>
      </b:Author>
    </b:Author>
    <b:Title>The role of key workers supporting people with intellectual disability in the self management of their diabetes;a qualitative New Zealand study</b:Title>
    <b:JournalName>Health and Social Care in the Community</b:JournalName>
    <b:Year>2015</b:Year>
    <b:RefOrder>29</b:RefOrder>
  </b:Source>
</b:Sources>
</file>

<file path=customXml/itemProps1.xml><?xml version="1.0" encoding="utf-8"?>
<ds:datastoreItem xmlns:ds="http://schemas.openxmlformats.org/officeDocument/2006/customXml" ds:itemID="{96004B4C-6467-4908-9B08-8825A177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2198</Words>
  <Characters>12529</Characters>
  <Application>Microsoft Office Word</Application>
  <DocSecurity>0</DocSecurity>
  <Lines>104</Lines>
  <Paragraphs>29</Paragraphs>
  <ScaleCrop>false</ScaleCrop>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2021-11-04T03:20:00Z</dcterms:created>
  <dcterms:modified xsi:type="dcterms:W3CDTF">2021-11-04T03:22:00Z</dcterms:modified>
  <cp:category/>
</cp:coreProperties>
</file>