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2F" w:rsidRPr="00C5672F" w:rsidRDefault="00C5672F" w:rsidP="00C5672F">
      <w:pPr>
        <w:widowControl w:val="0"/>
        <w:suppressAutoHyphens w:val="0"/>
        <w:spacing w:before="23" w:after="0" w:line="240" w:lineRule="auto"/>
        <w:ind w:right="97"/>
        <w:rPr>
          <w:rFonts w:ascii="Arial" w:eastAsia="Arial" w:hAnsi="Arial" w:cs="Arial"/>
          <w:b/>
          <w:color w:val="auto"/>
          <w:sz w:val="24"/>
          <w:szCs w:val="22"/>
          <w:lang w:val="en-US"/>
        </w:rPr>
      </w:pPr>
      <w:r w:rsidRPr="00C5672F">
        <w:rPr>
          <w:rFonts w:ascii="Arial" w:eastAsia="Arial" w:hAnsi="Arial" w:cs="Arial"/>
          <w:b/>
          <w:bCs/>
          <w:color w:val="2F2F31"/>
          <w:sz w:val="24"/>
          <w:szCs w:val="22"/>
          <w:lang w:val="en-US"/>
        </w:rPr>
        <w:t>Procedures</w:t>
      </w:r>
      <w:r w:rsidRPr="00C5672F">
        <w:rPr>
          <w:rFonts w:ascii="Arial" w:eastAsia="Arial" w:hAnsi="Arial" w:cs="Arial"/>
          <w:b/>
          <w:bCs/>
          <w:color w:val="2F2F31"/>
          <w:spacing w:val="74"/>
          <w:sz w:val="24"/>
          <w:szCs w:val="22"/>
          <w:lang w:val="en-US"/>
        </w:rPr>
        <w:t xml:space="preserve"> </w:t>
      </w:r>
      <w:r w:rsidRPr="00C5672F">
        <w:rPr>
          <w:rFonts w:ascii="Arial" w:eastAsia="Arial" w:hAnsi="Arial" w:cs="Arial"/>
          <w:b/>
          <w:bCs/>
          <w:color w:val="2F2F31"/>
          <w:sz w:val="24"/>
          <w:szCs w:val="22"/>
          <w:lang w:val="en-US"/>
        </w:rPr>
        <w:t>for</w:t>
      </w:r>
      <w:r w:rsidRPr="00C5672F">
        <w:rPr>
          <w:rFonts w:ascii="Arial" w:eastAsia="Arial" w:hAnsi="Arial" w:cs="Arial"/>
          <w:b/>
          <w:bCs/>
          <w:color w:val="2F2F31"/>
          <w:spacing w:val="47"/>
          <w:sz w:val="24"/>
          <w:szCs w:val="22"/>
          <w:lang w:val="en-US"/>
        </w:rPr>
        <w:t xml:space="preserve"> </w:t>
      </w:r>
      <w:r w:rsidRPr="00C5672F">
        <w:rPr>
          <w:rFonts w:ascii="Arial" w:eastAsia="Arial" w:hAnsi="Arial" w:cs="Arial"/>
          <w:b/>
          <w:bCs/>
          <w:color w:val="2F2F31"/>
          <w:sz w:val="24"/>
          <w:szCs w:val="22"/>
          <w:lang w:val="en-US"/>
        </w:rPr>
        <w:t>determining</w:t>
      </w:r>
      <w:r w:rsidRPr="00C5672F">
        <w:rPr>
          <w:rFonts w:ascii="Arial" w:eastAsia="Arial" w:hAnsi="Arial" w:cs="Arial"/>
          <w:b/>
          <w:bCs/>
          <w:color w:val="2F2F31"/>
          <w:spacing w:val="66"/>
          <w:sz w:val="24"/>
          <w:szCs w:val="22"/>
          <w:lang w:val="en-US"/>
        </w:rPr>
        <w:t xml:space="preserve"> </w:t>
      </w:r>
      <w:r w:rsidRPr="00C5672F">
        <w:rPr>
          <w:rFonts w:ascii="Arial" w:eastAsia="Arial" w:hAnsi="Arial" w:cs="Arial"/>
          <w:b/>
          <w:bCs/>
          <w:color w:val="2F2F31"/>
          <w:sz w:val="24"/>
          <w:szCs w:val="22"/>
          <w:lang w:val="en-US"/>
        </w:rPr>
        <w:t>breaches</w:t>
      </w:r>
      <w:r w:rsidRPr="00C5672F">
        <w:rPr>
          <w:rFonts w:ascii="Arial" w:eastAsia="Arial" w:hAnsi="Arial" w:cs="Arial"/>
          <w:b/>
          <w:bCs/>
          <w:color w:val="2F2F31"/>
          <w:spacing w:val="56"/>
          <w:sz w:val="24"/>
          <w:szCs w:val="22"/>
          <w:lang w:val="en-US"/>
        </w:rPr>
        <w:t xml:space="preserve"> </w:t>
      </w:r>
      <w:r w:rsidRPr="00C5672F">
        <w:rPr>
          <w:rFonts w:ascii="Arial" w:eastAsia="Arial" w:hAnsi="Arial" w:cs="Arial"/>
          <w:b/>
          <w:bCs/>
          <w:color w:val="2F2F31"/>
          <w:sz w:val="24"/>
          <w:szCs w:val="22"/>
          <w:lang w:val="en-US"/>
        </w:rPr>
        <w:t>of</w:t>
      </w:r>
      <w:r w:rsidRPr="00C5672F">
        <w:rPr>
          <w:rFonts w:ascii="Arial" w:eastAsia="Arial" w:hAnsi="Arial" w:cs="Arial"/>
          <w:b/>
          <w:bCs/>
          <w:color w:val="2F2F31"/>
          <w:spacing w:val="42"/>
          <w:sz w:val="24"/>
          <w:szCs w:val="22"/>
          <w:lang w:val="en-US"/>
        </w:rPr>
        <w:t xml:space="preserve"> </w:t>
      </w:r>
      <w:r w:rsidRPr="00C5672F">
        <w:rPr>
          <w:rFonts w:ascii="Arial" w:eastAsia="Arial" w:hAnsi="Arial" w:cs="Arial"/>
          <w:b/>
          <w:bCs/>
          <w:color w:val="2F2F31"/>
          <w:sz w:val="24"/>
          <w:szCs w:val="22"/>
          <w:lang w:val="en-US"/>
        </w:rPr>
        <w:t>the</w:t>
      </w:r>
      <w:r w:rsidRPr="00C5672F">
        <w:rPr>
          <w:rFonts w:ascii="Arial" w:eastAsia="Arial" w:hAnsi="Arial" w:cs="Arial"/>
          <w:b/>
          <w:bCs/>
          <w:color w:val="2F2F31"/>
          <w:spacing w:val="50"/>
          <w:sz w:val="24"/>
          <w:szCs w:val="22"/>
          <w:lang w:val="en-US"/>
        </w:rPr>
        <w:t xml:space="preserve"> </w:t>
      </w:r>
      <w:r w:rsidRPr="00C5672F">
        <w:rPr>
          <w:rFonts w:ascii="Arial" w:eastAsia="Arial" w:hAnsi="Arial" w:cs="Arial"/>
          <w:b/>
          <w:bCs/>
          <w:color w:val="2F2F31"/>
          <w:sz w:val="24"/>
          <w:szCs w:val="22"/>
          <w:lang w:val="en-US"/>
        </w:rPr>
        <w:t>Australian Public Service (APS)</w:t>
      </w:r>
      <w:r w:rsidRPr="00C5672F">
        <w:rPr>
          <w:rFonts w:ascii="Arial" w:eastAsia="Arial" w:hAnsi="Arial" w:cs="Arial"/>
          <w:b/>
          <w:bCs/>
          <w:color w:val="2F2F31"/>
          <w:spacing w:val="66"/>
          <w:sz w:val="24"/>
          <w:szCs w:val="22"/>
          <w:lang w:val="en-US"/>
        </w:rPr>
        <w:t xml:space="preserve"> </w:t>
      </w:r>
      <w:r w:rsidRPr="00C5672F">
        <w:rPr>
          <w:rFonts w:ascii="Arial" w:eastAsia="Arial" w:hAnsi="Arial" w:cs="Arial"/>
          <w:b/>
          <w:bCs/>
          <w:color w:val="2F2F31"/>
          <w:sz w:val="24"/>
          <w:szCs w:val="22"/>
          <w:lang w:val="en-US"/>
        </w:rPr>
        <w:t>Code</w:t>
      </w:r>
      <w:r w:rsidRPr="00C5672F">
        <w:rPr>
          <w:rFonts w:ascii="Arial" w:eastAsia="Arial" w:hAnsi="Arial" w:cs="Arial"/>
          <w:b/>
          <w:bCs/>
          <w:color w:val="2F2F31"/>
          <w:spacing w:val="60"/>
          <w:sz w:val="24"/>
          <w:szCs w:val="22"/>
          <w:lang w:val="en-US"/>
        </w:rPr>
        <w:t xml:space="preserve"> </w:t>
      </w:r>
      <w:r w:rsidRPr="00C5672F">
        <w:rPr>
          <w:rFonts w:ascii="Arial" w:eastAsia="Arial" w:hAnsi="Arial" w:cs="Arial"/>
          <w:b/>
          <w:bCs/>
          <w:color w:val="2F2F31"/>
          <w:sz w:val="24"/>
          <w:szCs w:val="22"/>
          <w:lang w:val="en-US"/>
        </w:rPr>
        <w:t>of Conduct</w:t>
      </w:r>
      <w:r w:rsidRPr="00C5672F">
        <w:rPr>
          <w:rFonts w:ascii="Arial" w:eastAsia="Arial" w:hAnsi="Arial" w:cs="Arial"/>
          <w:b/>
          <w:bCs/>
          <w:color w:val="2F2F31"/>
          <w:spacing w:val="13"/>
          <w:sz w:val="24"/>
          <w:szCs w:val="22"/>
          <w:lang w:val="en-US"/>
        </w:rPr>
        <w:t xml:space="preserve"> </w:t>
      </w:r>
      <w:r w:rsidRPr="00C5672F">
        <w:rPr>
          <w:rFonts w:ascii="Arial" w:eastAsia="Arial" w:hAnsi="Arial" w:cs="Arial"/>
          <w:b/>
          <w:bCs/>
          <w:color w:val="2F2F31"/>
          <w:sz w:val="24"/>
          <w:szCs w:val="22"/>
          <w:lang w:val="en-US"/>
        </w:rPr>
        <w:t>and</w:t>
      </w:r>
      <w:r w:rsidRPr="00C5672F">
        <w:rPr>
          <w:rFonts w:ascii="Arial" w:eastAsia="Arial" w:hAnsi="Arial" w:cs="Arial"/>
          <w:b/>
          <w:bCs/>
          <w:color w:val="2F2F31"/>
          <w:spacing w:val="12"/>
          <w:sz w:val="24"/>
          <w:szCs w:val="22"/>
          <w:lang w:val="en-US"/>
        </w:rPr>
        <w:t xml:space="preserve"> </w:t>
      </w:r>
      <w:r w:rsidRPr="00C5672F">
        <w:rPr>
          <w:rFonts w:ascii="Arial" w:eastAsia="Arial" w:hAnsi="Arial" w:cs="Arial"/>
          <w:b/>
          <w:bCs/>
          <w:color w:val="2F2F31"/>
          <w:sz w:val="24"/>
          <w:szCs w:val="22"/>
          <w:lang w:val="en-US"/>
        </w:rPr>
        <w:t>for</w:t>
      </w:r>
      <w:r w:rsidRPr="00C5672F">
        <w:rPr>
          <w:rFonts w:ascii="Arial" w:eastAsia="Arial" w:hAnsi="Arial" w:cs="Arial"/>
          <w:b/>
          <w:bCs/>
          <w:color w:val="2F2F31"/>
          <w:spacing w:val="10"/>
          <w:sz w:val="24"/>
          <w:szCs w:val="22"/>
          <w:lang w:val="en-US"/>
        </w:rPr>
        <w:t xml:space="preserve"> </w:t>
      </w:r>
      <w:r w:rsidRPr="00C5672F">
        <w:rPr>
          <w:rFonts w:ascii="Arial" w:eastAsia="Arial" w:hAnsi="Arial" w:cs="Arial"/>
          <w:b/>
          <w:bCs/>
          <w:color w:val="2F2F31"/>
          <w:sz w:val="24"/>
          <w:szCs w:val="22"/>
          <w:lang w:val="en-US"/>
        </w:rPr>
        <w:t>determining</w:t>
      </w:r>
      <w:r w:rsidRPr="00C5672F">
        <w:rPr>
          <w:rFonts w:ascii="Arial" w:eastAsia="Arial" w:hAnsi="Arial" w:cs="Arial"/>
          <w:b/>
          <w:bCs/>
          <w:color w:val="2F2F31"/>
          <w:spacing w:val="21"/>
          <w:sz w:val="24"/>
          <w:szCs w:val="22"/>
          <w:lang w:val="en-US"/>
        </w:rPr>
        <w:t xml:space="preserve"> </w:t>
      </w:r>
      <w:r w:rsidRPr="00C5672F">
        <w:rPr>
          <w:rFonts w:ascii="Arial" w:eastAsia="Arial" w:hAnsi="Arial" w:cs="Arial"/>
          <w:b/>
          <w:bCs/>
          <w:color w:val="444444"/>
          <w:w w:val="102"/>
          <w:sz w:val="24"/>
          <w:szCs w:val="22"/>
          <w:lang w:val="en-US"/>
        </w:rPr>
        <w:t>sanc</w:t>
      </w:r>
      <w:r w:rsidRPr="00C5672F">
        <w:rPr>
          <w:rFonts w:ascii="Arial" w:eastAsia="Arial" w:hAnsi="Arial" w:cs="Arial"/>
          <w:b/>
          <w:bCs/>
          <w:color w:val="444444"/>
          <w:spacing w:val="-1"/>
          <w:w w:val="103"/>
          <w:sz w:val="24"/>
          <w:szCs w:val="22"/>
          <w:lang w:val="en-US"/>
        </w:rPr>
        <w:t>t</w:t>
      </w:r>
      <w:r w:rsidRPr="00C5672F">
        <w:rPr>
          <w:rFonts w:ascii="Arial" w:eastAsia="Arial" w:hAnsi="Arial" w:cs="Arial"/>
          <w:b/>
          <w:bCs/>
          <w:color w:val="212121"/>
          <w:w w:val="101"/>
          <w:sz w:val="24"/>
          <w:szCs w:val="22"/>
          <w:lang w:val="en-US"/>
        </w:rPr>
        <w:t>ion</w:t>
      </w:r>
    </w:p>
    <w:p w:rsidR="00C5672F" w:rsidRPr="00C5672F" w:rsidRDefault="00C5672F" w:rsidP="00C5672F">
      <w:pPr>
        <w:widowControl w:val="0"/>
        <w:suppressAutoHyphens w:val="0"/>
        <w:spacing w:before="2" w:after="0" w:line="170" w:lineRule="exact"/>
        <w:rPr>
          <w:rFonts w:ascii="Calibri" w:eastAsia="Calibri" w:hAnsi="Calibri" w:cs="Times New Roman"/>
          <w:color w:val="auto"/>
          <w:sz w:val="28"/>
          <w:szCs w:val="28"/>
          <w:lang w:val="en-US"/>
        </w:rPr>
      </w:pPr>
    </w:p>
    <w:p w:rsidR="00C5672F" w:rsidRPr="00C5672F" w:rsidRDefault="00C5672F" w:rsidP="00C5672F">
      <w:pPr>
        <w:widowControl w:val="0"/>
        <w:suppressAutoHyphens w:val="0"/>
        <w:spacing w:before="0" w:after="0" w:line="252" w:lineRule="auto"/>
        <w:ind w:left="803" w:right="100" w:firstLine="5"/>
        <w:rPr>
          <w:rFonts w:ascii="Arial" w:eastAsia="Arial" w:hAnsi="Arial" w:cs="Arial"/>
          <w:color w:val="212121"/>
          <w:szCs w:val="18"/>
          <w:lang w:val="en-US"/>
        </w:rPr>
      </w:pPr>
    </w:p>
    <w:p w:rsidR="00C5672F" w:rsidRPr="00C5672F" w:rsidRDefault="00C5672F" w:rsidP="00C5672F">
      <w:pPr>
        <w:widowControl w:val="0"/>
        <w:suppressAutoHyphens w:val="0"/>
        <w:spacing w:before="0" w:line="276" w:lineRule="auto"/>
        <w:rPr>
          <w:rFonts w:ascii="Arial" w:eastAsia="Calibri" w:hAnsi="Arial" w:cs="Arial"/>
          <w:color w:val="auto"/>
          <w:szCs w:val="18"/>
          <w:lang w:val="en-US"/>
        </w:rPr>
      </w:pPr>
      <w:r>
        <w:rPr>
          <w:rFonts w:ascii="Arial" w:eastAsia="Calibri" w:hAnsi="Arial" w:cs="Arial"/>
          <w:color w:val="auto"/>
          <w:szCs w:val="18"/>
          <w:lang w:val="en"/>
        </w:rPr>
        <w:t xml:space="preserve">In accordance with section </w:t>
      </w:r>
      <w:r w:rsidRPr="00C5672F">
        <w:rPr>
          <w:rFonts w:ascii="Arial" w:eastAsia="Calibri" w:hAnsi="Arial" w:cs="Arial"/>
          <w:color w:val="auto"/>
          <w:szCs w:val="18"/>
          <w:lang w:val="en"/>
        </w:rPr>
        <w:t xml:space="preserve">15(3) of the </w:t>
      </w:r>
      <w:r w:rsidRPr="00C5672F">
        <w:rPr>
          <w:rFonts w:ascii="Arial" w:eastAsia="Calibri" w:hAnsi="Arial" w:cs="Arial"/>
          <w:i/>
          <w:iCs/>
          <w:color w:val="000000"/>
          <w:spacing w:val="4"/>
          <w:szCs w:val="18"/>
          <w:lang w:val="en"/>
        </w:rPr>
        <w:t>Public Service Act 1999</w:t>
      </w:r>
      <w:r w:rsidRPr="00C5672F">
        <w:rPr>
          <w:rFonts w:ascii="Arial" w:eastAsia="Calibri" w:hAnsi="Arial" w:cs="Arial"/>
          <w:color w:val="auto"/>
          <w:szCs w:val="18"/>
          <w:lang w:val="en"/>
        </w:rPr>
        <w:t xml:space="preserve"> (the Act) the NDIS Quality and Safeguards Commissioner, as the agency head of the NDIS Quality and Safeguards Commission (the Commission) has established procedures for determining whether an APS employee, or former employee, in the Commission has breached the APS Code of Conduct (the Code), and for determining sanctions. These procedures </w:t>
      </w:r>
      <w:proofErr w:type="gramStart"/>
      <w:r w:rsidRPr="00C5672F">
        <w:rPr>
          <w:rFonts w:ascii="Arial" w:eastAsia="Calibri" w:hAnsi="Arial" w:cs="Arial"/>
          <w:color w:val="auto"/>
          <w:szCs w:val="18"/>
          <w:lang w:val="en"/>
        </w:rPr>
        <w:t>are made</w:t>
      </w:r>
      <w:proofErr w:type="gramEnd"/>
      <w:r w:rsidRPr="00C5672F">
        <w:rPr>
          <w:rFonts w:ascii="Arial" w:eastAsia="Calibri" w:hAnsi="Arial" w:cs="Arial"/>
          <w:color w:val="auto"/>
          <w:szCs w:val="18"/>
          <w:lang w:val="en"/>
        </w:rPr>
        <w:t xml:space="preserve"> publicly available in accordance with s</w:t>
      </w:r>
      <w:r>
        <w:rPr>
          <w:rFonts w:ascii="Arial" w:eastAsia="Calibri" w:hAnsi="Arial" w:cs="Arial"/>
          <w:color w:val="auto"/>
          <w:szCs w:val="18"/>
          <w:lang w:val="en"/>
        </w:rPr>
        <w:t xml:space="preserve">ection </w:t>
      </w:r>
      <w:r w:rsidRPr="00C5672F">
        <w:rPr>
          <w:rFonts w:ascii="Arial" w:eastAsia="Calibri" w:hAnsi="Arial" w:cs="Arial"/>
          <w:color w:val="auto"/>
          <w:szCs w:val="18"/>
          <w:lang w:val="en"/>
        </w:rPr>
        <w:t>5(7) of the Act.</w:t>
      </w:r>
    </w:p>
    <w:p w:rsidR="00C5672F" w:rsidRPr="00C5672F" w:rsidRDefault="00C5672F" w:rsidP="00C5672F">
      <w:pPr>
        <w:widowControl w:val="0"/>
        <w:suppressAutoHyphens w:val="0"/>
        <w:spacing w:before="0" w:line="276" w:lineRule="auto"/>
        <w:rPr>
          <w:rFonts w:ascii="Arial" w:eastAsia="Calibri" w:hAnsi="Arial" w:cs="Arial"/>
          <w:color w:val="auto"/>
          <w:szCs w:val="18"/>
          <w:lang w:val="en-US"/>
        </w:rPr>
      </w:pPr>
      <w:r w:rsidRPr="00C5672F">
        <w:rPr>
          <w:rFonts w:ascii="Arial" w:eastAsia="Calibri" w:hAnsi="Arial" w:cs="Arial"/>
          <w:color w:val="auto"/>
          <w:szCs w:val="18"/>
          <w:lang w:val="en-US"/>
        </w:rPr>
        <w:t xml:space="preserve">I, </w:t>
      </w:r>
      <w:r w:rsidRPr="00C5672F">
        <w:rPr>
          <w:rFonts w:ascii="Arial" w:eastAsia="Calibri" w:hAnsi="Arial" w:cs="Arial"/>
          <w:b/>
          <w:color w:val="auto"/>
          <w:szCs w:val="18"/>
          <w:lang w:val="en-US"/>
        </w:rPr>
        <w:t>Graeme Head</w:t>
      </w:r>
      <w:r w:rsidRPr="00C5672F">
        <w:rPr>
          <w:rFonts w:ascii="Arial" w:eastAsia="Calibri" w:hAnsi="Arial" w:cs="Arial"/>
          <w:color w:val="auto"/>
          <w:szCs w:val="18"/>
          <w:lang w:val="en-US"/>
        </w:rPr>
        <w:t xml:space="preserve">, as Agency Head of the NDIS Quality and Safeguards Commission, establish these procedures under subsection 15 (3) of the </w:t>
      </w:r>
      <w:r w:rsidRPr="00C5672F">
        <w:rPr>
          <w:rFonts w:ascii="Arial" w:eastAsia="Calibri" w:hAnsi="Arial" w:cs="Arial"/>
          <w:i/>
          <w:color w:val="auto"/>
          <w:szCs w:val="18"/>
          <w:lang w:val="en-US"/>
        </w:rPr>
        <w:t>Public Service Act 1999</w:t>
      </w:r>
      <w:r w:rsidRPr="00C5672F">
        <w:rPr>
          <w:rFonts w:ascii="Arial" w:eastAsia="Calibri" w:hAnsi="Arial" w:cs="Arial"/>
          <w:color w:val="auto"/>
          <w:szCs w:val="18"/>
          <w:lang w:val="en-US"/>
        </w:rPr>
        <w:t>.</w:t>
      </w:r>
    </w:p>
    <w:p w:rsidR="00C5672F" w:rsidRDefault="00C5672F" w:rsidP="00C5672F">
      <w:pPr>
        <w:widowControl w:val="0"/>
        <w:suppressAutoHyphens w:val="0"/>
        <w:spacing w:before="0" w:line="276" w:lineRule="auto"/>
        <w:rPr>
          <w:rFonts w:ascii="Arial" w:eastAsia="Calibri" w:hAnsi="Arial" w:cs="Arial"/>
          <w:color w:val="auto"/>
          <w:szCs w:val="18"/>
          <w:lang w:val="en-US"/>
        </w:rPr>
      </w:pPr>
      <w:r w:rsidRPr="00C5672F">
        <w:rPr>
          <w:rFonts w:ascii="Arial" w:eastAsia="Calibri" w:hAnsi="Arial" w:cs="Arial"/>
          <w:color w:val="auto"/>
          <w:szCs w:val="18"/>
          <w:lang w:val="en-US"/>
        </w:rPr>
        <w:t xml:space="preserve">These procedures commence on the date signed. </w:t>
      </w:r>
    </w:p>
    <w:p w:rsidR="007C489A" w:rsidRDefault="007C489A" w:rsidP="00C5672F">
      <w:pPr>
        <w:widowControl w:val="0"/>
        <w:suppressAutoHyphens w:val="0"/>
        <w:spacing w:before="0" w:line="276" w:lineRule="auto"/>
        <w:rPr>
          <w:rFonts w:ascii="Arial" w:eastAsia="Calibri" w:hAnsi="Arial" w:cs="Arial"/>
          <w:color w:val="auto"/>
          <w:szCs w:val="18"/>
          <w:lang w:val="en-US"/>
        </w:rPr>
      </w:pPr>
    </w:p>
    <w:p w:rsidR="00C5672F" w:rsidRPr="00C5672F" w:rsidRDefault="00C5672F" w:rsidP="00C5672F">
      <w:pPr>
        <w:widowControl w:val="0"/>
        <w:suppressAutoHyphens w:val="0"/>
        <w:spacing w:before="0" w:after="0" w:line="240" w:lineRule="auto"/>
        <w:ind w:firstLine="709"/>
        <w:rPr>
          <w:rFonts w:ascii="Calibri" w:eastAsia="Calibri" w:hAnsi="Calibri" w:cs="Times New Roman"/>
          <w:b/>
          <w:color w:val="auto"/>
          <w:sz w:val="20"/>
          <w:lang w:val="en-US"/>
        </w:rPr>
      </w:pPr>
    </w:p>
    <w:p w:rsidR="00C5672F" w:rsidRPr="00C5672F" w:rsidRDefault="00C5672F" w:rsidP="00C5672F">
      <w:pPr>
        <w:widowControl w:val="0"/>
        <w:suppressAutoHyphens w:val="0"/>
        <w:spacing w:before="0" w:after="0" w:line="240" w:lineRule="auto"/>
        <w:rPr>
          <w:rFonts w:ascii="Arial" w:eastAsia="Calibri" w:hAnsi="Arial" w:cs="Arial"/>
          <w:b/>
          <w:color w:val="auto"/>
          <w:szCs w:val="18"/>
          <w:lang w:val="en-US"/>
        </w:rPr>
      </w:pPr>
      <w:r w:rsidRPr="00C5672F">
        <w:rPr>
          <w:rFonts w:ascii="Arial" w:eastAsia="Calibri" w:hAnsi="Arial" w:cs="Arial"/>
          <w:b/>
          <w:color w:val="auto"/>
          <w:szCs w:val="18"/>
          <w:lang w:val="en-US"/>
        </w:rPr>
        <w:t>Graeme Head</w:t>
      </w:r>
    </w:p>
    <w:p w:rsidR="00C5672F" w:rsidRPr="00C5672F" w:rsidRDefault="00C5672F" w:rsidP="00C5672F">
      <w:pPr>
        <w:widowControl w:val="0"/>
        <w:suppressAutoHyphens w:val="0"/>
        <w:spacing w:before="0" w:after="0" w:line="240" w:lineRule="auto"/>
        <w:rPr>
          <w:rFonts w:ascii="Arial" w:eastAsia="Calibri" w:hAnsi="Arial" w:cs="Arial"/>
          <w:b/>
          <w:color w:val="auto"/>
          <w:szCs w:val="18"/>
          <w:lang w:val="en-US"/>
        </w:rPr>
      </w:pPr>
      <w:r w:rsidRPr="00C5672F">
        <w:rPr>
          <w:rFonts w:ascii="Arial" w:eastAsia="Calibri" w:hAnsi="Arial" w:cs="Arial"/>
          <w:b/>
          <w:color w:val="auto"/>
          <w:szCs w:val="18"/>
          <w:lang w:val="en-US"/>
        </w:rPr>
        <w:t>NDIS Commissioner</w:t>
      </w:r>
    </w:p>
    <w:p w:rsidR="00C5672F" w:rsidRPr="00C5672F" w:rsidRDefault="00C5672F" w:rsidP="00C5672F">
      <w:pPr>
        <w:widowControl w:val="0"/>
        <w:suppressAutoHyphens w:val="0"/>
        <w:spacing w:before="0" w:after="0" w:line="240" w:lineRule="auto"/>
        <w:rPr>
          <w:rFonts w:ascii="Calibri" w:eastAsia="Calibri" w:hAnsi="Calibri" w:cs="Times New Roman"/>
          <w:b/>
          <w:color w:val="auto"/>
          <w:sz w:val="20"/>
          <w:lang w:val="en-US"/>
        </w:rPr>
      </w:pPr>
    </w:p>
    <w:p w:rsidR="00C5672F" w:rsidRPr="00C5672F" w:rsidRDefault="00C5672F" w:rsidP="00C5672F">
      <w:pPr>
        <w:widowControl w:val="0"/>
        <w:suppressAutoHyphens w:val="0"/>
        <w:spacing w:before="0" w:after="0" w:line="240" w:lineRule="auto"/>
        <w:rPr>
          <w:rFonts w:ascii="Arial" w:eastAsia="Calibri" w:hAnsi="Arial" w:cs="Arial"/>
          <w:color w:val="auto"/>
          <w:szCs w:val="18"/>
          <w:lang w:val="en-US"/>
        </w:rPr>
      </w:pPr>
      <w:r w:rsidRPr="00C5672F">
        <w:rPr>
          <w:rFonts w:ascii="Arial" w:eastAsia="Calibri" w:hAnsi="Arial" w:cs="Arial"/>
          <w:color w:val="auto"/>
          <w:szCs w:val="18"/>
          <w:lang w:val="en-US"/>
        </w:rPr>
        <w:t>Dated this                                                 day of November 2018</w:t>
      </w:r>
    </w:p>
    <w:p w:rsidR="00C5672F" w:rsidRPr="00C5672F" w:rsidRDefault="00C5672F" w:rsidP="00C5672F">
      <w:pPr>
        <w:widowControl w:val="0"/>
        <w:suppressAutoHyphens w:val="0"/>
        <w:spacing w:before="0" w:line="276" w:lineRule="auto"/>
        <w:rPr>
          <w:rFonts w:ascii="Arial" w:eastAsia="Calibri" w:hAnsi="Arial" w:cs="Arial"/>
          <w:color w:val="auto"/>
          <w:szCs w:val="18"/>
          <w:lang w:val="en-US"/>
        </w:rPr>
      </w:pPr>
    </w:p>
    <w:p w:rsidR="00C5672F" w:rsidRPr="00C5672F" w:rsidRDefault="00C5672F" w:rsidP="00C5672F">
      <w:pPr>
        <w:widowControl w:val="0"/>
        <w:suppressAutoHyphens w:val="0"/>
        <w:spacing w:before="0" w:after="120" w:line="242" w:lineRule="auto"/>
        <w:ind w:left="426" w:right="79" w:hanging="426"/>
        <w:rPr>
          <w:rFonts w:ascii="Arial" w:eastAsia="Calibri" w:hAnsi="Arial" w:cs="Arial"/>
          <w:b/>
          <w:color w:val="auto"/>
          <w:szCs w:val="18"/>
          <w:lang w:val="en-US"/>
        </w:rPr>
      </w:pPr>
      <w:r w:rsidRPr="00C5672F">
        <w:rPr>
          <w:rFonts w:ascii="Arial" w:eastAsia="Calibri" w:hAnsi="Arial" w:cs="Arial"/>
          <w:b/>
          <w:color w:val="auto"/>
          <w:szCs w:val="18"/>
          <w:lang w:val="en-US"/>
        </w:rPr>
        <w:t>Application of procedures</w:t>
      </w:r>
    </w:p>
    <w:p w:rsidR="00C5672F" w:rsidRDefault="00C5672F" w:rsidP="00887526">
      <w:pPr>
        <w:widowControl w:val="0"/>
        <w:numPr>
          <w:ilvl w:val="0"/>
          <w:numId w:val="38"/>
        </w:numPr>
        <w:suppressAutoHyphens w:val="0"/>
        <w:spacing w:before="120" w:after="120" w:line="247" w:lineRule="auto"/>
        <w:ind w:left="426" w:right="85" w:hanging="284"/>
        <w:contextualSpacing/>
        <w:rPr>
          <w:rFonts w:ascii="Arial" w:eastAsia="Calibri" w:hAnsi="Arial" w:cs="Arial"/>
          <w:color w:val="auto"/>
          <w:szCs w:val="18"/>
          <w:lang w:val="en"/>
        </w:rPr>
      </w:pPr>
      <w:r w:rsidRPr="00C5672F">
        <w:rPr>
          <w:rFonts w:ascii="Arial" w:eastAsia="Calibri" w:hAnsi="Arial" w:cs="Arial"/>
          <w:color w:val="auto"/>
          <w:szCs w:val="18"/>
          <w:lang w:val="en"/>
        </w:rPr>
        <w:t>These procedures apply in determining:</w:t>
      </w:r>
    </w:p>
    <w:p w:rsidR="00887526" w:rsidRPr="00C5672F" w:rsidRDefault="00887526" w:rsidP="00887526">
      <w:pPr>
        <w:widowControl w:val="0"/>
        <w:suppressAutoHyphens w:val="0"/>
        <w:spacing w:before="120" w:after="120" w:line="247" w:lineRule="auto"/>
        <w:ind w:left="142" w:right="85"/>
        <w:contextualSpacing/>
        <w:rPr>
          <w:rFonts w:ascii="Arial" w:eastAsia="Calibri" w:hAnsi="Arial" w:cs="Arial"/>
          <w:color w:val="auto"/>
          <w:szCs w:val="18"/>
          <w:lang w:val="en"/>
        </w:rPr>
      </w:pPr>
    </w:p>
    <w:p w:rsidR="00C5672F" w:rsidRDefault="00C5672F" w:rsidP="00887526">
      <w:pPr>
        <w:widowControl w:val="0"/>
        <w:numPr>
          <w:ilvl w:val="0"/>
          <w:numId w:val="37"/>
        </w:numPr>
        <w:suppressAutoHyphens w:val="0"/>
        <w:spacing w:before="120" w:after="120" w:line="247" w:lineRule="auto"/>
        <w:ind w:left="993" w:right="85" w:hanging="426"/>
        <w:contextualSpacing/>
        <w:rPr>
          <w:rFonts w:ascii="Arial" w:eastAsia="Calibri" w:hAnsi="Arial" w:cs="Arial"/>
          <w:color w:val="auto"/>
          <w:szCs w:val="18"/>
          <w:lang w:val="en"/>
        </w:rPr>
      </w:pPr>
      <w:proofErr w:type="gramStart"/>
      <w:r w:rsidRPr="00C5672F">
        <w:rPr>
          <w:rFonts w:ascii="Arial" w:eastAsia="Calibri" w:hAnsi="Arial" w:cs="Arial"/>
          <w:color w:val="auto"/>
          <w:szCs w:val="18"/>
          <w:lang w:val="en"/>
        </w:rPr>
        <w:t>whether</w:t>
      </w:r>
      <w:proofErr w:type="gramEnd"/>
      <w:r w:rsidRPr="00C5672F">
        <w:rPr>
          <w:rFonts w:ascii="Arial" w:eastAsia="Calibri" w:hAnsi="Arial" w:cs="Arial"/>
          <w:color w:val="auto"/>
          <w:szCs w:val="18"/>
          <w:lang w:val="en"/>
        </w:rPr>
        <w:t xml:space="preserve"> a person who is an Australian Public Service (APS) employee in the Commission, or who is a former APS employee who was employed in the Commission at the time of the suspected misconduct, has breached the APS Code of Conduct in section 13 of the Act.</w:t>
      </w:r>
    </w:p>
    <w:p w:rsidR="00887526" w:rsidRPr="00C5672F" w:rsidRDefault="00887526" w:rsidP="00887526">
      <w:pPr>
        <w:widowControl w:val="0"/>
        <w:suppressAutoHyphens w:val="0"/>
        <w:spacing w:before="120" w:after="120" w:line="247" w:lineRule="auto"/>
        <w:ind w:left="567" w:right="85"/>
        <w:contextualSpacing/>
        <w:rPr>
          <w:rFonts w:ascii="Arial" w:eastAsia="Calibri" w:hAnsi="Arial" w:cs="Arial"/>
          <w:color w:val="auto"/>
          <w:szCs w:val="18"/>
          <w:lang w:val="en"/>
        </w:rPr>
      </w:pPr>
    </w:p>
    <w:p w:rsidR="00C5672F" w:rsidRPr="00C5672F" w:rsidRDefault="00C5672F" w:rsidP="00887526">
      <w:pPr>
        <w:widowControl w:val="0"/>
        <w:numPr>
          <w:ilvl w:val="0"/>
          <w:numId w:val="37"/>
        </w:numPr>
        <w:suppressAutoHyphens w:val="0"/>
        <w:spacing w:before="120" w:after="120" w:line="247" w:lineRule="auto"/>
        <w:ind w:left="993" w:right="85" w:hanging="426"/>
        <w:contextualSpacing/>
        <w:rPr>
          <w:rFonts w:ascii="Arial" w:eastAsia="Calibri" w:hAnsi="Arial" w:cs="Arial"/>
          <w:color w:val="auto"/>
          <w:szCs w:val="18"/>
          <w:lang w:val="en"/>
        </w:rPr>
      </w:pPr>
      <w:r w:rsidRPr="00C5672F">
        <w:rPr>
          <w:rFonts w:ascii="Arial" w:eastAsia="Calibri" w:hAnsi="Arial" w:cs="Arial"/>
          <w:color w:val="auto"/>
          <w:szCs w:val="18"/>
          <w:lang w:val="en"/>
        </w:rPr>
        <w:t xml:space="preserve">Any sanction to be imposed on an APS employee in the Commission who has been found under these procedures to </w:t>
      </w:r>
      <w:proofErr w:type="gramStart"/>
      <w:r w:rsidRPr="00C5672F">
        <w:rPr>
          <w:rFonts w:ascii="Arial" w:eastAsia="Calibri" w:hAnsi="Arial" w:cs="Arial"/>
          <w:color w:val="auto"/>
          <w:szCs w:val="18"/>
          <w:lang w:val="en"/>
        </w:rPr>
        <w:t>have breached</w:t>
      </w:r>
      <w:proofErr w:type="gramEnd"/>
      <w:r w:rsidRPr="00C5672F">
        <w:rPr>
          <w:rFonts w:ascii="Arial" w:eastAsia="Calibri" w:hAnsi="Arial" w:cs="Arial"/>
          <w:color w:val="auto"/>
          <w:szCs w:val="18"/>
          <w:lang w:val="en"/>
        </w:rPr>
        <w:t xml:space="preserve"> the Code.</w:t>
      </w:r>
    </w:p>
    <w:p w:rsidR="00C5672F" w:rsidRPr="00C5672F" w:rsidRDefault="00C5672F" w:rsidP="00C5672F">
      <w:pPr>
        <w:widowControl w:val="0"/>
        <w:suppressAutoHyphens w:val="0"/>
        <w:spacing w:before="0" w:line="276" w:lineRule="auto"/>
        <w:ind w:left="426"/>
        <w:contextualSpacing/>
        <w:rPr>
          <w:rFonts w:ascii="Arial" w:eastAsia="Calibri" w:hAnsi="Arial" w:cs="Arial"/>
          <w:color w:val="auto"/>
          <w:szCs w:val="18"/>
          <w:lang w:val="en"/>
        </w:rPr>
      </w:pPr>
    </w:p>
    <w:p w:rsidR="00C5672F" w:rsidRDefault="00C5672F" w:rsidP="00C5672F">
      <w:pPr>
        <w:widowControl w:val="0"/>
        <w:numPr>
          <w:ilvl w:val="0"/>
          <w:numId w:val="38"/>
        </w:numPr>
        <w:suppressAutoHyphens w:val="0"/>
        <w:spacing w:before="0" w:after="0" w:line="248" w:lineRule="auto"/>
        <w:ind w:left="426" w:right="84" w:hanging="284"/>
        <w:contextualSpacing/>
        <w:rPr>
          <w:rFonts w:ascii="Arial" w:eastAsia="Calibri" w:hAnsi="Arial" w:cs="Arial"/>
          <w:color w:val="auto"/>
          <w:szCs w:val="18"/>
          <w:lang w:val="en"/>
        </w:rPr>
      </w:pPr>
      <w:r w:rsidRPr="00C5672F">
        <w:rPr>
          <w:rFonts w:ascii="Arial" w:eastAsia="Calibri" w:hAnsi="Arial" w:cs="Arial"/>
          <w:color w:val="auto"/>
          <w:szCs w:val="18"/>
          <w:lang w:val="en"/>
        </w:rPr>
        <w:t>In these procedures, a reference to a breach of the Code by a person includes a reference to a person engaging in conduct set out in subsection 15(2A) of the Act in connection with their engagement as an APS employee.</w:t>
      </w:r>
    </w:p>
    <w:p w:rsidR="00887526" w:rsidRPr="00C5672F" w:rsidRDefault="00887526" w:rsidP="00887526">
      <w:pPr>
        <w:widowControl w:val="0"/>
        <w:suppressAutoHyphens w:val="0"/>
        <w:spacing w:before="0" w:after="0" w:line="248" w:lineRule="auto"/>
        <w:ind w:right="84"/>
        <w:contextualSpacing/>
        <w:rPr>
          <w:rFonts w:ascii="Arial" w:eastAsia="Calibri" w:hAnsi="Arial" w:cs="Arial"/>
          <w:b/>
          <w:color w:val="auto"/>
          <w:szCs w:val="18"/>
          <w:lang w:val="en-US"/>
        </w:rPr>
      </w:pPr>
    </w:p>
    <w:p w:rsidR="00887526" w:rsidRPr="00887526" w:rsidRDefault="00887526" w:rsidP="00887526">
      <w:pPr>
        <w:widowControl w:val="0"/>
        <w:suppressAutoHyphens w:val="0"/>
        <w:spacing w:before="0" w:after="120" w:line="242" w:lineRule="auto"/>
        <w:ind w:left="426" w:right="79" w:hanging="426"/>
        <w:rPr>
          <w:rFonts w:ascii="Arial" w:eastAsia="Calibri" w:hAnsi="Arial" w:cs="Arial"/>
          <w:b/>
          <w:color w:val="auto"/>
          <w:szCs w:val="18"/>
          <w:lang w:val="en-US"/>
        </w:rPr>
      </w:pPr>
      <w:r w:rsidRPr="00887526">
        <w:rPr>
          <w:rFonts w:ascii="Arial" w:eastAsia="Calibri" w:hAnsi="Arial" w:cs="Arial"/>
          <w:b/>
          <w:color w:val="auto"/>
          <w:szCs w:val="18"/>
          <w:lang w:val="en-US"/>
        </w:rPr>
        <w:t>Breach decision-maker and sanction delegate</w:t>
      </w:r>
    </w:p>
    <w:p w:rsidR="00887526" w:rsidRPr="00887526" w:rsidRDefault="00887526" w:rsidP="00887526">
      <w:pPr>
        <w:widowControl w:val="0"/>
        <w:numPr>
          <w:ilvl w:val="0"/>
          <w:numId w:val="38"/>
        </w:numPr>
        <w:suppressAutoHyphens w:val="0"/>
        <w:spacing w:before="0" w:after="0" w:line="248" w:lineRule="auto"/>
        <w:ind w:left="426" w:right="84" w:hanging="284"/>
        <w:contextualSpacing/>
        <w:rPr>
          <w:rFonts w:ascii="Arial" w:eastAsia="Calibri" w:hAnsi="Arial" w:cs="Arial"/>
          <w:color w:val="auto"/>
          <w:szCs w:val="18"/>
          <w:lang w:val="en"/>
        </w:rPr>
      </w:pPr>
      <w:r w:rsidRPr="00887526">
        <w:rPr>
          <w:rFonts w:ascii="Arial" w:eastAsia="Calibri" w:hAnsi="Arial" w:cs="Arial"/>
          <w:color w:val="auto"/>
          <w:szCs w:val="18"/>
          <w:lang w:val="en"/>
        </w:rPr>
        <w:t>As soon as practicable after a suspected breach of the Code has been identified and the Commissioner or one of the following employees:</w:t>
      </w:r>
    </w:p>
    <w:p w:rsidR="00887526" w:rsidRPr="00887526" w:rsidRDefault="00887526" w:rsidP="00887526">
      <w:pPr>
        <w:widowControl w:val="0"/>
        <w:suppressAutoHyphens w:val="0"/>
        <w:spacing w:before="3" w:after="0" w:line="240" w:lineRule="auto"/>
        <w:ind w:right="-20"/>
        <w:rPr>
          <w:rFonts w:ascii="Arial" w:eastAsia="Calibri" w:hAnsi="Arial" w:cs="Arial"/>
          <w:color w:val="auto"/>
          <w:szCs w:val="18"/>
          <w:lang w:val="en"/>
        </w:rPr>
      </w:pPr>
    </w:p>
    <w:p w:rsidR="00887526" w:rsidRPr="00887526" w:rsidRDefault="00887526" w:rsidP="00887526">
      <w:pPr>
        <w:widowControl w:val="0"/>
        <w:numPr>
          <w:ilvl w:val="0"/>
          <w:numId w:val="39"/>
        </w:numPr>
        <w:suppressAutoHyphens w:val="0"/>
        <w:spacing w:before="3" w:after="0" w:line="240" w:lineRule="auto"/>
        <w:ind w:left="426" w:right="-20" w:firstLine="425"/>
        <w:contextualSpacing/>
        <w:rPr>
          <w:rFonts w:ascii="Arial" w:eastAsia="Calibri" w:hAnsi="Arial" w:cs="Arial"/>
          <w:color w:val="auto"/>
          <w:szCs w:val="18"/>
          <w:lang w:val="en"/>
        </w:rPr>
      </w:pPr>
      <w:r w:rsidRPr="00887526">
        <w:rPr>
          <w:rFonts w:ascii="Arial" w:eastAsia="Calibri" w:hAnsi="Arial" w:cs="Arial"/>
          <w:color w:val="auto"/>
          <w:szCs w:val="18"/>
          <w:lang w:val="en"/>
        </w:rPr>
        <w:t>the Chief Operating Officer</w:t>
      </w:r>
    </w:p>
    <w:p w:rsidR="00887526" w:rsidRDefault="00887526" w:rsidP="00887526">
      <w:pPr>
        <w:widowControl w:val="0"/>
        <w:numPr>
          <w:ilvl w:val="0"/>
          <w:numId w:val="39"/>
        </w:numPr>
        <w:suppressAutoHyphens w:val="0"/>
        <w:spacing w:before="3" w:after="0" w:line="240" w:lineRule="auto"/>
        <w:ind w:left="426" w:right="-20" w:firstLine="425"/>
        <w:contextualSpacing/>
        <w:rPr>
          <w:rFonts w:ascii="Arial" w:eastAsia="Calibri" w:hAnsi="Arial" w:cs="Arial"/>
          <w:color w:val="auto"/>
          <w:szCs w:val="18"/>
          <w:lang w:val="en"/>
        </w:rPr>
      </w:pPr>
      <w:r w:rsidRPr="00887526">
        <w:rPr>
          <w:rFonts w:ascii="Arial" w:eastAsia="Calibri" w:hAnsi="Arial" w:cs="Arial"/>
          <w:color w:val="auto"/>
          <w:szCs w:val="18"/>
          <w:lang w:val="en"/>
        </w:rPr>
        <w:t>the Director, Human Resources</w:t>
      </w:r>
    </w:p>
    <w:p w:rsidR="00887526" w:rsidRDefault="00887526" w:rsidP="00887526">
      <w:pPr>
        <w:widowControl w:val="0"/>
        <w:suppressAutoHyphens w:val="0"/>
        <w:spacing w:before="3" w:after="0" w:line="240" w:lineRule="auto"/>
        <w:ind w:right="-20"/>
        <w:contextualSpacing/>
        <w:rPr>
          <w:rFonts w:ascii="Arial" w:eastAsia="Calibri" w:hAnsi="Arial" w:cs="Arial"/>
          <w:color w:val="auto"/>
          <w:szCs w:val="18"/>
          <w:lang w:val="en"/>
        </w:rPr>
      </w:pPr>
    </w:p>
    <w:p w:rsidR="00887526" w:rsidRDefault="00887526" w:rsidP="00887526">
      <w:pPr>
        <w:widowControl w:val="0"/>
        <w:suppressAutoHyphens w:val="0"/>
        <w:spacing w:before="0" w:after="0" w:line="250" w:lineRule="auto"/>
        <w:ind w:right="98"/>
        <w:rPr>
          <w:rFonts w:ascii="Arial" w:eastAsia="Calibri" w:hAnsi="Arial" w:cs="Arial"/>
          <w:color w:val="auto"/>
          <w:szCs w:val="18"/>
          <w:lang w:val="en"/>
        </w:rPr>
      </w:pPr>
      <w:proofErr w:type="gramStart"/>
      <w:r w:rsidRPr="00887526">
        <w:rPr>
          <w:rFonts w:ascii="Arial" w:eastAsia="Calibri" w:hAnsi="Arial" w:cs="Arial"/>
          <w:color w:val="auto"/>
          <w:szCs w:val="18"/>
          <w:lang w:val="en"/>
        </w:rPr>
        <w:lastRenderedPageBreak/>
        <w:t>has</w:t>
      </w:r>
      <w:proofErr w:type="gramEnd"/>
      <w:r w:rsidRPr="00887526">
        <w:rPr>
          <w:rFonts w:ascii="Arial" w:eastAsia="Calibri" w:hAnsi="Arial" w:cs="Arial"/>
          <w:color w:val="auto"/>
          <w:szCs w:val="18"/>
          <w:lang w:val="en"/>
        </w:rPr>
        <w:t xml:space="preserve"> decided to deal with the suspected breach under these procedures, the Commissioner or that employee will appoint a decision maker to make a determination under these procedures.</w:t>
      </w:r>
    </w:p>
    <w:p w:rsidR="00887526" w:rsidRDefault="00887526" w:rsidP="00887526">
      <w:pPr>
        <w:widowControl w:val="0"/>
        <w:suppressAutoHyphens w:val="0"/>
        <w:spacing w:before="0" w:after="0" w:line="250" w:lineRule="auto"/>
        <w:ind w:right="98"/>
        <w:rPr>
          <w:rFonts w:ascii="Arial" w:eastAsia="Calibri" w:hAnsi="Arial" w:cs="Arial"/>
          <w:color w:val="auto"/>
          <w:szCs w:val="18"/>
          <w:lang w:val="en"/>
        </w:rPr>
      </w:pPr>
    </w:p>
    <w:p w:rsidR="00887526" w:rsidRPr="00887526" w:rsidRDefault="00887526" w:rsidP="00887526">
      <w:pPr>
        <w:widowControl w:val="0"/>
        <w:numPr>
          <w:ilvl w:val="0"/>
          <w:numId w:val="38"/>
        </w:numPr>
        <w:suppressAutoHyphens w:val="0"/>
        <w:spacing w:before="0" w:after="0" w:line="248" w:lineRule="auto"/>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The role of the breach decision maker is to determine in writing whether a breach of the                     Code has occurred.</w:t>
      </w:r>
    </w:p>
    <w:p w:rsidR="00887526" w:rsidRPr="00887526" w:rsidRDefault="00887526" w:rsidP="00887526">
      <w:pPr>
        <w:widowControl w:val="0"/>
        <w:suppressAutoHyphens w:val="0"/>
        <w:spacing w:before="0" w:after="0" w:line="248" w:lineRule="auto"/>
        <w:ind w:left="426" w:right="84"/>
        <w:rPr>
          <w:rFonts w:ascii="Arial" w:eastAsia="Calibri" w:hAnsi="Arial" w:cs="Arial"/>
          <w:color w:val="auto"/>
          <w:szCs w:val="18"/>
          <w:lang w:val="en"/>
        </w:rPr>
      </w:pPr>
    </w:p>
    <w:p w:rsidR="00887526" w:rsidRPr="00887526" w:rsidRDefault="00887526" w:rsidP="00887526">
      <w:pPr>
        <w:widowControl w:val="0"/>
        <w:numPr>
          <w:ilvl w:val="0"/>
          <w:numId w:val="38"/>
        </w:numPr>
        <w:suppressAutoHyphens w:val="0"/>
        <w:spacing w:before="0" w:after="0" w:line="248" w:lineRule="auto"/>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Nothing prevents the Commissioner or the above employees from appointing themselves as the breach decision maker.</w:t>
      </w:r>
    </w:p>
    <w:p w:rsidR="00887526" w:rsidRPr="00887526" w:rsidRDefault="00887526" w:rsidP="00887526">
      <w:pPr>
        <w:widowControl w:val="0"/>
        <w:suppressAutoHyphens w:val="0"/>
        <w:spacing w:before="0" w:after="0" w:line="248" w:lineRule="auto"/>
        <w:ind w:left="426" w:right="84"/>
        <w:contextualSpacing/>
        <w:rPr>
          <w:rFonts w:ascii="Arial" w:eastAsia="Calibri" w:hAnsi="Arial" w:cs="Arial"/>
          <w:color w:val="auto"/>
          <w:szCs w:val="18"/>
          <w:lang w:val="en"/>
        </w:rPr>
      </w:pPr>
    </w:p>
    <w:p w:rsidR="00887526" w:rsidRPr="00887526" w:rsidRDefault="00887526" w:rsidP="00887526">
      <w:pPr>
        <w:widowControl w:val="0"/>
        <w:numPr>
          <w:ilvl w:val="0"/>
          <w:numId w:val="38"/>
        </w:numPr>
        <w:suppressAutoHyphens w:val="0"/>
        <w:spacing w:before="0" w:after="0" w:line="248" w:lineRule="auto"/>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The breach decision maker undertake the investigation, or seek the assistance of an investigator. The investigator may investigate the alleged breach, gather evidence and make a report of recommended findings of fact to the breach decision-maker.</w:t>
      </w:r>
    </w:p>
    <w:p w:rsidR="00887526" w:rsidRPr="00887526" w:rsidRDefault="00887526" w:rsidP="00887526">
      <w:pPr>
        <w:widowControl w:val="0"/>
        <w:suppressAutoHyphens w:val="0"/>
        <w:spacing w:before="0" w:after="0" w:line="250" w:lineRule="auto"/>
        <w:ind w:left="426" w:right="86"/>
        <w:rPr>
          <w:rFonts w:ascii="Arial" w:eastAsia="Calibri" w:hAnsi="Arial" w:cs="Arial"/>
          <w:color w:val="auto"/>
          <w:szCs w:val="18"/>
          <w:lang w:val="en"/>
        </w:rPr>
      </w:pPr>
    </w:p>
    <w:p w:rsidR="00887526" w:rsidRPr="00887526" w:rsidRDefault="00887526" w:rsidP="00887526">
      <w:pPr>
        <w:widowControl w:val="0"/>
        <w:numPr>
          <w:ilvl w:val="0"/>
          <w:numId w:val="38"/>
        </w:numPr>
        <w:suppressAutoHyphens w:val="0"/>
        <w:spacing w:before="0" w:after="0" w:line="248" w:lineRule="auto"/>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 xml:space="preserve">The person who is to decide what, if any, sanction is to </w:t>
      </w:r>
      <w:proofErr w:type="gramStart"/>
      <w:r w:rsidRPr="00887526">
        <w:rPr>
          <w:rFonts w:ascii="Arial" w:eastAsia="Calibri" w:hAnsi="Arial" w:cs="Arial"/>
          <w:color w:val="auto"/>
          <w:szCs w:val="18"/>
          <w:lang w:val="en"/>
        </w:rPr>
        <w:t>be imposed</w:t>
      </w:r>
      <w:proofErr w:type="gramEnd"/>
      <w:r w:rsidRPr="00887526">
        <w:rPr>
          <w:rFonts w:ascii="Arial" w:eastAsia="Calibri" w:hAnsi="Arial" w:cs="Arial"/>
          <w:color w:val="auto"/>
          <w:szCs w:val="18"/>
          <w:lang w:val="en"/>
        </w:rPr>
        <w:t xml:space="preserve"> on an APS employee who is found to have breached the Code will be a person who holds a delegation of the powers under the Act to impose sanctions.</w:t>
      </w:r>
    </w:p>
    <w:p w:rsidR="00887526" w:rsidRPr="00887526" w:rsidRDefault="00887526" w:rsidP="00887526">
      <w:pPr>
        <w:widowControl w:val="0"/>
        <w:suppressAutoHyphens w:val="0"/>
        <w:spacing w:before="0" w:after="0" w:line="248" w:lineRule="auto"/>
        <w:ind w:left="426" w:right="84"/>
        <w:rPr>
          <w:rFonts w:ascii="Arial" w:eastAsia="Calibri" w:hAnsi="Arial" w:cs="Arial"/>
          <w:color w:val="auto"/>
          <w:szCs w:val="18"/>
          <w:lang w:val="en"/>
        </w:rPr>
      </w:pPr>
    </w:p>
    <w:p w:rsidR="00887526" w:rsidRPr="00887526" w:rsidRDefault="00887526" w:rsidP="00887526">
      <w:pPr>
        <w:widowControl w:val="0"/>
        <w:numPr>
          <w:ilvl w:val="0"/>
          <w:numId w:val="38"/>
        </w:numPr>
        <w:suppressAutoHyphens w:val="0"/>
        <w:spacing w:before="6" w:after="0" w:line="200" w:lineRule="exact"/>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These procedures do not prevent the breach decision maker from being the sanction delegate in the same matter.</w:t>
      </w:r>
    </w:p>
    <w:p w:rsidR="00887526" w:rsidRPr="00887526" w:rsidRDefault="00887526" w:rsidP="00887526">
      <w:pPr>
        <w:widowControl w:val="0"/>
        <w:suppressAutoHyphens w:val="0"/>
        <w:spacing w:before="0" w:after="0" w:line="250" w:lineRule="auto"/>
        <w:ind w:right="98"/>
        <w:rPr>
          <w:rFonts w:ascii="Arial" w:eastAsia="Calibri" w:hAnsi="Arial" w:cs="Arial"/>
          <w:color w:val="auto"/>
          <w:szCs w:val="18"/>
          <w:lang w:val="en"/>
        </w:rPr>
      </w:pPr>
    </w:p>
    <w:p w:rsidR="00887526" w:rsidRPr="00887526" w:rsidRDefault="00887526" w:rsidP="00887526">
      <w:pPr>
        <w:widowControl w:val="0"/>
        <w:suppressAutoHyphens w:val="0"/>
        <w:spacing w:before="0" w:after="120" w:line="242" w:lineRule="auto"/>
        <w:ind w:left="66" w:right="79"/>
        <w:rPr>
          <w:rFonts w:ascii="Arial" w:eastAsia="Calibri" w:hAnsi="Arial" w:cs="Arial"/>
          <w:b/>
          <w:color w:val="auto"/>
          <w:szCs w:val="18"/>
          <w:lang w:val="en-US"/>
        </w:rPr>
      </w:pPr>
      <w:r w:rsidRPr="00887526">
        <w:rPr>
          <w:rFonts w:ascii="Arial" w:eastAsia="Calibri" w:hAnsi="Arial" w:cs="Arial"/>
          <w:b/>
          <w:color w:val="auto"/>
          <w:szCs w:val="18"/>
          <w:lang w:val="en-US"/>
        </w:rPr>
        <w:t>Person or persons making breach determination and imposing any sanction to be independent and unbiased</w:t>
      </w:r>
    </w:p>
    <w:p w:rsidR="00887526" w:rsidRPr="00887526" w:rsidRDefault="00887526" w:rsidP="00887526">
      <w:pPr>
        <w:widowControl w:val="0"/>
        <w:numPr>
          <w:ilvl w:val="0"/>
          <w:numId w:val="38"/>
        </w:numPr>
        <w:suppressAutoHyphens w:val="0"/>
        <w:spacing w:before="0" w:after="120" w:line="200" w:lineRule="exact"/>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The breach decision-maker and the sanction delegate must be, and must appear to be, independent and unbiased.</w:t>
      </w:r>
    </w:p>
    <w:p w:rsidR="00887526" w:rsidRPr="00887526" w:rsidRDefault="00887526" w:rsidP="00887526">
      <w:pPr>
        <w:widowControl w:val="0"/>
        <w:suppressAutoHyphens w:val="0"/>
        <w:spacing w:before="0" w:after="0" w:line="248" w:lineRule="auto"/>
        <w:ind w:left="-643" w:right="84"/>
        <w:rPr>
          <w:rFonts w:ascii="Arial" w:eastAsia="Calibri" w:hAnsi="Arial" w:cs="Arial"/>
          <w:color w:val="auto"/>
          <w:szCs w:val="18"/>
          <w:lang w:val="en"/>
        </w:rPr>
      </w:pPr>
    </w:p>
    <w:p w:rsidR="00887526" w:rsidRDefault="00887526" w:rsidP="00887526">
      <w:pPr>
        <w:pStyle w:val="ListParagraph"/>
        <w:widowControl w:val="0"/>
        <w:numPr>
          <w:ilvl w:val="0"/>
          <w:numId w:val="38"/>
        </w:numPr>
        <w:suppressAutoHyphens w:val="0"/>
        <w:spacing w:before="0" w:after="0" w:line="248" w:lineRule="auto"/>
        <w:ind w:right="84"/>
        <w:rPr>
          <w:rFonts w:ascii="Arial" w:eastAsia="Calibri" w:hAnsi="Arial" w:cs="Arial"/>
          <w:color w:val="auto"/>
          <w:szCs w:val="18"/>
          <w:lang w:val="en"/>
        </w:rPr>
      </w:pPr>
      <w:r w:rsidRPr="00887526">
        <w:rPr>
          <w:rFonts w:ascii="Arial" w:eastAsia="Calibri" w:hAnsi="Arial" w:cs="Arial"/>
          <w:color w:val="auto"/>
          <w:szCs w:val="18"/>
          <w:lang w:val="en"/>
        </w:rPr>
        <w:t>The breach decision-maker and the sanction delegate must advise the Commissioner in writing if they consider that they may not be independent and unbiased or if they consider that they may reasonably be perceived not to be independent and unbiased; for example if they are a witness in the matter.</w:t>
      </w:r>
    </w:p>
    <w:p w:rsidR="00887526" w:rsidRPr="00887526" w:rsidRDefault="00887526" w:rsidP="00887526">
      <w:pPr>
        <w:widowControl w:val="0"/>
        <w:suppressAutoHyphens w:val="0"/>
        <w:spacing w:before="0" w:after="0" w:line="248" w:lineRule="auto"/>
        <w:ind w:right="84"/>
        <w:rPr>
          <w:rFonts w:ascii="Arial" w:eastAsia="Calibri" w:hAnsi="Arial" w:cs="Arial"/>
          <w:color w:val="auto"/>
          <w:szCs w:val="18"/>
          <w:lang w:val="en"/>
        </w:rPr>
      </w:pPr>
    </w:p>
    <w:p w:rsidR="00887526" w:rsidRPr="00887526" w:rsidRDefault="00887526" w:rsidP="00887526">
      <w:pPr>
        <w:widowControl w:val="0"/>
        <w:suppressAutoHyphens w:val="0"/>
        <w:spacing w:before="0" w:after="120" w:line="242" w:lineRule="auto"/>
        <w:ind w:left="459" w:right="79" w:hanging="459"/>
        <w:rPr>
          <w:rFonts w:ascii="Arial" w:eastAsia="Calibri" w:hAnsi="Arial" w:cs="Arial"/>
          <w:b/>
          <w:color w:val="auto"/>
          <w:szCs w:val="18"/>
          <w:lang w:val="en-US"/>
        </w:rPr>
      </w:pPr>
      <w:r w:rsidRPr="00887526">
        <w:rPr>
          <w:rFonts w:ascii="Arial" w:eastAsia="Calibri" w:hAnsi="Arial" w:cs="Arial"/>
          <w:b/>
          <w:color w:val="auto"/>
          <w:szCs w:val="18"/>
          <w:lang w:val="en-US"/>
        </w:rPr>
        <w:t>The determination process</w:t>
      </w:r>
    </w:p>
    <w:p w:rsidR="00887526" w:rsidRPr="00887526" w:rsidRDefault="00887526" w:rsidP="007342BF">
      <w:pPr>
        <w:widowControl w:val="0"/>
        <w:numPr>
          <w:ilvl w:val="0"/>
          <w:numId w:val="38"/>
        </w:numPr>
        <w:suppressAutoHyphens w:val="0"/>
        <w:spacing w:before="0" w:after="120" w:line="200" w:lineRule="exact"/>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 xml:space="preserve">The process for determining whether a person who is, or was, an APS employee in the Commission has breached the Code </w:t>
      </w:r>
      <w:proofErr w:type="gramStart"/>
      <w:r w:rsidRPr="00887526">
        <w:rPr>
          <w:rFonts w:ascii="Arial" w:eastAsia="Calibri" w:hAnsi="Arial" w:cs="Arial"/>
          <w:color w:val="auto"/>
          <w:szCs w:val="18"/>
          <w:lang w:val="en"/>
        </w:rPr>
        <w:t>must be carried out</w:t>
      </w:r>
      <w:proofErr w:type="gramEnd"/>
      <w:r w:rsidRPr="00887526">
        <w:rPr>
          <w:rFonts w:ascii="Arial" w:eastAsia="Calibri" w:hAnsi="Arial" w:cs="Arial"/>
          <w:color w:val="auto"/>
          <w:szCs w:val="18"/>
          <w:lang w:val="en"/>
        </w:rPr>
        <w:t xml:space="preserve"> with as little formality, and with as much expedition, as a proper consideration of the matter allows.</w:t>
      </w:r>
    </w:p>
    <w:p w:rsidR="00887526" w:rsidRPr="00887526" w:rsidRDefault="00887526" w:rsidP="007342BF">
      <w:pPr>
        <w:widowControl w:val="0"/>
        <w:suppressAutoHyphens w:val="0"/>
        <w:spacing w:before="0" w:after="120" w:line="200" w:lineRule="exact"/>
        <w:ind w:left="66" w:right="84"/>
        <w:contextualSpacing/>
        <w:rPr>
          <w:rFonts w:ascii="Arial" w:eastAsia="Calibri" w:hAnsi="Arial" w:cs="Arial"/>
          <w:color w:val="auto"/>
          <w:szCs w:val="18"/>
          <w:lang w:val="en"/>
        </w:rPr>
      </w:pPr>
    </w:p>
    <w:p w:rsidR="00887526" w:rsidRDefault="00887526" w:rsidP="00CD0826">
      <w:pPr>
        <w:widowControl w:val="0"/>
        <w:numPr>
          <w:ilvl w:val="0"/>
          <w:numId w:val="38"/>
        </w:numPr>
        <w:suppressAutoHyphens w:val="0"/>
        <w:spacing w:before="0" w:after="120" w:line="200" w:lineRule="exact"/>
        <w:ind w:left="426" w:right="84"/>
        <w:contextualSpacing/>
        <w:rPr>
          <w:rFonts w:ascii="Arial" w:eastAsia="Calibri" w:hAnsi="Arial" w:cs="Arial"/>
          <w:color w:val="auto"/>
          <w:szCs w:val="18"/>
          <w:lang w:val="en"/>
        </w:rPr>
      </w:pPr>
      <w:r w:rsidRPr="00887526">
        <w:rPr>
          <w:rFonts w:ascii="Arial" w:eastAsia="Calibri" w:hAnsi="Arial" w:cs="Arial"/>
          <w:color w:val="auto"/>
          <w:szCs w:val="18"/>
          <w:lang w:val="en"/>
        </w:rPr>
        <w:t>The process must be consistent with the principles of procedural fairness.</w:t>
      </w:r>
    </w:p>
    <w:p w:rsidR="00CD0826" w:rsidRPr="00887526" w:rsidRDefault="00CD0826" w:rsidP="00CD0826">
      <w:pPr>
        <w:widowControl w:val="0"/>
        <w:suppressAutoHyphens w:val="0"/>
        <w:spacing w:before="0" w:after="120" w:line="200" w:lineRule="exact"/>
        <w:ind w:left="426" w:right="84"/>
        <w:contextualSpacing/>
        <w:rPr>
          <w:rFonts w:ascii="Arial" w:eastAsia="Calibri" w:hAnsi="Arial" w:cs="Arial"/>
          <w:color w:val="auto"/>
          <w:szCs w:val="18"/>
          <w:lang w:val="en"/>
        </w:rPr>
      </w:pPr>
    </w:p>
    <w:p w:rsidR="00887526" w:rsidRPr="007342BF" w:rsidRDefault="00887526" w:rsidP="00CD0826">
      <w:pPr>
        <w:widowControl w:val="0"/>
        <w:numPr>
          <w:ilvl w:val="0"/>
          <w:numId w:val="38"/>
        </w:numPr>
        <w:suppressAutoHyphens w:val="0"/>
        <w:spacing w:before="0" w:after="120" w:line="200" w:lineRule="exact"/>
        <w:ind w:left="426" w:right="84"/>
        <w:contextualSpacing/>
        <w:rPr>
          <w:rFonts w:ascii="Arial" w:eastAsia="Calibri" w:hAnsi="Arial" w:cs="Arial"/>
          <w:color w:val="auto"/>
          <w:szCs w:val="18"/>
          <w:lang w:val="en"/>
        </w:rPr>
      </w:pPr>
      <w:r w:rsidRPr="007342BF">
        <w:rPr>
          <w:rFonts w:ascii="Arial" w:eastAsia="Calibri" w:hAnsi="Arial" w:cs="Arial"/>
          <w:color w:val="auto"/>
          <w:szCs w:val="18"/>
          <w:lang w:val="en"/>
        </w:rPr>
        <w:t>A determination may not be made in relation to a suspected breach of the Code by a person unless reasonable steps have been taken to</w:t>
      </w:r>
      <w:r w:rsidR="007342BF">
        <w:rPr>
          <w:rFonts w:ascii="Arial" w:eastAsia="Calibri" w:hAnsi="Arial" w:cs="Arial"/>
          <w:color w:val="auto"/>
          <w:szCs w:val="18"/>
          <w:lang w:val="en"/>
        </w:rPr>
        <w:t>:</w:t>
      </w:r>
    </w:p>
    <w:p w:rsidR="007342BF" w:rsidRPr="00887526" w:rsidRDefault="007342BF" w:rsidP="007342BF">
      <w:pPr>
        <w:widowControl w:val="0"/>
        <w:suppressAutoHyphens w:val="0"/>
        <w:spacing w:before="10" w:after="0" w:line="200" w:lineRule="exact"/>
        <w:ind w:right="84"/>
        <w:contextualSpacing/>
        <w:rPr>
          <w:rFonts w:ascii="Arial" w:eastAsia="Calibri" w:hAnsi="Arial" w:cs="Arial"/>
          <w:color w:val="auto"/>
          <w:szCs w:val="18"/>
          <w:lang w:val="en"/>
        </w:rPr>
      </w:pPr>
    </w:p>
    <w:p w:rsidR="00887526" w:rsidRPr="007342BF" w:rsidRDefault="00887526" w:rsidP="007342BF">
      <w:pPr>
        <w:pStyle w:val="ListParagraph"/>
        <w:widowControl w:val="0"/>
        <w:numPr>
          <w:ilvl w:val="0"/>
          <w:numId w:val="43"/>
        </w:numPr>
        <w:tabs>
          <w:tab w:val="left" w:pos="1560"/>
        </w:tabs>
        <w:suppressAutoHyphens w:val="0"/>
        <w:spacing w:before="0" w:after="0" w:line="240" w:lineRule="auto"/>
        <w:ind w:right="-20"/>
        <w:rPr>
          <w:rFonts w:ascii="Arial" w:eastAsia="Calibri" w:hAnsi="Arial" w:cs="Arial"/>
          <w:color w:val="auto"/>
          <w:szCs w:val="18"/>
          <w:lang w:val="en"/>
        </w:rPr>
      </w:pPr>
      <w:r w:rsidRPr="007342BF">
        <w:rPr>
          <w:rFonts w:ascii="Arial" w:eastAsia="Calibri" w:hAnsi="Arial" w:cs="Arial"/>
          <w:color w:val="auto"/>
          <w:szCs w:val="18"/>
          <w:lang w:val="en"/>
        </w:rPr>
        <w:t>inform the person of:</w:t>
      </w:r>
    </w:p>
    <w:p w:rsidR="00887526" w:rsidRPr="00887526" w:rsidRDefault="00887526" w:rsidP="00887526">
      <w:pPr>
        <w:widowControl w:val="0"/>
        <w:numPr>
          <w:ilvl w:val="0"/>
          <w:numId w:val="42"/>
        </w:numPr>
        <w:suppressAutoHyphens w:val="0"/>
        <w:spacing w:before="0" w:after="0" w:line="245" w:lineRule="auto"/>
        <w:ind w:left="2127" w:right="115" w:hanging="284"/>
        <w:contextualSpacing/>
        <w:rPr>
          <w:rFonts w:ascii="Arial" w:eastAsia="Calibri" w:hAnsi="Arial" w:cs="Arial"/>
          <w:color w:val="auto"/>
          <w:szCs w:val="18"/>
          <w:lang w:val="en"/>
        </w:rPr>
      </w:pPr>
      <w:r w:rsidRPr="00887526">
        <w:rPr>
          <w:rFonts w:ascii="Arial" w:eastAsia="Calibri" w:hAnsi="Arial" w:cs="Arial"/>
          <w:color w:val="auto"/>
          <w:szCs w:val="18"/>
          <w:lang w:val="en"/>
        </w:rPr>
        <w:t>the details of the suspected breach of the Code (including  any  subsequent variation of those details) ; and</w:t>
      </w:r>
    </w:p>
    <w:p w:rsidR="00887526" w:rsidRPr="00887526" w:rsidRDefault="00887526" w:rsidP="00887526">
      <w:pPr>
        <w:widowControl w:val="0"/>
        <w:numPr>
          <w:ilvl w:val="0"/>
          <w:numId w:val="42"/>
        </w:numPr>
        <w:suppressAutoHyphens w:val="0"/>
        <w:spacing w:before="0" w:after="0" w:line="245" w:lineRule="auto"/>
        <w:ind w:left="2127" w:right="115" w:hanging="284"/>
        <w:contextualSpacing/>
        <w:rPr>
          <w:rFonts w:ascii="Arial" w:eastAsia="Calibri" w:hAnsi="Arial" w:cs="Arial"/>
          <w:color w:val="auto"/>
          <w:szCs w:val="18"/>
          <w:lang w:val="en"/>
        </w:rPr>
      </w:pPr>
      <w:r w:rsidRPr="00887526">
        <w:rPr>
          <w:rFonts w:ascii="Arial" w:eastAsia="Calibri" w:hAnsi="Arial" w:cs="Arial"/>
          <w:color w:val="auto"/>
          <w:szCs w:val="18"/>
          <w:lang w:val="en"/>
        </w:rPr>
        <w:t>where the person is an APS employee, the sanctions that may be imposed  on them under subsection 15 (1) of the Act; and</w:t>
      </w:r>
    </w:p>
    <w:p w:rsidR="00887526" w:rsidRDefault="00887526" w:rsidP="007342BF">
      <w:pPr>
        <w:widowControl w:val="0"/>
        <w:tabs>
          <w:tab w:val="left" w:pos="1560"/>
        </w:tabs>
        <w:suppressAutoHyphens w:val="0"/>
        <w:spacing w:before="0" w:after="0" w:line="240" w:lineRule="auto"/>
        <w:ind w:left="1287" w:right="-20" w:hanging="567"/>
        <w:rPr>
          <w:rFonts w:ascii="Arial" w:eastAsia="Calibri" w:hAnsi="Arial" w:cs="Arial"/>
          <w:color w:val="auto"/>
          <w:szCs w:val="18"/>
          <w:lang w:val="en"/>
        </w:rPr>
      </w:pPr>
      <w:r w:rsidRPr="00887526">
        <w:rPr>
          <w:rFonts w:ascii="Arial" w:eastAsia="Calibri" w:hAnsi="Arial" w:cs="Arial"/>
          <w:color w:val="auto"/>
          <w:szCs w:val="18"/>
          <w:lang w:val="en"/>
        </w:rPr>
        <w:t>b)</w:t>
      </w:r>
      <w:r w:rsidRPr="00887526">
        <w:rPr>
          <w:rFonts w:ascii="Arial" w:eastAsia="Calibri" w:hAnsi="Arial" w:cs="Arial"/>
          <w:color w:val="auto"/>
          <w:szCs w:val="18"/>
          <w:lang w:val="en"/>
        </w:rPr>
        <w:tab/>
      </w:r>
      <w:proofErr w:type="gramStart"/>
      <w:r w:rsidRPr="00887526">
        <w:rPr>
          <w:rFonts w:ascii="Arial" w:eastAsia="Calibri" w:hAnsi="Arial" w:cs="Arial"/>
          <w:color w:val="auto"/>
          <w:szCs w:val="18"/>
          <w:lang w:val="en"/>
        </w:rPr>
        <w:t>give</w:t>
      </w:r>
      <w:proofErr w:type="gramEnd"/>
      <w:r w:rsidRPr="00887526">
        <w:rPr>
          <w:rFonts w:ascii="Arial" w:eastAsia="Calibri" w:hAnsi="Arial" w:cs="Arial"/>
          <w:color w:val="auto"/>
          <w:szCs w:val="18"/>
          <w:lang w:val="en"/>
        </w:rPr>
        <w:t xml:space="preserve"> the person a reasonable opportunity to make in relation to the suspected breach.</w:t>
      </w:r>
    </w:p>
    <w:p w:rsidR="007342BF" w:rsidRPr="00887526" w:rsidRDefault="007342BF" w:rsidP="007342BF">
      <w:pPr>
        <w:widowControl w:val="0"/>
        <w:tabs>
          <w:tab w:val="left" w:pos="1560"/>
        </w:tabs>
        <w:suppressAutoHyphens w:val="0"/>
        <w:spacing w:before="0" w:after="0" w:line="240" w:lineRule="auto"/>
        <w:ind w:left="1287" w:right="-20" w:hanging="567"/>
        <w:rPr>
          <w:rFonts w:ascii="Arial" w:eastAsia="Calibri" w:hAnsi="Arial" w:cs="Arial"/>
          <w:color w:val="auto"/>
          <w:szCs w:val="18"/>
          <w:lang w:val="en"/>
        </w:rPr>
      </w:pPr>
    </w:p>
    <w:p w:rsidR="00887526" w:rsidRPr="007342BF" w:rsidRDefault="00887526" w:rsidP="007342BF">
      <w:pPr>
        <w:pStyle w:val="ListParagraph"/>
        <w:widowControl w:val="0"/>
        <w:numPr>
          <w:ilvl w:val="0"/>
          <w:numId w:val="38"/>
        </w:numPr>
        <w:suppressAutoHyphens w:val="0"/>
        <w:spacing w:before="0" w:line="276" w:lineRule="auto"/>
        <w:rPr>
          <w:rFonts w:ascii="Arial" w:eastAsia="Calibri" w:hAnsi="Arial" w:cs="Arial"/>
          <w:color w:val="auto"/>
          <w:szCs w:val="18"/>
          <w:lang w:val="en"/>
        </w:rPr>
      </w:pPr>
      <w:r w:rsidRPr="007342BF">
        <w:rPr>
          <w:rFonts w:ascii="Arial" w:eastAsia="Calibri" w:hAnsi="Arial" w:cs="Arial"/>
          <w:color w:val="auto"/>
          <w:szCs w:val="18"/>
          <w:lang w:val="en"/>
        </w:rPr>
        <w:t xml:space="preserve">The statement may be a written or oral statement and should be provided within </w:t>
      </w:r>
      <w:proofErr w:type="gramStart"/>
      <w:r w:rsidRPr="007342BF">
        <w:rPr>
          <w:rFonts w:ascii="Arial" w:eastAsia="Calibri" w:hAnsi="Arial" w:cs="Arial"/>
          <w:color w:val="auto"/>
          <w:szCs w:val="18"/>
          <w:lang w:val="en"/>
        </w:rPr>
        <w:t>7</w:t>
      </w:r>
      <w:proofErr w:type="gramEnd"/>
      <w:r w:rsidRPr="007342BF">
        <w:rPr>
          <w:rFonts w:ascii="Arial" w:eastAsia="Calibri" w:hAnsi="Arial" w:cs="Arial"/>
          <w:color w:val="auto"/>
          <w:szCs w:val="18"/>
          <w:lang w:val="en"/>
        </w:rPr>
        <w:t xml:space="preserve"> calendar days or any longer period that is allowed by the decision-maker.</w:t>
      </w:r>
    </w:p>
    <w:p w:rsidR="00887526" w:rsidRPr="00887526" w:rsidRDefault="00887526" w:rsidP="00887526">
      <w:pPr>
        <w:widowControl w:val="0"/>
        <w:suppressAutoHyphens w:val="0"/>
        <w:spacing w:before="15" w:after="0" w:line="200" w:lineRule="exact"/>
        <w:rPr>
          <w:rFonts w:ascii="Arial" w:eastAsia="Calibri" w:hAnsi="Arial" w:cs="Arial"/>
          <w:color w:val="auto"/>
          <w:szCs w:val="18"/>
          <w:lang w:val="en"/>
        </w:rPr>
      </w:pPr>
    </w:p>
    <w:p w:rsidR="00887526" w:rsidRPr="00887526" w:rsidRDefault="00887526" w:rsidP="002F381A">
      <w:pPr>
        <w:pStyle w:val="ListParagraph"/>
        <w:widowControl w:val="0"/>
        <w:numPr>
          <w:ilvl w:val="0"/>
          <w:numId w:val="38"/>
        </w:numPr>
        <w:suppressAutoHyphens w:val="0"/>
        <w:spacing w:before="0" w:line="276" w:lineRule="auto"/>
        <w:rPr>
          <w:rFonts w:ascii="Arial" w:eastAsia="Calibri" w:hAnsi="Arial" w:cs="Arial"/>
          <w:color w:val="auto"/>
          <w:szCs w:val="18"/>
          <w:lang w:val="en"/>
        </w:rPr>
      </w:pPr>
      <w:r w:rsidRPr="00887526">
        <w:rPr>
          <w:rFonts w:ascii="Arial" w:eastAsia="Calibri" w:hAnsi="Arial" w:cs="Arial"/>
          <w:color w:val="auto"/>
          <w:szCs w:val="18"/>
          <w:lang w:val="en"/>
        </w:rPr>
        <w:lastRenderedPageBreak/>
        <w:t>A person who does not make a statement in relation to the suspected breach is not, for that reason alone, to be taken to have admitted to committing the suspected breach.</w:t>
      </w:r>
    </w:p>
    <w:p w:rsidR="00887526" w:rsidRPr="00887526" w:rsidRDefault="00887526" w:rsidP="002F381A">
      <w:pPr>
        <w:pStyle w:val="ListParagraph"/>
        <w:widowControl w:val="0"/>
        <w:suppressAutoHyphens w:val="0"/>
        <w:spacing w:before="0" w:line="276" w:lineRule="auto"/>
        <w:ind w:left="360"/>
        <w:rPr>
          <w:rFonts w:ascii="Arial" w:eastAsia="Calibri" w:hAnsi="Arial" w:cs="Arial"/>
          <w:color w:val="auto"/>
          <w:szCs w:val="18"/>
          <w:lang w:val="en"/>
        </w:rPr>
      </w:pPr>
    </w:p>
    <w:p w:rsidR="00887526" w:rsidRPr="00887526" w:rsidRDefault="00887526" w:rsidP="002F381A">
      <w:pPr>
        <w:pStyle w:val="ListParagraph"/>
        <w:widowControl w:val="0"/>
        <w:numPr>
          <w:ilvl w:val="0"/>
          <w:numId w:val="38"/>
        </w:numPr>
        <w:suppressAutoHyphens w:val="0"/>
        <w:spacing w:before="0" w:line="276" w:lineRule="auto"/>
        <w:rPr>
          <w:rFonts w:ascii="Arial" w:eastAsia="Calibri" w:hAnsi="Arial" w:cs="Arial"/>
          <w:color w:val="auto"/>
          <w:szCs w:val="18"/>
          <w:lang w:val="en"/>
        </w:rPr>
      </w:pPr>
      <w:proofErr w:type="gramStart"/>
      <w:r w:rsidRPr="00887526">
        <w:rPr>
          <w:rFonts w:ascii="Arial" w:eastAsia="Calibri" w:hAnsi="Arial" w:cs="Arial"/>
          <w:color w:val="auto"/>
          <w:szCs w:val="18"/>
          <w:lang w:val="en"/>
        </w:rPr>
        <w:t>For the purpose of</w:t>
      </w:r>
      <w:proofErr w:type="gramEnd"/>
      <w:r w:rsidRPr="00887526">
        <w:rPr>
          <w:rFonts w:ascii="Arial" w:eastAsia="Calibri" w:hAnsi="Arial" w:cs="Arial"/>
          <w:color w:val="auto"/>
          <w:szCs w:val="18"/>
          <w:lang w:val="en"/>
        </w:rPr>
        <w:t xml:space="preserve"> determining whether a person who is, or was, an APS employee in the Commission has breached the Code, a formal hearing is not required.</w:t>
      </w:r>
    </w:p>
    <w:p w:rsidR="00460D56" w:rsidRPr="00460D56" w:rsidRDefault="00460D56" w:rsidP="00460D56">
      <w:pPr>
        <w:widowControl w:val="0"/>
        <w:suppressAutoHyphens w:val="0"/>
        <w:spacing w:before="0" w:after="120" w:line="242" w:lineRule="auto"/>
        <w:ind w:left="459" w:right="79" w:hanging="459"/>
        <w:rPr>
          <w:rFonts w:ascii="Arial" w:eastAsia="Calibri" w:hAnsi="Arial" w:cs="Arial"/>
          <w:b/>
          <w:color w:val="auto"/>
          <w:szCs w:val="18"/>
          <w:lang w:val="en-US"/>
        </w:rPr>
      </w:pPr>
      <w:r w:rsidRPr="00460D56">
        <w:rPr>
          <w:rFonts w:ascii="Arial" w:eastAsia="Calibri" w:hAnsi="Arial" w:cs="Arial"/>
          <w:b/>
          <w:color w:val="auto"/>
          <w:szCs w:val="18"/>
          <w:lang w:val="en-US"/>
        </w:rPr>
        <w:t>Sanctions</w:t>
      </w:r>
    </w:p>
    <w:p w:rsidR="00460D56" w:rsidRPr="00460D56" w:rsidRDefault="00460D56" w:rsidP="00460D56">
      <w:pPr>
        <w:widowControl w:val="0"/>
        <w:numPr>
          <w:ilvl w:val="0"/>
          <w:numId w:val="38"/>
        </w:numPr>
        <w:suppressAutoHyphens w:val="0"/>
        <w:spacing w:before="10" w:after="0" w:line="200" w:lineRule="exact"/>
        <w:ind w:right="84"/>
        <w:contextualSpacing/>
        <w:rPr>
          <w:rFonts w:ascii="Arial" w:eastAsia="Times New Roman" w:hAnsi="Arial" w:cs="Arial"/>
          <w:color w:val="000000"/>
          <w:spacing w:val="4"/>
          <w:sz w:val="18"/>
          <w:szCs w:val="18"/>
          <w:lang w:val="en" w:eastAsia="en-AU"/>
        </w:rPr>
      </w:pPr>
      <w:r w:rsidRPr="00460D56">
        <w:rPr>
          <w:rFonts w:ascii="Arial" w:eastAsia="Calibri" w:hAnsi="Arial" w:cs="Arial"/>
          <w:color w:val="auto"/>
          <w:szCs w:val="18"/>
          <w:lang w:val="en"/>
        </w:rPr>
        <w:t>The process for imposing a sanction must be consistent with the principles of procedural fairness.</w:t>
      </w:r>
    </w:p>
    <w:p w:rsidR="00460D56" w:rsidRPr="00460D56" w:rsidRDefault="00460D56" w:rsidP="00460D56">
      <w:pPr>
        <w:widowControl w:val="0"/>
        <w:suppressAutoHyphens w:val="0"/>
        <w:spacing w:before="10" w:after="0" w:line="200" w:lineRule="exact"/>
        <w:ind w:left="360" w:right="84"/>
        <w:contextualSpacing/>
        <w:rPr>
          <w:rFonts w:ascii="Arial" w:eastAsia="Calibri" w:hAnsi="Arial" w:cs="Arial"/>
          <w:color w:val="auto"/>
          <w:szCs w:val="18"/>
          <w:lang w:val="en"/>
        </w:rPr>
      </w:pPr>
    </w:p>
    <w:p w:rsidR="00460D56" w:rsidRDefault="00460D56" w:rsidP="00460D56">
      <w:pPr>
        <w:widowControl w:val="0"/>
        <w:numPr>
          <w:ilvl w:val="0"/>
          <w:numId w:val="38"/>
        </w:numPr>
        <w:suppressAutoHyphens w:val="0"/>
        <w:spacing w:before="10" w:after="0" w:line="200" w:lineRule="exact"/>
        <w:ind w:right="84"/>
        <w:contextualSpacing/>
        <w:rPr>
          <w:rFonts w:ascii="Arial" w:eastAsia="Calibri" w:hAnsi="Arial" w:cs="Arial"/>
          <w:color w:val="auto"/>
          <w:szCs w:val="18"/>
          <w:lang w:val="en"/>
        </w:rPr>
      </w:pPr>
      <w:r w:rsidRPr="00460D56">
        <w:rPr>
          <w:rFonts w:ascii="Arial" w:eastAsia="Calibri" w:hAnsi="Arial" w:cs="Arial"/>
          <w:color w:val="auto"/>
          <w:szCs w:val="18"/>
          <w:lang w:val="en"/>
        </w:rPr>
        <w:t>If a determination is made that an APS employee in the Commission has breached the Code, a sanction may not be imposed on the employee unless reasonable steps have been taken to</w:t>
      </w:r>
      <w:r>
        <w:rPr>
          <w:rFonts w:ascii="Arial" w:eastAsia="Calibri" w:hAnsi="Arial" w:cs="Arial"/>
          <w:color w:val="auto"/>
          <w:szCs w:val="18"/>
          <w:lang w:val="en"/>
        </w:rPr>
        <w:t>:</w:t>
      </w:r>
    </w:p>
    <w:p w:rsidR="00460D56" w:rsidRPr="00460D56" w:rsidRDefault="00460D56" w:rsidP="00460D56">
      <w:pPr>
        <w:widowControl w:val="0"/>
        <w:suppressAutoHyphens w:val="0"/>
        <w:spacing w:before="10" w:after="0" w:line="200" w:lineRule="exact"/>
        <w:ind w:right="84"/>
        <w:contextualSpacing/>
        <w:rPr>
          <w:rFonts w:ascii="Arial" w:eastAsia="Calibri" w:hAnsi="Arial" w:cs="Arial"/>
          <w:color w:val="auto"/>
          <w:szCs w:val="18"/>
          <w:lang w:val="en"/>
        </w:rPr>
      </w:pPr>
    </w:p>
    <w:p w:rsidR="00460D56" w:rsidRPr="00144A86" w:rsidRDefault="00460D56" w:rsidP="00144A86">
      <w:pPr>
        <w:pStyle w:val="ListParagraph"/>
        <w:widowControl w:val="0"/>
        <w:numPr>
          <w:ilvl w:val="0"/>
          <w:numId w:val="49"/>
        </w:numPr>
        <w:suppressAutoHyphens w:val="0"/>
        <w:spacing w:before="10" w:after="0" w:line="200" w:lineRule="exact"/>
        <w:ind w:right="84"/>
        <w:rPr>
          <w:rFonts w:ascii="Arial" w:eastAsia="Calibri" w:hAnsi="Arial" w:cs="Arial"/>
          <w:color w:val="auto"/>
          <w:szCs w:val="18"/>
          <w:lang w:val="en"/>
        </w:rPr>
      </w:pPr>
      <w:bookmarkStart w:id="0" w:name="_GoBack"/>
      <w:bookmarkEnd w:id="0"/>
      <w:r w:rsidRPr="00144A86">
        <w:rPr>
          <w:rFonts w:ascii="Arial" w:eastAsia="Calibri" w:hAnsi="Arial" w:cs="Arial"/>
          <w:color w:val="auto"/>
          <w:szCs w:val="18"/>
          <w:lang w:val="en"/>
        </w:rPr>
        <w:t>inform the person of:</w:t>
      </w:r>
    </w:p>
    <w:p w:rsidR="00460D56" w:rsidRPr="00460D56" w:rsidRDefault="00460D56" w:rsidP="00460D56">
      <w:pPr>
        <w:widowControl w:val="0"/>
        <w:numPr>
          <w:ilvl w:val="0"/>
          <w:numId w:val="44"/>
        </w:numPr>
        <w:suppressAutoHyphens w:val="0"/>
        <w:spacing w:before="0" w:after="0" w:line="245" w:lineRule="auto"/>
        <w:ind w:left="2127" w:right="115" w:hanging="284"/>
        <w:contextualSpacing/>
        <w:rPr>
          <w:rFonts w:ascii="Arial" w:eastAsia="Calibri" w:hAnsi="Arial" w:cs="Arial"/>
          <w:color w:val="auto"/>
          <w:szCs w:val="18"/>
          <w:lang w:val="en"/>
        </w:rPr>
      </w:pPr>
      <w:r w:rsidRPr="00460D56">
        <w:rPr>
          <w:rFonts w:ascii="Arial" w:eastAsia="Calibri" w:hAnsi="Arial" w:cs="Arial"/>
          <w:color w:val="auto"/>
          <w:szCs w:val="18"/>
          <w:lang w:val="en"/>
        </w:rPr>
        <w:t>the determination that has been made; and</w:t>
      </w:r>
    </w:p>
    <w:p w:rsidR="00460D56" w:rsidRPr="00460D56" w:rsidRDefault="00460D56" w:rsidP="00460D56">
      <w:pPr>
        <w:widowControl w:val="0"/>
        <w:numPr>
          <w:ilvl w:val="0"/>
          <w:numId w:val="44"/>
        </w:numPr>
        <w:suppressAutoHyphens w:val="0"/>
        <w:spacing w:before="0" w:after="0" w:line="245" w:lineRule="auto"/>
        <w:ind w:left="2127" w:right="115" w:hanging="284"/>
        <w:contextualSpacing/>
        <w:rPr>
          <w:rFonts w:ascii="Arial" w:eastAsia="Calibri" w:hAnsi="Arial" w:cs="Arial"/>
          <w:color w:val="auto"/>
          <w:szCs w:val="18"/>
          <w:lang w:val="en"/>
        </w:rPr>
      </w:pPr>
      <w:r w:rsidRPr="00460D56">
        <w:rPr>
          <w:rFonts w:ascii="Arial" w:eastAsia="Calibri" w:hAnsi="Arial" w:cs="Arial"/>
          <w:color w:val="auto"/>
          <w:szCs w:val="18"/>
          <w:lang w:val="en"/>
        </w:rPr>
        <w:t>the sanction or sanctions that are under consideration; and</w:t>
      </w:r>
    </w:p>
    <w:p w:rsidR="00460D56" w:rsidRPr="00460D56" w:rsidRDefault="00460D56" w:rsidP="00460D56">
      <w:pPr>
        <w:widowControl w:val="0"/>
        <w:numPr>
          <w:ilvl w:val="0"/>
          <w:numId w:val="44"/>
        </w:numPr>
        <w:suppressAutoHyphens w:val="0"/>
        <w:spacing w:before="0" w:after="0" w:line="245" w:lineRule="auto"/>
        <w:ind w:left="2127" w:right="115" w:hanging="284"/>
        <w:contextualSpacing/>
        <w:rPr>
          <w:rFonts w:ascii="Arial" w:eastAsia="Calibri" w:hAnsi="Arial" w:cs="Arial"/>
          <w:color w:val="auto"/>
          <w:szCs w:val="18"/>
          <w:lang w:val="en"/>
        </w:rPr>
      </w:pPr>
      <w:r w:rsidRPr="00460D56">
        <w:rPr>
          <w:rFonts w:ascii="Arial" w:eastAsia="Calibri" w:hAnsi="Arial" w:cs="Arial"/>
          <w:color w:val="auto"/>
          <w:szCs w:val="18"/>
          <w:lang w:val="en"/>
        </w:rPr>
        <w:t>the factors that are under consideration in determining any sanction to be imposed; and</w:t>
      </w:r>
    </w:p>
    <w:p w:rsidR="00460D56" w:rsidRPr="00460D56" w:rsidRDefault="00460D56" w:rsidP="00985FA8">
      <w:pPr>
        <w:pStyle w:val="ListParagraph"/>
        <w:widowControl w:val="0"/>
        <w:numPr>
          <w:ilvl w:val="0"/>
          <w:numId w:val="43"/>
        </w:numPr>
        <w:suppressAutoHyphens w:val="0"/>
        <w:spacing w:before="10" w:after="0" w:line="200" w:lineRule="exact"/>
        <w:ind w:right="84"/>
        <w:rPr>
          <w:rFonts w:ascii="Arial" w:eastAsia="Calibri" w:hAnsi="Arial" w:cs="Arial"/>
          <w:color w:val="auto"/>
          <w:szCs w:val="18"/>
          <w:lang w:val="en"/>
        </w:rPr>
      </w:pPr>
      <w:r w:rsidRPr="00460D56">
        <w:rPr>
          <w:rFonts w:ascii="Arial" w:eastAsia="Calibri" w:hAnsi="Arial" w:cs="Arial"/>
          <w:color w:val="auto"/>
          <w:szCs w:val="18"/>
          <w:lang w:val="en"/>
        </w:rPr>
        <w:t xml:space="preserve"> </w:t>
      </w:r>
      <w:proofErr w:type="gramStart"/>
      <w:r w:rsidRPr="00460D56">
        <w:rPr>
          <w:rFonts w:ascii="Arial" w:eastAsia="Calibri" w:hAnsi="Arial" w:cs="Arial"/>
          <w:color w:val="auto"/>
          <w:szCs w:val="18"/>
          <w:lang w:val="en"/>
        </w:rPr>
        <w:t>the</w:t>
      </w:r>
      <w:proofErr w:type="gramEnd"/>
      <w:r w:rsidRPr="00460D56">
        <w:rPr>
          <w:rFonts w:ascii="Arial" w:eastAsia="Calibri" w:hAnsi="Arial" w:cs="Arial"/>
          <w:color w:val="auto"/>
          <w:szCs w:val="18"/>
          <w:lang w:val="en"/>
        </w:rPr>
        <w:t xml:space="preserve"> person a reasonable opportunity to make a stat</w:t>
      </w:r>
      <w:r w:rsidRPr="00460D56">
        <w:rPr>
          <w:rFonts w:ascii="Arial" w:eastAsia="Calibri" w:hAnsi="Arial" w:cs="Arial"/>
          <w:color w:val="auto"/>
          <w:szCs w:val="18"/>
          <w:lang w:val="en"/>
        </w:rPr>
        <w:t>ement in relation to the</w:t>
      </w:r>
      <w:r w:rsidRPr="00460D56">
        <w:rPr>
          <w:rFonts w:ascii="Arial" w:eastAsia="Calibri" w:hAnsi="Arial" w:cs="Arial"/>
          <w:color w:val="auto"/>
          <w:szCs w:val="18"/>
          <w:lang w:val="en"/>
        </w:rPr>
        <w:t xml:space="preserve"> sanction or sanctions under consideration.</w:t>
      </w:r>
    </w:p>
    <w:p w:rsidR="00CB64BD" w:rsidRDefault="00CB64BD" w:rsidP="00460D56">
      <w:pPr>
        <w:widowControl w:val="0"/>
        <w:suppressAutoHyphens w:val="0"/>
        <w:spacing w:before="10" w:after="0" w:line="200" w:lineRule="exact"/>
        <w:ind w:left="720" w:right="84"/>
        <w:contextualSpacing/>
        <w:rPr>
          <w:rFonts w:ascii="Arial" w:eastAsia="Calibri" w:hAnsi="Arial" w:cs="Arial"/>
          <w:color w:val="auto"/>
          <w:szCs w:val="18"/>
          <w:lang w:val="en"/>
        </w:rPr>
      </w:pPr>
    </w:p>
    <w:p w:rsidR="00460D56" w:rsidRDefault="00460D56" w:rsidP="00460D56">
      <w:pPr>
        <w:pStyle w:val="ListParagraph"/>
        <w:widowControl w:val="0"/>
        <w:numPr>
          <w:ilvl w:val="0"/>
          <w:numId w:val="38"/>
        </w:numPr>
        <w:suppressAutoHyphens w:val="0"/>
        <w:spacing w:before="10" w:after="0" w:line="200" w:lineRule="exact"/>
        <w:ind w:right="84"/>
        <w:rPr>
          <w:rFonts w:ascii="Arial" w:eastAsia="Calibri" w:hAnsi="Arial" w:cs="Arial"/>
          <w:color w:val="auto"/>
          <w:szCs w:val="18"/>
          <w:lang w:val="en"/>
        </w:rPr>
      </w:pPr>
      <w:r w:rsidRPr="00460D56">
        <w:rPr>
          <w:rFonts w:ascii="Arial" w:eastAsia="Calibri" w:hAnsi="Arial" w:cs="Arial"/>
          <w:color w:val="auto"/>
          <w:szCs w:val="18"/>
          <w:lang w:val="en"/>
        </w:rPr>
        <w:t xml:space="preserve">The statement may be a written or oral statement and should be provided within </w:t>
      </w:r>
      <w:proofErr w:type="gramStart"/>
      <w:r w:rsidRPr="00460D56">
        <w:rPr>
          <w:rFonts w:ascii="Arial" w:eastAsia="Calibri" w:hAnsi="Arial" w:cs="Arial"/>
          <w:color w:val="auto"/>
          <w:szCs w:val="18"/>
          <w:lang w:val="en"/>
        </w:rPr>
        <w:t>7</w:t>
      </w:r>
      <w:proofErr w:type="gramEnd"/>
      <w:r w:rsidRPr="00460D56">
        <w:rPr>
          <w:rFonts w:ascii="Arial" w:eastAsia="Calibri" w:hAnsi="Arial" w:cs="Arial"/>
          <w:color w:val="auto"/>
          <w:szCs w:val="18"/>
          <w:lang w:val="en"/>
        </w:rPr>
        <w:t xml:space="preserve"> calendar days or any longer period that is allowed by the sanction delegate.</w:t>
      </w:r>
    </w:p>
    <w:p w:rsidR="00460D56" w:rsidRDefault="00460D56" w:rsidP="00460D56">
      <w:pPr>
        <w:widowControl w:val="0"/>
        <w:suppressAutoHyphens w:val="0"/>
        <w:spacing w:before="10" w:after="0" w:line="200" w:lineRule="exact"/>
        <w:ind w:right="84"/>
        <w:rPr>
          <w:rFonts w:ascii="Arial" w:eastAsia="Calibri" w:hAnsi="Arial" w:cs="Arial"/>
          <w:color w:val="auto"/>
          <w:szCs w:val="18"/>
          <w:lang w:val="en"/>
        </w:rPr>
      </w:pPr>
    </w:p>
    <w:p w:rsidR="00460D56" w:rsidRPr="00460D56" w:rsidRDefault="00460D56" w:rsidP="00460D56">
      <w:pPr>
        <w:spacing w:before="120" w:after="120" w:line="242" w:lineRule="auto"/>
        <w:ind w:left="459" w:right="79" w:hanging="459"/>
        <w:rPr>
          <w:rFonts w:ascii="Arial" w:eastAsia="Calibri" w:hAnsi="Arial" w:cs="Arial"/>
          <w:b/>
          <w:color w:val="auto"/>
          <w:szCs w:val="18"/>
          <w:lang w:val="en-US"/>
        </w:rPr>
      </w:pPr>
      <w:r w:rsidRPr="00460D56">
        <w:rPr>
          <w:rFonts w:ascii="Arial" w:eastAsia="Calibri" w:hAnsi="Arial" w:cs="Arial"/>
          <w:b/>
          <w:color w:val="auto"/>
          <w:szCs w:val="18"/>
          <w:lang w:val="en-US"/>
        </w:rPr>
        <w:t>Record of determination and sanction</w:t>
      </w:r>
    </w:p>
    <w:p w:rsidR="00460D56" w:rsidRPr="00460D56" w:rsidRDefault="00460D56" w:rsidP="00460D56">
      <w:pPr>
        <w:widowControl w:val="0"/>
        <w:numPr>
          <w:ilvl w:val="0"/>
          <w:numId w:val="38"/>
        </w:numPr>
        <w:suppressAutoHyphens w:val="0"/>
        <w:spacing w:before="10" w:after="0" w:line="200" w:lineRule="exact"/>
        <w:ind w:right="84"/>
        <w:contextualSpacing/>
        <w:rPr>
          <w:rFonts w:ascii="Arial" w:eastAsia="Calibri" w:hAnsi="Arial" w:cs="Arial"/>
          <w:color w:val="auto"/>
          <w:szCs w:val="18"/>
          <w:lang w:val="en"/>
        </w:rPr>
      </w:pPr>
      <w:r w:rsidRPr="00460D56">
        <w:rPr>
          <w:rFonts w:ascii="Arial" w:eastAsia="Calibri" w:hAnsi="Arial" w:cs="Arial"/>
          <w:color w:val="auto"/>
          <w:szCs w:val="18"/>
          <w:lang w:val="en"/>
        </w:rPr>
        <w:t xml:space="preserve">If a determination is made in relation to a suspected breach of the Code by a person who </w:t>
      </w:r>
      <w:proofErr w:type="spellStart"/>
      <w:r w:rsidRPr="00460D56">
        <w:rPr>
          <w:rFonts w:ascii="Arial" w:eastAsia="Calibri" w:hAnsi="Arial" w:cs="Arial"/>
          <w:color w:val="auto"/>
          <w:szCs w:val="18"/>
          <w:lang w:val="en"/>
        </w:rPr>
        <w:t>is,or</w:t>
      </w:r>
      <w:proofErr w:type="spellEnd"/>
      <w:r w:rsidRPr="00460D56">
        <w:rPr>
          <w:rFonts w:ascii="Arial" w:eastAsia="Calibri" w:hAnsi="Arial" w:cs="Arial"/>
          <w:color w:val="auto"/>
          <w:szCs w:val="18"/>
          <w:lang w:val="en"/>
        </w:rPr>
        <w:t xml:space="preserve"> was, an APS employee in the Commission, a written record must be made of:</w:t>
      </w:r>
    </w:p>
    <w:p w:rsidR="00460D56" w:rsidRPr="00460D56" w:rsidRDefault="00460D56" w:rsidP="00460D56">
      <w:pPr>
        <w:widowControl w:val="0"/>
        <w:suppressAutoHyphens w:val="0"/>
        <w:spacing w:before="10" w:after="0" w:line="200" w:lineRule="exact"/>
        <w:ind w:right="84"/>
        <w:rPr>
          <w:rFonts w:ascii="Arial" w:eastAsia="Calibri" w:hAnsi="Arial" w:cs="Arial"/>
          <w:color w:val="auto"/>
          <w:szCs w:val="18"/>
          <w:lang w:val="en"/>
        </w:rPr>
      </w:pPr>
    </w:p>
    <w:p w:rsidR="00CD0826" w:rsidRDefault="00CD0826" w:rsidP="00CD0826">
      <w:pPr>
        <w:pStyle w:val="ListParagraph"/>
        <w:widowControl w:val="0"/>
        <w:numPr>
          <w:ilvl w:val="0"/>
          <w:numId w:val="48"/>
        </w:numPr>
        <w:suppressAutoHyphens w:val="0"/>
        <w:spacing w:before="0" w:after="0" w:line="245" w:lineRule="auto"/>
        <w:ind w:right="115"/>
        <w:rPr>
          <w:rFonts w:ascii="Arial" w:eastAsia="Calibri" w:hAnsi="Arial" w:cs="Arial"/>
          <w:color w:val="auto"/>
          <w:szCs w:val="18"/>
          <w:lang w:val="en"/>
        </w:rPr>
      </w:pPr>
      <w:r w:rsidRPr="00CD0826">
        <w:rPr>
          <w:rFonts w:ascii="Arial" w:eastAsia="Calibri" w:hAnsi="Arial" w:cs="Arial"/>
          <w:color w:val="auto"/>
          <w:szCs w:val="18"/>
          <w:lang w:val="en"/>
        </w:rPr>
        <w:t>the suspected breach; and</w:t>
      </w:r>
    </w:p>
    <w:p w:rsidR="00460D56" w:rsidRDefault="00460D56" w:rsidP="00CD0826">
      <w:pPr>
        <w:pStyle w:val="ListParagraph"/>
        <w:widowControl w:val="0"/>
        <w:numPr>
          <w:ilvl w:val="0"/>
          <w:numId w:val="48"/>
        </w:numPr>
        <w:suppressAutoHyphens w:val="0"/>
        <w:spacing w:before="0" w:after="0" w:line="245" w:lineRule="auto"/>
        <w:ind w:right="115"/>
        <w:rPr>
          <w:rFonts w:ascii="Arial" w:eastAsia="Calibri" w:hAnsi="Arial" w:cs="Arial"/>
          <w:color w:val="auto"/>
          <w:szCs w:val="18"/>
          <w:lang w:val="en"/>
        </w:rPr>
      </w:pPr>
      <w:r w:rsidRPr="00CD0826">
        <w:rPr>
          <w:rFonts w:ascii="Arial" w:eastAsia="Calibri" w:hAnsi="Arial" w:cs="Arial"/>
          <w:color w:val="auto"/>
          <w:szCs w:val="18"/>
          <w:lang w:val="en"/>
        </w:rPr>
        <w:t>the determination; and</w:t>
      </w:r>
    </w:p>
    <w:p w:rsidR="00460D56" w:rsidRDefault="00460D56" w:rsidP="00CD0826">
      <w:pPr>
        <w:pStyle w:val="ListParagraph"/>
        <w:widowControl w:val="0"/>
        <w:numPr>
          <w:ilvl w:val="0"/>
          <w:numId w:val="48"/>
        </w:numPr>
        <w:suppressAutoHyphens w:val="0"/>
        <w:spacing w:before="0" w:after="0" w:line="245" w:lineRule="auto"/>
        <w:ind w:right="115"/>
        <w:rPr>
          <w:rFonts w:ascii="Arial" w:eastAsia="Calibri" w:hAnsi="Arial" w:cs="Arial"/>
          <w:color w:val="auto"/>
          <w:szCs w:val="18"/>
          <w:lang w:val="en"/>
        </w:rPr>
      </w:pPr>
      <w:r w:rsidRPr="00CD0826">
        <w:rPr>
          <w:rFonts w:ascii="Arial" w:eastAsia="Calibri" w:hAnsi="Arial" w:cs="Arial"/>
          <w:color w:val="auto"/>
          <w:szCs w:val="18"/>
          <w:lang w:val="en"/>
        </w:rPr>
        <w:t>any sanction imposed as a result of a determination that the emp</w:t>
      </w:r>
      <w:r w:rsidR="00CD0826">
        <w:rPr>
          <w:rFonts w:ascii="Arial" w:eastAsia="Calibri" w:hAnsi="Arial" w:cs="Arial"/>
          <w:color w:val="auto"/>
          <w:szCs w:val="18"/>
          <w:lang w:val="en"/>
        </w:rPr>
        <w:t>loyee has breached the Code; and</w:t>
      </w:r>
    </w:p>
    <w:p w:rsidR="00460D56" w:rsidRPr="00CD0826" w:rsidRDefault="00460D56" w:rsidP="00CD0826">
      <w:pPr>
        <w:pStyle w:val="ListParagraph"/>
        <w:widowControl w:val="0"/>
        <w:numPr>
          <w:ilvl w:val="0"/>
          <w:numId w:val="48"/>
        </w:numPr>
        <w:suppressAutoHyphens w:val="0"/>
        <w:spacing w:before="0" w:after="0" w:line="245" w:lineRule="auto"/>
        <w:ind w:right="115"/>
        <w:rPr>
          <w:rFonts w:ascii="Arial" w:eastAsia="Calibri" w:hAnsi="Arial" w:cs="Arial"/>
          <w:color w:val="auto"/>
          <w:szCs w:val="18"/>
          <w:lang w:val="en"/>
        </w:rPr>
      </w:pPr>
      <w:r w:rsidRPr="00CD0826">
        <w:rPr>
          <w:rFonts w:ascii="Arial" w:eastAsia="Calibri" w:hAnsi="Arial" w:cs="Arial"/>
          <w:color w:val="auto"/>
          <w:szCs w:val="18"/>
          <w:lang w:val="en"/>
        </w:rPr>
        <w:t>if a statement of reasons was given to the person regarding the determination in relation to suspected breach of the Code, or, in the case of an employee, regarding the sanction decision, that statement of reasons or those statement of reasons.</w:t>
      </w:r>
    </w:p>
    <w:p w:rsidR="00460D56" w:rsidRPr="00460D56" w:rsidRDefault="00460D56" w:rsidP="00460D56">
      <w:pPr>
        <w:widowControl w:val="0"/>
        <w:suppressAutoHyphens w:val="0"/>
        <w:spacing w:before="10" w:after="0" w:line="200" w:lineRule="exact"/>
        <w:ind w:left="720" w:right="84"/>
        <w:contextualSpacing/>
        <w:rPr>
          <w:rFonts w:ascii="Arial" w:eastAsia="Calibri" w:hAnsi="Arial" w:cs="Arial"/>
          <w:color w:val="auto"/>
          <w:szCs w:val="18"/>
          <w:lang w:val="en"/>
        </w:rPr>
      </w:pPr>
    </w:p>
    <w:sectPr w:rsidR="00460D56" w:rsidRPr="00460D56" w:rsidSect="00362AB6">
      <w:headerReference w:type="default"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26" w:rsidRDefault="00CD0826" w:rsidP="008E21DE">
      <w:pPr>
        <w:spacing w:before="0" w:after="0"/>
      </w:pPr>
      <w:r>
        <w:separator/>
      </w:r>
    </w:p>
  </w:endnote>
  <w:endnote w:type="continuationSeparator" w:id="0">
    <w:p w:rsidR="00CD0826" w:rsidRDefault="00CD082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EF671F"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144A86">
      <w:rPr>
        <w:noProof/>
      </w:rPr>
      <w:t>3</w:t>
    </w:r>
    <w:r w:rsidR="00362AB6">
      <w:rPr>
        <w:noProof/>
      </w:rPr>
      <w:fldChar w:fldCharType="end"/>
    </w:r>
  </w:p>
  <w:p w:rsidR="00000000" w:rsidRDefault="00144A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C2B691"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22223">
      <w:rPr>
        <w:noProof/>
      </w:rPr>
      <w:t>1</w:t>
    </w:r>
    <w:r>
      <w:rPr>
        <w:noProof/>
      </w:rPr>
      <w:fldChar w:fldCharType="end"/>
    </w:r>
  </w:p>
  <w:p w:rsidR="00000000" w:rsidRDefault="00144A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26" w:rsidRDefault="00CD0826" w:rsidP="008E21DE">
      <w:pPr>
        <w:spacing w:before="0" w:after="0"/>
      </w:pPr>
      <w:r>
        <w:separator/>
      </w:r>
    </w:p>
  </w:footnote>
  <w:footnote w:type="continuationSeparator" w:id="0">
    <w:p w:rsidR="00CD0826" w:rsidRDefault="00CD082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000000" w:rsidRDefault="00362AB6" w:rsidP="0088752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74DD9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82709" w:rsidP="00C5672F">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8487320"/>
    <w:multiLevelType w:val="hybridMultilevel"/>
    <w:tmpl w:val="FDDA1B66"/>
    <w:lvl w:ilvl="0" w:tplc="49222F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EAB6C8D"/>
    <w:multiLevelType w:val="hybridMultilevel"/>
    <w:tmpl w:val="E30CD674"/>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7E2619F"/>
    <w:multiLevelType w:val="hybridMultilevel"/>
    <w:tmpl w:val="BA54BD1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2378D3"/>
    <w:multiLevelType w:val="hybridMultilevel"/>
    <w:tmpl w:val="C6367ABA"/>
    <w:lvl w:ilvl="0" w:tplc="0C09001B">
      <w:start w:val="1"/>
      <w:numFmt w:val="lowerRoman"/>
      <w:lvlText w:val="%1."/>
      <w:lvlJc w:val="right"/>
      <w:pPr>
        <w:ind w:left="2563" w:hanging="720"/>
      </w:pPr>
      <w:rPr>
        <w:rFonts w:hint="default"/>
        <w:color w:val="212123"/>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22DD35D4"/>
    <w:multiLevelType w:val="hybridMultilevel"/>
    <w:tmpl w:val="F4EED970"/>
    <w:lvl w:ilvl="0" w:tplc="7AE0655C">
      <w:start w:val="1"/>
      <w:numFmt w:val="lowerLetter"/>
      <w:lvlText w:val="%1)"/>
      <w:lvlJc w:val="left"/>
      <w:pPr>
        <w:ind w:left="1069" w:hanging="360"/>
      </w:pPr>
      <w:rPr>
        <w:rFonts w:hint="default"/>
      </w:rPr>
    </w:lvl>
    <w:lvl w:ilvl="1" w:tplc="0C090019">
      <w:start w:val="1"/>
      <w:numFmt w:val="lowerLetter"/>
      <w:lvlText w:val="%2."/>
      <w:lvlJc w:val="left"/>
      <w:pPr>
        <w:ind w:left="1713" w:hanging="360"/>
      </w:pPr>
    </w:lvl>
    <w:lvl w:ilvl="2" w:tplc="0C09001B" w:tentative="1">
      <w:start w:val="1"/>
      <w:numFmt w:val="lowerRoman"/>
      <w:lvlText w:val="%3."/>
      <w:lvlJc w:val="right"/>
      <w:pPr>
        <w:ind w:left="2433" w:hanging="180"/>
      </w:pPr>
    </w:lvl>
    <w:lvl w:ilvl="3" w:tplc="0C09000F" w:tentative="1">
      <w:start w:val="1"/>
      <w:numFmt w:val="decimal"/>
      <w:lvlText w:val="%4."/>
      <w:lvlJc w:val="left"/>
      <w:pPr>
        <w:ind w:left="3153" w:hanging="360"/>
      </w:pPr>
    </w:lvl>
    <w:lvl w:ilvl="4" w:tplc="0C090019" w:tentative="1">
      <w:start w:val="1"/>
      <w:numFmt w:val="lowerLetter"/>
      <w:lvlText w:val="%5."/>
      <w:lvlJc w:val="left"/>
      <w:pPr>
        <w:ind w:left="3873" w:hanging="360"/>
      </w:pPr>
    </w:lvl>
    <w:lvl w:ilvl="5" w:tplc="0C09001B" w:tentative="1">
      <w:start w:val="1"/>
      <w:numFmt w:val="lowerRoman"/>
      <w:lvlText w:val="%6."/>
      <w:lvlJc w:val="right"/>
      <w:pPr>
        <w:ind w:left="4593" w:hanging="180"/>
      </w:pPr>
    </w:lvl>
    <w:lvl w:ilvl="6" w:tplc="0C09000F" w:tentative="1">
      <w:start w:val="1"/>
      <w:numFmt w:val="decimal"/>
      <w:lvlText w:val="%7."/>
      <w:lvlJc w:val="left"/>
      <w:pPr>
        <w:ind w:left="5313" w:hanging="360"/>
      </w:pPr>
    </w:lvl>
    <w:lvl w:ilvl="7" w:tplc="0C090019" w:tentative="1">
      <w:start w:val="1"/>
      <w:numFmt w:val="lowerLetter"/>
      <w:lvlText w:val="%8."/>
      <w:lvlJc w:val="left"/>
      <w:pPr>
        <w:ind w:left="6033" w:hanging="360"/>
      </w:pPr>
    </w:lvl>
    <w:lvl w:ilvl="8" w:tplc="0C09001B" w:tentative="1">
      <w:start w:val="1"/>
      <w:numFmt w:val="lowerRoman"/>
      <w:lvlText w:val="%9."/>
      <w:lvlJc w:val="right"/>
      <w:pPr>
        <w:ind w:left="6753" w:hanging="180"/>
      </w:p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C0F6B51"/>
    <w:multiLevelType w:val="hybridMultilevel"/>
    <w:tmpl w:val="C6367ABA"/>
    <w:lvl w:ilvl="0" w:tplc="0C09001B">
      <w:start w:val="1"/>
      <w:numFmt w:val="lowerRoman"/>
      <w:lvlText w:val="%1."/>
      <w:lvlJc w:val="right"/>
      <w:pPr>
        <w:ind w:left="1354" w:hanging="720"/>
      </w:pPr>
      <w:rPr>
        <w:rFonts w:hint="default"/>
        <w:color w:val="212123"/>
      </w:rPr>
    </w:lvl>
    <w:lvl w:ilvl="1" w:tplc="0C090019" w:tentative="1">
      <w:start w:val="1"/>
      <w:numFmt w:val="lowerLetter"/>
      <w:lvlText w:val="%2."/>
      <w:lvlJc w:val="left"/>
      <w:pPr>
        <w:ind w:left="1714" w:hanging="360"/>
      </w:pPr>
    </w:lvl>
    <w:lvl w:ilvl="2" w:tplc="0C09001B" w:tentative="1">
      <w:start w:val="1"/>
      <w:numFmt w:val="lowerRoman"/>
      <w:lvlText w:val="%3."/>
      <w:lvlJc w:val="right"/>
      <w:pPr>
        <w:ind w:left="2434" w:hanging="180"/>
      </w:pPr>
    </w:lvl>
    <w:lvl w:ilvl="3" w:tplc="0C09000F" w:tentative="1">
      <w:start w:val="1"/>
      <w:numFmt w:val="decimal"/>
      <w:lvlText w:val="%4."/>
      <w:lvlJc w:val="left"/>
      <w:pPr>
        <w:ind w:left="3154" w:hanging="360"/>
      </w:pPr>
    </w:lvl>
    <w:lvl w:ilvl="4" w:tplc="0C090019" w:tentative="1">
      <w:start w:val="1"/>
      <w:numFmt w:val="lowerLetter"/>
      <w:lvlText w:val="%5."/>
      <w:lvlJc w:val="left"/>
      <w:pPr>
        <w:ind w:left="3874" w:hanging="360"/>
      </w:pPr>
    </w:lvl>
    <w:lvl w:ilvl="5" w:tplc="0C09001B" w:tentative="1">
      <w:start w:val="1"/>
      <w:numFmt w:val="lowerRoman"/>
      <w:lvlText w:val="%6."/>
      <w:lvlJc w:val="right"/>
      <w:pPr>
        <w:ind w:left="4594" w:hanging="180"/>
      </w:pPr>
    </w:lvl>
    <w:lvl w:ilvl="6" w:tplc="0C09000F" w:tentative="1">
      <w:start w:val="1"/>
      <w:numFmt w:val="decimal"/>
      <w:lvlText w:val="%7."/>
      <w:lvlJc w:val="left"/>
      <w:pPr>
        <w:ind w:left="5314" w:hanging="360"/>
      </w:pPr>
    </w:lvl>
    <w:lvl w:ilvl="7" w:tplc="0C090019" w:tentative="1">
      <w:start w:val="1"/>
      <w:numFmt w:val="lowerLetter"/>
      <w:lvlText w:val="%8."/>
      <w:lvlJc w:val="left"/>
      <w:pPr>
        <w:ind w:left="6034" w:hanging="360"/>
      </w:pPr>
    </w:lvl>
    <w:lvl w:ilvl="8" w:tplc="0C09001B" w:tentative="1">
      <w:start w:val="1"/>
      <w:numFmt w:val="lowerRoman"/>
      <w:lvlText w:val="%9."/>
      <w:lvlJc w:val="right"/>
      <w:pPr>
        <w:ind w:left="6754" w:hanging="180"/>
      </w:pPr>
    </w:lvl>
  </w:abstractNum>
  <w:abstractNum w:abstractNumId="15"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CE52EC"/>
    <w:multiLevelType w:val="hybridMultilevel"/>
    <w:tmpl w:val="504CEB92"/>
    <w:lvl w:ilvl="0" w:tplc="0C09000F">
      <w:start w:val="1"/>
      <w:numFmt w:val="decimal"/>
      <w:lvlText w:val="%1."/>
      <w:lvlJc w:val="left"/>
      <w:pPr>
        <w:ind w:left="360"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FA7874"/>
    <w:multiLevelType w:val="hybridMultilevel"/>
    <w:tmpl w:val="E8BC2706"/>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9587F78"/>
    <w:multiLevelType w:val="multilevel"/>
    <w:tmpl w:val="07629034"/>
    <w:numStyleLink w:val="KCBullets"/>
  </w:abstractNum>
  <w:abstractNum w:abstractNumId="20" w15:restartNumberingAfterBreak="0">
    <w:nsid w:val="50517343"/>
    <w:multiLevelType w:val="multilevel"/>
    <w:tmpl w:val="131EEC6C"/>
    <w:numStyleLink w:val="TableNumbers"/>
  </w:abstractNum>
  <w:abstractNum w:abstractNumId="21" w15:restartNumberingAfterBreak="0">
    <w:nsid w:val="50E12008"/>
    <w:multiLevelType w:val="multilevel"/>
    <w:tmpl w:val="07629034"/>
    <w:numStyleLink w:val="KCBullets"/>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7456F4"/>
    <w:multiLevelType w:val="hybridMultilevel"/>
    <w:tmpl w:val="41C8EDE8"/>
    <w:lvl w:ilvl="0" w:tplc="0C090017">
      <w:start w:val="1"/>
      <w:numFmt w:val="lowerLetter"/>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4" w15:restartNumberingAfterBreak="0">
    <w:nsid w:val="55097A66"/>
    <w:multiLevelType w:val="hybridMultilevel"/>
    <w:tmpl w:val="E836031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563048B"/>
    <w:multiLevelType w:val="multilevel"/>
    <w:tmpl w:val="C284D0B0"/>
    <w:numStyleLink w:val="FigureNumbers"/>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5BF51665"/>
    <w:multiLevelType w:val="multilevel"/>
    <w:tmpl w:val="4E929216"/>
    <w:numStyleLink w:val="NumberedHeadings"/>
  </w:abstractNum>
  <w:abstractNum w:abstractNumId="29" w15:restartNumberingAfterBreak="0">
    <w:nsid w:val="62397869"/>
    <w:multiLevelType w:val="multilevel"/>
    <w:tmpl w:val="4E929216"/>
    <w:numStyleLink w:val="NumberedHeadings"/>
  </w:abstractNum>
  <w:abstractNum w:abstractNumId="30" w15:restartNumberingAfterBreak="0">
    <w:nsid w:val="6AC60C08"/>
    <w:multiLevelType w:val="hybridMultilevel"/>
    <w:tmpl w:val="A32C5B0C"/>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1" w15:restartNumberingAfterBreak="0">
    <w:nsid w:val="6AD25029"/>
    <w:multiLevelType w:val="hybridMultilevel"/>
    <w:tmpl w:val="D9DC47D4"/>
    <w:lvl w:ilvl="0" w:tplc="99223CCC">
      <w:start w:val="2"/>
      <w:numFmt w:val="lowerLetter"/>
      <w:lvlText w:val="%1)"/>
      <w:lvlJc w:val="left"/>
      <w:pPr>
        <w:ind w:left="-3381" w:hanging="360"/>
      </w:pPr>
      <w:rPr>
        <w:rFonts w:hint="default"/>
      </w:rPr>
    </w:lvl>
    <w:lvl w:ilvl="1" w:tplc="0C090019" w:tentative="1">
      <w:start w:val="1"/>
      <w:numFmt w:val="lowerLetter"/>
      <w:lvlText w:val="%2."/>
      <w:lvlJc w:val="left"/>
      <w:pPr>
        <w:ind w:left="-4144" w:hanging="360"/>
      </w:pPr>
    </w:lvl>
    <w:lvl w:ilvl="2" w:tplc="0C09001B" w:tentative="1">
      <w:start w:val="1"/>
      <w:numFmt w:val="lowerRoman"/>
      <w:lvlText w:val="%3."/>
      <w:lvlJc w:val="right"/>
      <w:pPr>
        <w:ind w:left="-3424" w:hanging="180"/>
      </w:pPr>
    </w:lvl>
    <w:lvl w:ilvl="3" w:tplc="0C09000F" w:tentative="1">
      <w:start w:val="1"/>
      <w:numFmt w:val="decimal"/>
      <w:lvlText w:val="%4."/>
      <w:lvlJc w:val="left"/>
      <w:pPr>
        <w:ind w:left="-2704" w:hanging="360"/>
      </w:pPr>
    </w:lvl>
    <w:lvl w:ilvl="4" w:tplc="0C090019" w:tentative="1">
      <w:start w:val="1"/>
      <w:numFmt w:val="lowerLetter"/>
      <w:lvlText w:val="%5."/>
      <w:lvlJc w:val="left"/>
      <w:pPr>
        <w:ind w:left="-1984" w:hanging="360"/>
      </w:pPr>
    </w:lvl>
    <w:lvl w:ilvl="5" w:tplc="0C09001B" w:tentative="1">
      <w:start w:val="1"/>
      <w:numFmt w:val="lowerRoman"/>
      <w:lvlText w:val="%6."/>
      <w:lvlJc w:val="right"/>
      <w:pPr>
        <w:ind w:left="-1264" w:hanging="180"/>
      </w:pPr>
    </w:lvl>
    <w:lvl w:ilvl="6" w:tplc="0C09000F" w:tentative="1">
      <w:start w:val="1"/>
      <w:numFmt w:val="decimal"/>
      <w:lvlText w:val="%7."/>
      <w:lvlJc w:val="left"/>
      <w:pPr>
        <w:ind w:left="-544" w:hanging="360"/>
      </w:pPr>
    </w:lvl>
    <w:lvl w:ilvl="7" w:tplc="0C090019" w:tentative="1">
      <w:start w:val="1"/>
      <w:numFmt w:val="lowerLetter"/>
      <w:lvlText w:val="%8."/>
      <w:lvlJc w:val="left"/>
      <w:pPr>
        <w:ind w:left="176" w:hanging="360"/>
      </w:pPr>
    </w:lvl>
    <w:lvl w:ilvl="8" w:tplc="0C09001B" w:tentative="1">
      <w:start w:val="1"/>
      <w:numFmt w:val="lowerRoman"/>
      <w:lvlText w:val="%9."/>
      <w:lvlJc w:val="right"/>
      <w:pPr>
        <w:ind w:left="896" w:hanging="180"/>
      </w:pPr>
    </w:lvl>
  </w:abstractNum>
  <w:abstractNum w:abstractNumId="32" w15:restartNumberingAfterBreak="0">
    <w:nsid w:val="6D4F423B"/>
    <w:multiLevelType w:val="multilevel"/>
    <w:tmpl w:val="4A7CCC2C"/>
    <w:numStyleLink w:val="DefaultBullets"/>
  </w:abstractNum>
  <w:abstractNum w:abstractNumId="33" w15:restartNumberingAfterBreak="0">
    <w:nsid w:val="71441F26"/>
    <w:multiLevelType w:val="hybridMultilevel"/>
    <w:tmpl w:val="504CEB92"/>
    <w:lvl w:ilvl="0" w:tplc="0C09000F">
      <w:start w:val="1"/>
      <w:numFmt w:val="decimal"/>
      <w:lvlText w:val="%1."/>
      <w:lvlJc w:val="left"/>
      <w:pPr>
        <w:ind w:left="360"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90B67C4"/>
    <w:multiLevelType w:val="multilevel"/>
    <w:tmpl w:val="FE688822"/>
    <w:numStyleLink w:val="BoxedBullets"/>
  </w:abstractNum>
  <w:abstractNum w:abstractNumId="36" w15:restartNumberingAfterBreak="0">
    <w:nsid w:val="7EE44065"/>
    <w:multiLevelType w:val="multilevel"/>
    <w:tmpl w:val="A41689A2"/>
    <w:numStyleLink w:val="AppendixNumbers"/>
  </w:abstractNum>
  <w:num w:numId="1">
    <w:abstractNumId w:val="5"/>
  </w:num>
  <w:num w:numId="2">
    <w:abstractNumId w:val="36"/>
  </w:num>
  <w:num w:numId="3">
    <w:abstractNumId w:val="22"/>
  </w:num>
  <w:num w:numId="4">
    <w:abstractNumId w:val="35"/>
  </w:num>
  <w:num w:numId="5">
    <w:abstractNumId w:val="35"/>
  </w:num>
  <w:num w:numId="6">
    <w:abstractNumId w:val="17"/>
  </w:num>
  <w:num w:numId="7">
    <w:abstractNumId w:val="21"/>
  </w:num>
  <w:num w:numId="8">
    <w:abstractNumId w:val="21"/>
  </w:num>
  <w:num w:numId="9">
    <w:abstractNumId w:val="21"/>
  </w:num>
  <w:num w:numId="10">
    <w:abstractNumId w:val="8"/>
  </w:num>
  <w:num w:numId="11">
    <w:abstractNumId w:val="25"/>
  </w:num>
  <w:num w:numId="12">
    <w:abstractNumId w:val="28"/>
  </w:num>
  <w:num w:numId="13">
    <w:abstractNumId w:val="28"/>
  </w:num>
  <w:num w:numId="14">
    <w:abstractNumId w:val="28"/>
  </w:num>
  <w:num w:numId="15">
    <w:abstractNumId w:val="28"/>
  </w:num>
  <w:num w:numId="16">
    <w:abstractNumId w:val="28"/>
  </w:num>
  <w:num w:numId="17">
    <w:abstractNumId w:val="28"/>
  </w:num>
  <w:num w:numId="18">
    <w:abstractNumId w:val="28"/>
  </w:num>
  <w:num w:numId="19">
    <w:abstractNumId w:val="7"/>
  </w:num>
  <w:num w:numId="20">
    <w:abstractNumId w:val="27"/>
  </w:num>
  <w:num w:numId="21">
    <w:abstractNumId w:val="27"/>
  </w:num>
  <w:num w:numId="22">
    <w:abstractNumId w:val="27"/>
  </w:num>
  <w:num w:numId="23">
    <w:abstractNumId w:val="26"/>
  </w:num>
  <w:num w:numId="24">
    <w:abstractNumId w:val="15"/>
  </w:num>
  <w:num w:numId="25">
    <w:abstractNumId w:val="9"/>
  </w:num>
  <w:num w:numId="26">
    <w:abstractNumId w:val="20"/>
  </w:num>
  <w:num w:numId="27">
    <w:abstractNumId w:val="0"/>
  </w:num>
  <w:num w:numId="28">
    <w:abstractNumId w:val="34"/>
  </w:num>
  <w:num w:numId="29">
    <w:abstractNumId w:val="3"/>
  </w:num>
  <w:num w:numId="30">
    <w:abstractNumId w:val="2"/>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9"/>
  </w:num>
  <w:num w:numId="37">
    <w:abstractNumId w:val="24"/>
  </w:num>
  <w:num w:numId="38">
    <w:abstractNumId w:val="33"/>
  </w:num>
  <w:num w:numId="39">
    <w:abstractNumId w:val="4"/>
  </w:num>
  <w:num w:numId="40">
    <w:abstractNumId w:val="6"/>
  </w:num>
  <w:num w:numId="41">
    <w:abstractNumId w:val="30"/>
  </w:num>
  <w:num w:numId="42">
    <w:abstractNumId w:val="14"/>
  </w:num>
  <w:num w:numId="43">
    <w:abstractNumId w:val="11"/>
  </w:num>
  <w:num w:numId="44">
    <w:abstractNumId w:val="10"/>
  </w:num>
  <w:num w:numId="45">
    <w:abstractNumId w:val="31"/>
  </w:num>
  <w:num w:numId="46">
    <w:abstractNumId w:val="16"/>
  </w:num>
  <w:num w:numId="47">
    <w:abstractNumId w:val="23"/>
  </w:num>
  <w:num w:numId="48">
    <w:abstractNumId w:val="1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26"/>
    <w:rsid w:val="00043D08"/>
    <w:rsid w:val="00080615"/>
    <w:rsid w:val="000B5EF9"/>
    <w:rsid w:val="000C252F"/>
    <w:rsid w:val="000F3A54"/>
    <w:rsid w:val="000F48FC"/>
    <w:rsid w:val="00144A86"/>
    <w:rsid w:val="00182709"/>
    <w:rsid w:val="00201052"/>
    <w:rsid w:val="00231AAC"/>
    <w:rsid w:val="002804D3"/>
    <w:rsid w:val="002F381A"/>
    <w:rsid w:val="003449A0"/>
    <w:rsid w:val="00362AB6"/>
    <w:rsid w:val="003C2B74"/>
    <w:rsid w:val="003F29B8"/>
    <w:rsid w:val="004154E2"/>
    <w:rsid w:val="00460D56"/>
    <w:rsid w:val="004D4273"/>
    <w:rsid w:val="00534D53"/>
    <w:rsid w:val="005B053D"/>
    <w:rsid w:val="00622223"/>
    <w:rsid w:val="00625854"/>
    <w:rsid w:val="00680A20"/>
    <w:rsid w:val="00680F04"/>
    <w:rsid w:val="006D6D91"/>
    <w:rsid w:val="007342BF"/>
    <w:rsid w:val="0078103B"/>
    <w:rsid w:val="007C489A"/>
    <w:rsid w:val="00887526"/>
    <w:rsid w:val="008A649A"/>
    <w:rsid w:val="008B7938"/>
    <w:rsid w:val="008E21DE"/>
    <w:rsid w:val="0092679E"/>
    <w:rsid w:val="009539C8"/>
    <w:rsid w:val="00985FA8"/>
    <w:rsid w:val="009F4EAA"/>
    <w:rsid w:val="00A07E4A"/>
    <w:rsid w:val="00A60009"/>
    <w:rsid w:val="00AA094B"/>
    <w:rsid w:val="00AB12D5"/>
    <w:rsid w:val="00AD735D"/>
    <w:rsid w:val="00AF0899"/>
    <w:rsid w:val="00B603C0"/>
    <w:rsid w:val="00B83AB4"/>
    <w:rsid w:val="00BA4FF9"/>
    <w:rsid w:val="00BC3BA1"/>
    <w:rsid w:val="00C0421C"/>
    <w:rsid w:val="00C10202"/>
    <w:rsid w:val="00C15F76"/>
    <w:rsid w:val="00C21944"/>
    <w:rsid w:val="00C2698C"/>
    <w:rsid w:val="00C52C59"/>
    <w:rsid w:val="00C5672F"/>
    <w:rsid w:val="00C90DF2"/>
    <w:rsid w:val="00CB64BD"/>
    <w:rsid w:val="00CD0826"/>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8DD16"/>
  <w15:chartTrackingRefBased/>
  <w15:docId w15:val="{A343FDAA-587B-4E75-BBCC-A2D4DA0D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887526"/>
    <w:pPr>
      <w:ind w:left="720"/>
      <w:contextualSpacing/>
    </w:pPr>
  </w:style>
  <w:style w:type="paragraph" w:styleId="BalloonText">
    <w:name w:val="Balloon Text"/>
    <w:basedOn w:val="Normal"/>
    <w:link w:val="BalloonTextChar"/>
    <w:uiPriority w:val="99"/>
    <w:semiHidden/>
    <w:unhideWhenUsed/>
    <w:rsid w:val="003C2B7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COO\APS%20Code%20of%20Conduct%20procedures%20minute\Attachment%20A.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XXRX33EKAAPY-2130132310-21</_dlc_DocId>
    <_dlc_DocIdUrl xmlns="70c97565-21fa-4874-9a56-f56e250ee8ff">
      <Url>https://qscnet/our-business/_layouts/15/DocIdRedir.aspx?ID=XXRX33EKAAPY-2130132310-21</Url>
      <Description>XXRX33EKAAPY-2130132310-21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1" ma:contentTypeDescription="Create a new document." ma:contentTypeScope="" ma:versionID="d482be1d9f36b2a2c25dd31f3e7c4f1e">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0cc624fb9b332d33a96eb6665168d38f"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FF27-CE82-417B-8427-7ABDB885721E}">
  <ds:schemaRefs>
    <ds:schemaRef ds:uri="http://purl.org/dc/terms/"/>
    <ds:schemaRef ds:uri="http://purl.org/dc/elements/1.1/"/>
    <ds:schemaRef ds:uri="http://schemas.microsoft.com/sharepoint/v3"/>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70c97565-21fa-4874-9a56-f56e250ee8ff"/>
    <ds:schemaRef ds:uri="http://purl.org/dc/dcmitype/"/>
  </ds:schemaRefs>
</ds:datastoreItem>
</file>

<file path=customXml/itemProps2.xml><?xml version="1.0" encoding="utf-8"?>
<ds:datastoreItem xmlns:ds="http://schemas.openxmlformats.org/officeDocument/2006/customXml" ds:itemID="{111DBEAB-150C-4AC2-8B3A-DDA9D6D47200}">
  <ds:schemaRefs>
    <ds:schemaRef ds:uri="http://schemas.microsoft.com/sharepoint/v3/contenttype/forms"/>
  </ds:schemaRefs>
</ds:datastoreItem>
</file>

<file path=customXml/itemProps3.xml><?xml version="1.0" encoding="utf-8"?>
<ds:datastoreItem xmlns:ds="http://schemas.openxmlformats.org/officeDocument/2006/customXml" ds:itemID="{2D8F430A-F390-4E7A-A599-180ADFD0D5E0}">
  <ds:schemaRefs>
    <ds:schemaRef ds:uri="http://schemas.microsoft.com/sharepoint/events"/>
  </ds:schemaRefs>
</ds:datastoreItem>
</file>

<file path=customXml/itemProps4.xml><?xml version="1.0" encoding="utf-8"?>
<ds:datastoreItem xmlns:ds="http://schemas.openxmlformats.org/officeDocument/2006/customXml" ds:itemID="{CDD9A74F-3B50-41D7-B3D9-392987E6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C0DB8-BDC8-4D62-99FE-C9C1B043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A</Template>
  <TotalTime>13</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Template - Portrait Document</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Portrait Document</dc:title>
  <dc:subject/>
  <dc:creator>VISINTIN, Stephanie</dc:creator>
  <cp:keywords/>
  <dc:description/>
  <cp:lastModifiedBy>VISINTIN, Stephanie</cp:lastModifiedBy>
  <cp:revision>4</cp:revision>
  <cp:lastPrinted>2018-11-20T23:49:00Z</cp:lastPrinted>
  <dcterms:created xsi:type="dcterms:W3CDTF">2018-11-21T00:20:00Z</dcterms:created>
  <dcterms:modified xsi:type="dcterms:W3CDTF">2018-11-21T00:33:00Z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91d66863-aed0-4c2a-84ce-367b33a064e5</vt:lpwstr>
  </property>
</Properties>
</file>