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CA9AB" w14:textId="77777777" w:rsidR="00555D48" w:rsidRDefault="00555D48" w:rsidP="003B507E">
      <w:bookmarkStart w:id="0" w:name="_Toc89091812"/>
      <w:bookmarkStart w:id="1" w:name="_GoBack"/>
      <w:bookmarkEnd w:id="1"/>
    </w:p>
    <w:p w14:paraId="34D5E268" w14:textId="77777777" w:rsidR="00555D48" w:rsidRDefault="00555D48" w:rsidP="003B507E"/>
    <w:p w14:paraId="0C5B8F18" w14:textId="77777777" w:rsidR="00623B22" w:rsidRDefault="00623B22" w:rsidP="003B507E"/>
    <w:p w14:paraId="2F8D40FE" w14:textId="334248BF" w:rsidR="00623B22" w:rsidRDefault="00C51651" w:rsidP="003B507E">
      <w:r>
        <w:rPr>
          <w:noProof/>
          <w:lang w:eastAsia="en-AU"/>
        </w:rPr>
        <w:drawing>
          <wp:inline distT="0" distB="0" distL="0" distR="0" wp14:anchorId="10EDA1AE" wp14:editId="02A303FA">
            <wp:extent cx="3438525" cy="1096523"/>
            <wp:effectExtent l="0" t="0" r="0" b="8890"/>
            <wp:docPr id="2" name="Picture 2" descr="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Quality and Safeguards Commis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8033" cy="1102744"/>
                    </a:xfrm>
                    <a:prstGeom prst="rect">
                      <a:avLst/>
                    </a:prstGeom>
                  </pic:spPr>
                </pic:pic>
              </a:graphicData>
            </a:graphic>
          </wp:inline>
        </w:drawing>
      </w:r>
    </w:p>
    <w:p w14:paraId="59032FBB" w14:textId="77777777" w:rsidR="00623B22" w:rsidRPr="00623B22" w:rsidRDefault="00623B22" w:rsidP="003B507E"/>
    <w:p w14:paraId="6A4B0281" w14:textId="77777777" w:rsidR="00555D48" w:rsidRDefault="00555D48" w:rsidP="003B507E"/>
    <w:p w14:paraId="5AAC0C71" w14:textId="77777777" w:rsidR="00555D48" w:rsidRPr="00623B22" w:rsidRDefault="0038325D" w:rsidP="0034381F">
      <w:pPr>
        <w:pStyle w:val="Heading1"/>
        <w:rPr>
          <w:rFonts w:asciiTheme="minorHAnsi" w:hAnsiTheme="minorHAnsi" w:cstheme="minorHAnsi"/>
          <w:color w:val="5F497A" w:themeColor="accent4" w:themeShade="BF"/>
          <w:sz w:val="48"/>
          <w:szCs w:val="48"/>
        </w:rPr>
      </w:pPr>
      <w:r>
        <w:rPr>
          <w:rFonts w:asciiTheme="minorHAnsi" w:hAnsiTheme="minorHAnsi" w:cstheme="minorHAnsi"/>
          <w:color w:val="5F497A" w:themeColor="accent4" w:themeShade="BF"/>
          <w:sz w:val="48"/>
          <w:szCs w:val="48"/>
        </w:rPr>
        <w:t xml:space="preserve">Unauthorised uses of </w:t>
      </w:r>
      <w:r w:rsidR="0034381F" w:rsidRPr="00623B22">
        <w:rPr>
          <w:rFonts w:asciiTheme="minorHAnsi" w:hAnsiTheme="minorHAnsi" w:cstheme="minorHAnsi"/>
          <w:color w:val="5F497A" w:themeColor="accent4" w:themeShade="BF"/>
          <w:sz w:val="48"/>
          <w:szCs w:val="48"/>
        </w:rPr>
        <w:t>r</w:t>
      </w:r>
      <w:r w:rsidR="006D10CE" w:rsidRPr="00623B22">
        <w:rPr>
          <w:rFonts w:asciiTheme="minorHAnsi" w:hAnsiTheme="minorHAnsi" w:cstheme="minorHAnsi"/>
          <w:color w:val="5F497A" w:themeColor="accent4" w:themeShade="BF"/>
          <w:sz w:val="48"/>
          <w:szCs w:val="48"/>
        </w:rPr>
        <w:t>estrictive practice</w:t>
      </w:r>
      <w:r>
        <w:rPr>
          <w:rFonts w:asciiTheme="minorHAnsi" w:hAnsiTheme="minorHAnsi" w:cstheme="minorHAnsi"/>
          <w:color w:val="5F497A" w:themeColor="accent4" w:themeShade="BF"/>
          <w:sz w:val="48"/>
          <w:szCs w:val="48"/>
        </w:rPr>
        <w:t>s</w:t>
      </w:r>
      <w:r w:rsidR="00555D48" w:rsidRPr="00623B22">
        <w:rPr>
          <w:rFonts w:asciiTheme="minorHAnsi" w:hAnsiTheme="minorHAnsi" w:cstheme="minorHAnsi"/>
          <w:color w:val="5F497A" w:themeColor="accent4" w:themeShade="BF"/>
          <w:sz w:val="48"/>
          <w:szCs w:val="48"/>
        </w:rPr>
        <w:t xml:space="preserve"> in the National Disability Insurance Scheme </w:t>
      </w:r>
    </w:p>
    <w:bookmarkEnd w:id="0"/>
    <w:p w14:paraId="15663560" w14:textId="77777777" w:rsidR="00555D48" w:rsidRDefault="00555D48" w:rsidP="00326DE3">
      <w:pPr>
        <w:rPr>
          <w:rFonts w:asciiTheme="minorHAnsi" w:hAnsiTheme="minorHAnsi" w:cstheme="minorHAnsi"/>
          <w:sz w:val="28"/>
          <w:szCs w:val="28"/>
        </w:rPr>
      </w:pPr>
      <w:r w:rsidRPr="00326DE3">
        <w:rPr>
          <w:rFonts w:asciiTheme="minorHAnsi" w:hAnsiTheme="minorHAnsi" w:cstheme="minorHAnsi"/>
          <w:sz w:val="28"/>
          <w:szCs w:val="28"/>
        </w:rPr>
        <w:t xml:space="preserve">Unauthorised </w:t>
      </w:r>
      <w:r w:rsidR="00FA79FB">
        <w:rPr>
          <w:rFonts w:asciiTheme="minorHAnsi" w:hAnsiTheme="minorHAnsi" w:cstheme="minorHAnsi"/>
          <w:sz w:val="28"/>
          <w:szCs w:val="28"/>
        </w:rPr>
        <w:t>uses of r</w:t>
      </w:r>
      <w:r w:rsidRPr="00326DE3">
        <w:rPr>
          <w:rFonts w:asciiTheme="minorHAnsi" w:hAnsiTheme="minorHAnsi" w:cstheme="minorHAnsi"/>
          <w:sz w:val="28"/>
          <w:szCs w:val="28"/>
        </w:rPr>
        <w:t xml:space="preserve">estrictive </w:t>
      </w:r>
      <w:r w:rsidR="00FA79FB">
        <w:rPr>
          <w:rFonts w:asciiTheme="minorHAnsi" w:hAnsiTheme="minorHAnsi" w:cstheme="minorHAnsi"/>
          <w:sz w:val="28"/>
          <w:szCs w:val="28"/>
        </w:rPr>
        <w:t>p</w:t>
      </w:r>
      <w:r w:rsidRPr="00326DE3">
        <w:rPr>
          <w:rFonts w:asciiTheme="minorHAnsi" w:hAnsiTheme="minorHAnsi" w:cstheme="minorHAnsi"/>
          <w:sz w:val="28"/>
          <w:szCs w:val="28"/>
        </w:rPr>
        <w:t xml:space="preserve">ractices </w:t>
      </w:r>
      <w:r w:rsidR="00FA79FB">
        <w:rPr>
          <w:rFonts w:asciiTheme="minorHAnsi" w:hAnsiTheme="minorHAnsi" w:cstheme="minorHAnsi"/>
          <w:sz w:val="28"/>
          <w:szCs w:val="28"/>
        </w:rPr>
        <w:t>r</w:t>
      </w:r>
      <w:r w:rsidRPr="00326DE3">
        <w:rPr>
          <w:rFonts w:asciiTheme="minorHAnsi" w:hAnsiTheme="minorHAnsi" w:cstheme="minorHAnsi"/>
          <w:sz w:val="28"/>
          <w:szCs w:val="28"/>
        </w:rPr>
        <w:t xml:space="preserve">eported to the NDIS Quality and </w:t>
      </w:r>
      <w:r w:rsidR="00623B22">
        <w:rPr>
          <w:rFonts w:asciiTheme="minorHAnsi" w:hAnsiTheme="minorHAnsi" w:cstheme="minorHAnsi"/>
          <w:sz w:val="28"/>
          <w:szCs w:val="28"/>
        </w:rPr>
        <w:t xml:space="preserve">Safeguards Commission </w:t>
      </w:r>
    </w:p>
    <w:p w14:paraId="0D1A740D" w14:textId="77777777" w:rsidR="00623B22" w:rsidRDefault="00623B22" w:rsidP="00326DE3">
      <w:pPr>
        <w:rPr>
          <w:rFonts w:asciiTheme="minorHAnsi" w:hAnsiTheme="minorHAnsi" w:cstheme="minorHAnsi"/>
          <w:sz w:val="28"/>
          <w:szCs w:val="28"/>
        </w:rPr>
      </w:pPr>
    </w:p>
    <w:p w14:paraId="4AE2D7D6" w14:textId="77777777" w:rsidR="00623B22" w:rsidRDefault="00623B22" w:rsidP="00326DE3">
      <w:pPr>
        <w:rPr>
          <w:rFonts w:asciiTheme="minorHAnsi" w:hAnsiTheme="minorHAnsi" w:cstheme="minorHAnsi"/>
          <w:sz w:val="28"/>
          <w:szCs w:val="28"/>
        </w:rPr>
      </w:pPr>
    </w:p>
    <w:p w14:paraId="7B7F00A9" w14:textId="77777777" w:rsidR="00623B22" w:rsidRDefault="00623B22" w:rsidP="00326DE3">
      <w:pPr>
        <w:rPr>
          <w:rFonts w:asciiTheme="minorHAnsi" w:hAnsiTheme="minorHAnsi" w:cstheme="minorHAnsi"/>
          <w:sz w:val="28"/>
          <w:szCs w:val="28"/>
        </w:rPr>
      </w:pPr>
    </w:p>
    <w:p w14:paraId="52493E04" w14:textId="77777777" w:rsidR="00623B22" w:rsidRDefault="00623B22" w:rsidP="00326DE3">
      <w:pPr>
        <w:rPr>
          <w:rFonts w:asciiTheme="minorHAnsi" w:hAnsiTheme="minorHAnsi" w:cstheme="minorHAnsi"/>
          <w:sz w:val="28"/>
          <w:szCs w:val="28"/>
        </w:rPr>
      </w:pPr>
    </w:p>
    <w:p w14:paraId="5EDD0B93" w14:textId="77777777" w:rsidR="00623B22" w:rsidRDefault="00623B22" w:rsidP="003B507E"/>
    <w:p w14:paraId="6111E45C" w14:textId="77777777" w:rsidR="003B507E" w:rsidRDefault="003B507E" w:rsidP="003B507E">
      <w:pPr>
        <w:rPr>
          <w:noProof/>
          <w:color w:val="5F497A" w:themeColor="accent4" w:themeShade="BF"/>
          <w:szCs w:val="32"/>
          <w:lang w:eastAsia="en-AU"/>
        </w:rPr>
      </w:pPr>
    </w:p>
    <w:p w14:paraId="06729516" w14:textId="77777777" w:rsidR="003B507E" w:rsidRDefault="003B507E" w:rsidP="003B507E">
      <w:pPr>
        <w:rPr>
          <w:noProof/>
          <w:color w:val="5F497A" w:themeColor="accent4" w:themeShade="BF"/>
          <w:szCs w:val="32"/>
          <w:lang w:eastAsia="en-AU"/>
        </w:rPr>
      </w:pPr>
    </w:p>
    <w:p w14:paraId="74CE2389" w14:textId="77777777" w:rsidR="00623B22" w:rsidRDefault="00623B22" w:rsidP="003B507E">
      <w:pPr>
        <w:pStyle w:val="Heading1"/>
        <w:ind w:right="-851"/>
        <w:jc w:val="right"/>
        <w:rPr>
          <w:rFonts w:asciiTheme="minorHAnsi" w:hAnsiTheme="minorHAnsi" w:cstheme="minorHAnsi"/>
          <w:color w:val="5F497A" w:themeColor="accent4" w:themeShade="BF"/>
          <w:szCs w:val="32"/>
          <w:lang w:eastAsia="en-AU"/>
        </w:rPr>
      </w:pPr>
      <w:r w:rsidRPr="00623B22">
        <w:rPr>
          <w:rFonts w:asciiTheme="minorHAnsi" w:hAnsiTheme="minorHAnsi" w:cstheme="minorHAnsi"/>
          <w:noProof/>
          <w:color w:val="5F497A" w:themeColor="accent4" w:themeShade="BF"/>
          <w:szCs w:val="32"/>
          <w:lang w:eastAsia="en-AU"/>
        </w:rPr>
        <w:t>NDIS</w:t>
      </w:r>
      <w:r w:rsidR="003B507E">
        <w:rPr>
          <w:rFonts w:asciiTheme="minorHAnsi" w:hAnsiTheme="minorHAnsi" w:cstheme="minorHAnsi"/>
          <w:noProof/>
          <w:color w:val="5F497A" w:themeColor="accent4" w:themeShade="BF"/>
          <w:szCs w:val="32"/>
          <w:lang w:eastAsia="en-AU"/>
        </w:rPr>
        <w:t xml:space="preserve"> </w:t>
      </w:r>
      <w:r w:rsidRPr="00623B22">
        <w:rPr>
          <w:rFonts w:asciiTheme="minorHAnsi" w:hAnsiTheme="minorHAnsi" w:cstheme="minorHAnsi"/>
          <w:color w:val="5F497A" w:themeColor="accent4" w:themeShade="BF"/>
          <w:szCs w:val="32"/>
          <w:lang w:eastAsia="en-AU"/>
        </w:rPr>
        <w:t>Quality and Safeguards Commission</w:t>
      </w:r>
    </w:p>
    <w:p w14:paraId="233647F7" w14:textId="77777777" w:rsidR="00623B22" w:rsidRPr="00623B22" w:rsidRDefault="0038325D" w:rsidP="00623B22">
      <w:pPr>
        <w:ind w:right="-851"/>
        <w:jc w:val="right"/>
        <w:rPr>
          <w:rFonts w:asciiTheme="minorHAnsi" w:hAnsiTheme="minorHAnsi" w:cstheme="minorHAnsi"/>
          <w:color w:val="5F497A" w:themeColor="accent4" w:themeShade="BF"/>
          <w:sz w:val="32"/>
          <w:szCs w:val="32"/>
          <w:lang w:eastAsia="en-AU"/>
        </w:rPr>
      </w:pPr>
      <w:r>
        <w:rPr>
          <w:rFonts w:asciiTheme="minorHAnsi" w:hAnsiTheme="minorHAnsi" w:cstheme="minorHAnsi"/>
          <w:color w:val="5F497A" w:themeColor="accent4" w:themeShade="BF"/>
          <w:sz w:val="32"/>
          <w:szCs w:val="32"/>
          <w:lang w:eastAsia="en-AU"/>
        </w:rPr>
        <w:t>January 2022</w:t>
      </w:r>
    </w:p>
    <w:p w14:paraId="747398AF" w14:textId="77777777" w:rsidR="00623B22" w:rsidRPr="00326DE3" w:rsidRDefault="00623B22" w:rsidP="00326DE3">
      <w:pPr>
        <w:rPr>
          <w:rFonts w:asciiTheme="minorHAnsi" w:hAnsiTheme="minorHAnsi" w:cstheme="minorHAnsi"/>
          <w:sz w:val="28"/>
          <w:szCs w:val="28"/>
        </w:rPr>
      </w:pPr>
    </w:p>
    <w:p w14:paraId="11B55622" w14:textId="77777777" w:rsidR="00555D48" w:rsidRDefault="00555D48">
      <w:pPr>
        <w:rPr>
          <w:rFonts w:asciiTheme="minorHAnsi" w:eastAsiaTheme="majorEastAsia" w:hAnsiTheme="minorHAnsi" w:cstheme="minorHAnsi"/>
          <w:b/>
          <w:bCs/>
          <w:sz w:val="26"/>
          <w:szCs w:val="26"/>
        </w:rPr>
      </w:pPr>
      <w:bookmarkStart w:id="2" w:name="_Toc89091813"/>
      <w:r>
        <w:rPr>
          <w:rFonts w:asciiTheme="minorHAnsi" w:hAnsiTheme="minorHAnsi" w:cstheme="minorHAnsi"/>
        </w:rPr>
        <w:br w:type="page"/>
      </w:r>
    </w:p>
    <w:bookmarkEnd w:id="2"/>
    <w:p w14:paraId="74B600D5" w14:textId="77777777" w:rsidR="00555D48" w:rsidRDefault="00555D48" w:rsidP="00726D5E">
      <w:pPr>
        <w:rPr>
          <w:rFonts w:asciiTheme="minorHAnsi" w:hAnsiTheme="minorHAnsi" w:cstheme="minorHAnsi"/>
          <w:lang w:eastAsia="en-AU"/>
        </w:rPr>
      </w:pPr>
    </w:p>
    <w:p w14:paraId="054AEB36" w14:textId="77777777" w:rsidR="00BF04DC" w:rsidRDefault="00BF04DC" w:rsidP="00764BE0">
      <w:pPr>
        <w:spacing w:before="120" w:after="120"/>
        <w:rPr>
          <w:rFonts w:asciiTheme="minorHAnsi" w:hAnsiTheme="minorHAnsi" w:cstheme="minorHAnsi"/>
        </w:rPr>
      </w:pPr>
    </w:p>
    <w:tbl>
      <w:tblPr>
        <w:tblStyle w:val="TableGrid"/>
        <w:tblW w:w="0" w:type="auto"/>
        <w:tblInd w:w="846" w:type="dxa"/>
        <w:tblLook w:val="04A0" w:firstRow="1" w:lastRow="0" w:firstColumn="1" w:lastColumn="0" w:noHBand="0" w:noVBand="1"/>
        <w:tblDescription w:val="Regulated and restrictive practices statement."/>
      </w:tblPr>
      <w:tblGrid>
        <w:gridCol w:w="7087"/>
      </w:tblGrid>
      <w:tr w:rsidR="00BF04DC" w14:paraId="1F6721C9" w14:textId="77777777" w:rsidTr="00623B22">
        <w:tc>
          <w:tcPr>
            <w:tcW w:w="70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62E2599" w14:textId="4ED74A32" w:rsidR="00BF04DC" w:rsidRPr="005421CC" w:rsidRDefault="00BF04DC" w:rsidP="00BF04DC">
            <w:pPr>
              <w:spacing w:before="120" w:after="120"/>
              <w:rPr>
                <w:rFonts w:asciiTheme="minorHAnsi" w:hAnsiTheme="minorHAnsi" w:cstheme="minorHAnsi"/>
                <w:b/>
                <w:sz w:val="20"/>
                <w:szCs w:val="20"/>
              </w:rPr>
            </w:pPr>
            <w:r w:rsidRPr="005421CC">
              <w:rPr>
                <w:rFonts w:asciiTheme="minorHAnsi" w:hAnsiTheme="minorHAnsi" w:cstheme="minorHAnsi"/>
                <w:b/>
                <w:sz w:val="20"/>
                <w:szCs w:val="20"/>
              </w:rPr>
              <w:t xml:space="preserve">The NDIS </w:t>
            </w:r>
            <w:r w:rsidR="006D39EF">
              <w:rPr>
                <w:rFonts w:asciiTheme="minorHAnsi" w:hAnsiTheme="minorHAnsi" w:cstheme="minorHAnsi"/>
                <w:b/>
                <w:sz w:val="20"/>
                <w:szCs w:val="20"/>
              </w:rPr>
              <w:t xml:space="preserve">Quality and Safeguards </w:t>
            </w:r>
            <w:r w:rsidRPr="005421CC">
              <w:rPr>
                <w:rFonts w:asciiTheme="minorHAnsi" w:hAnsiTheme="minorHAnsi" w:cstheme="minorHAnsi"/>
                <w:b/>
                <w:sz w:val="20"/>
                <w:szCs w:val="20"/>
              </w:rPr>
              <w:t xml:space="preserve">Commission regulates the use of regulated restrictive practices by NDIS providers in relation to NDIS participants. </w:t>
            </w:r>
          </w:p>
          <w:p w14:paraId="53653426" w14:textId="77777777" w:rsidR="00BF04DC" w:rsidRPr="005421CC" w:rsidRDefault="00BF04DC" w:rsidP="00BF04DC">
            <w:pPr>
              <w:spacing w:before="120" w:after="120"/>
              <w:rPr>
                <w:rFonts w:asciiTheme="minorHAnsi" w:hAnsiTheme="minorHAnsi" w:cstheme="minorHAnsi"/>
                <w:b/>
                <w:sz w:val="20"/>
                <w:szCs w:val="20"/>
              </w:rPr>
            </w:pPr>
            <w:r w:rsidRPr="005421CC">
              <w:rPr>
                <w:rFonts w:asciiTheme="minorHAnsi" w:hAnsiTheme="minorHAnsi" w:cstheme="minorHAnsi"/>
                <w:b/>
                <w:sz w:val="20"/>
                <w:szCs w:val="20"/>
              </w:rPr>
              <w:t>The NDIS Commission does not regulate the use of restrictive practices outside the NDIS, even if the restrictive practices are being used in relation to NDIS participants. For example, the NDIS Commission does not regulate the use of restrictive practices:</w:t>
            </w:r>
          </w:p>
          <w:p w14:paraId="6C8E8047" w14:textId="77777777" w:rsidR="00BF04DC" w:rsidRPr="005421CC" w:rsidRDefault="00BF04DC" w:rsidP="003A1DA0">
            <w:pPr>
              <w:numPr>
                <w:ilvl w:val="0"/>
                <w:numId w:val="2"/>
              </w:numPr>
              <w:spacing w:before="120" w:after="120"/>
              <w:rPr>
                <w:rFonts w:asciiTheme="minorHAnsi" w:hAnsiTheme="minorHAnsi" w:cstheme="minorHAnsi"/>
                <w:b/>
                <w:sz w:val="20"/>
                <w:szCs w:val="20"/>
              </w:rPr>
            </w:pPr>
            <w:r w:rsidRPr="005421CC">
              <w:rPr>
                <w:rFonts w:asciiTheme="minorHAnsi" w:hAnsiTheme="minorHAnsi" w:cstheme="minorHAnsi"/>
                <w:b/>
                <w:sz w:val="20"/>
                <w:szCs w:val="20"/>
              </w:rPr>
              <w:t>in health, education or forensic settings (unless they are used by NDIS providers in those settings)</w:t>
            </w:r>
          </w:p>
          <w:p w14:paraId="31DC01E7" w14:textId="77777777" w:rsidR="00BF04DC" w:rsidRPr="005421CC" w:rsidRDefault="00BF04DC" w:rsidP="003A1DA0">
            <w:pPr>
              <w:numPr>
                <w:ilvl w:val="0"/>
                <w:numId w:val="2"/>
              </w:numPr>
              <w:spacing w:before="120" w:after="120"/>
              <w:rPr>
                <w:rFonts w:asciiTheme="minorHAnsi" w:hAnsiTheme="minorHAnsi" w:cstheme="minorHAnsi"/>
                <w:b/>
                <w:sz w:val="20"/>
                <w:szCs w:val="20"/>
              </w:rPr>
            </w:pPr>
            <w:r w:rsidRPr="005421CC">
              <w:rPr>
                <w:rFonts w:asciiTheme="minorHAnsi" w:hAnsiTheme="minorHAnsi" w:cstheme="minorHAnsi"/>
                <w:b/>
                <w:sz w:val="20"/>
                <w:szCs w:val="20"/>
              </w:rPr>
              <w:t>by family members or other people who provide informal supports to participants.</w:t>
            </w:r>
          </w:p>
          <w:p w14:paraId="6041DA26" w14:textId="77777777" w:rsidR="00BF04DC" w:rsidRPr="005421CC" w:rsidRDefault="00BF04DC" w:rsidP="00BF04DC">
            <w:pPr>
              <w:spacing w:before="120" w:after="120"/>
              <w:rPr>
                <w:rFonts w:asciiTheme="minorHAnsi" w:hAnsiTheme="minorHAnsi" w:cstheme="minorHAnsi"/>
                <w:b/>
                <w:sz w:val="20"/>
                <w:szCs w:val="20"/>
              </w:rPr>
            </w:pPr>
            <w:r w:rsidRPr="005421CC">
              <w:rPr>
                <w:rFonts w:asciiTheme="minorHAnsi" w:hAnsiTheme="minorHAnsi" w:cstheme="minorHAnsi"/>
                <w:b/>
                <w:sz w:val="20"/>
                <w:szCs w:val="20"/>
              </w:rPr>
              <w:t>Regulated restrictive practices are restrictive practices that involve:</w:t>
            </w:r>
          </w:p>
          <w:p w14:paraId="595ADED6" w14:textId="77777777" w:rsidR="00BF04DC" w:rsidRPr="005421CC" w:rsidRDefault="00BF04DC" w:rsidP="003A1DA0">
            <w:pPr>
              <w:numPr>
                <w:ilvl w:val="0"/>
                <w:numId w:val="3"/>
              </w:numPr>
              <w:spacing w:before="120" w:after="120"/>
              <w:rPr>
                <w:rFonts w:asciiTheme="minorHAnsi" w:hAnsiTheme="minorHAnsi" w:cstheme="minorHAnsi"/>
                <w:b/>
                <w:sz w:val="20"/>
                <w:szCs w:val="20"/>
              </w:rPr>
            </w:pPr>
            <w:r w:rsidRPr="005421CC">
              <w:rPr>
                <w:rFonts w:asciiTheme="minorHAnsi" w:hAnsiTheme="minorHAnsi" w:cstheme="minorHAnsi"/>
                <w:b/>
                <w:sz w:val="20"/>
                <w:szCs w:val="20"/>
              </w:rPr>
              <w:t>seclusion</w:t>
            </w:r>
          </w:p>
          <w:p w14:paraId="0E239B53" w14:textId="77777777" w:rsidR="00BF04DC" w:rsidRPr="005421CC" w:rsidRDefault="00BF04DC" w:rsidP="003A1DA0">
            <w:pPr>
              <w:numPr>
                <w:ilvl w:val="0"/>
                <w:numId w:val="3"/>
              </w:numPr>
              <w:spacing w:before="120" w:after="120"/>
              <w:rPr>
                <w:rFonts w:asciiTheme="minorHAnsi" w:hAnsiTheme="minorHAnsi" w:cstheme="minorHAnsi"/>
                <w:b/>
                <w:sz w:val="20"/>
                <w:szCs w:val="20"/>
              </w:rPr>
            </w:pPr>
            <w:r w:rsidRPr="005421CC">
              <w:rPr>
                <w:rFonts w:asciiTheme="minorHAnsi" w:hAnsiTheme="minorHAnsi" w:cstheme="minorHAnsi"/>
                <w:b/>
                <w:sz w:val="20"/>
                <w:szCs w:val="20"/>
              </w:rPr>
              <w:t>chemical restraint</w:t>
            </w:r>
          </w:p>
          <w:p w14:paraId="070A81FE" w14:textId="77777777" w:rsidR="00BF04DC" w:rsidRPr="005421CC" w:rsidRDefault="00BF04DC" w:rsidP="003A1DA0">
            <w:pPr>
              <w:numPr>
                <w:ilvl w:val="0"/>
                <w:numId w:val="3"/>
              </w:numPr>
              <w:spacing w:before="120" w:after="120"/>
              <w:rPr>
                <w:rFonts w:asciiTheme="minorHAnsi" w:hAnsiTheme="minorHAnsi" w:cstheme="minorHAnsi"/>
                <w:b/>
                <w:sz w:val="20"/>
                <w:szCs w:val="20"/>
              </w:rPr>
            </w:pPr>
            <w:r w:rsidRPr="005421CC">
              <w:rPr>
                <w:rFonts w:asciiTheme="minorHAnsi" w:hAnsiTheme="minorHAnsi" w:cstheme="minorHAnsi"/>
                <w:b/>
                <w:sz w:val="20"/>
                <w:szCs w:val="20"/>
              </w:rPr>
              <w:t>mechanical restraint</w:t>
            </w:r>
          </w:p>
          <w:p w14:paraId="3929A1A6" w14:textId="77777777" w:rsidR="00BF04DC" w:rsidRPr="005421CC" w:rsidRDefault="00BF04DC" w:rsidP="003A1DA0">
            <w:pPr>
              <w:numPr>
                <w:ilvl w:val="0"/>
                <w:numId w:val="3"/>
              </w:numPr>
              <w:spacing w:before="120" w:after="120"/>
              <w:rPr>
                <w:rFonts w:asciiTheme="minorHAnsi" w:hAnsiTheme="minorHAnsi" w:cstheme="minorHAnsi"/>
                <w:b/>
                <w:sz w:val="20"/>
                <w:szCs w:val="20"/>
              </w:rPr>
            </w:pPr>
            <w:r w:rsidRPr="005421CC">
              <w:rPr>
                <w:rFonts w:asciiTheme="minorHAnsi" w:hAnsiTheme="minorHAnsi" w:cstheme="minorHAnsi"/>
                <w:b/>
                <w:sz w:val="20"/>
                <w:szCs w:val="20"/>
              </w:rPr>
              <w:t xml:space="preserve">physical restraint </w:t>
            </w:r>
          </w:p>
          <w:p w14:paraId="0D2B35E0" w14:textId="77777777" w:rsidR="00BF04DC" w:rsidRPr="005421CC" w:rsidRDefault="00BF04DC" w:rsidP="003A1DA0">
            <w:pPr>
              <w:numPr>
                <w:ilvl w:val="0"/>
                <w:numId w:val="3"/>
              </w:numPr>
              <w:spacing w:before="120" w:after="120"/>
              <w:rPr>
                <w:rFonts w:asciiTheme="minorHAnsi" w:hAnsiTheme="minorHAnsi" w:cstheme="minorHAnsi"/>
                <w:b/>
                <w:sz w:val="20"/>
                <w:szCs w:val="20"/>
              </w:rPr>
            </w:pPr>
            <w:r w:rsidRPr="005421CC">
              <w:rPr>
                <w:rFonts w:asciiTheme="minorHAnsi" w:hAnsiTheme="minorHAnsi" w:cstheme="minorHAnsi"/>
                <w:b/>
                <w:sz w:val="20"/>
                <w:szCs w:val="20"/>
              </w:rPr>
              <w:t>environmental restraint</w:t>
            </w:r>
          </w:p>
          <w:p w14:paraId="4DBE7A50" w14:textId="77777777" w:rsidR="00F73B2A" w:rsidRPr="00764BE0" w:rsidRDefault="00BF04DC" w:rsidP="00F73B2A">
            <w:pPr>
              <w:spacing w:before="120" w:after="120"/>
              <w:rPr>
                <w:rFonts w:asciiTheme="minorHAnsi" w:hAnsiTheme="minorHAnsi" w:cstheme="minorHAnsi"/>
                <w:sz w:val="18"/>
                <w:szCs w:val="18"/>
              </w:rPr>
            </w:pPr>
            <w:r w:rsidRPr="005421CC">
              <w:rPr>
                <w:rFonts w:asciiTheme="minorHAnsi" w:hAnsiTheme="minorHAnsi" w:cstheme="minorHAnsi"/>
                <w:b/>
                <w:sz w:val="20"/>
                <w:szCs w:val="20"/>
              </w:rPr>
              <w:t xml:space="preserve">Chemical restraint, the most commonly used restrictive practice, is the use of medication for the primary purpose of influencing a person’s behaviour. Chemical restraint </w:t>
            </w:r>
            <w:r w:rsidRPr="005421CC">
              <w:rPr>
                <w:rFonts w:asciiTheme="minorHAnsi" w:hAnsiTheme="minorHAnsi" w:cstheme="minorHAnsi"/>
                <w:b/>
                <w:sz w:val="20"/>
                <w:szCs w:val="20"/>
                <w:u w:val="single"/>
              </w:rPr>
              <w:t>does not</w:t>
            </w:r>
            <w:r w:rsidRPr="005421CC">
              <w:rPr>
                <w:rFonts w:asciiTheme="minorHAnsi" w:hAnsiTheme="minorHAnsi" w:cstheme="minorHAnsi"/>
                <w:b/>
                <w:sz w:val="20"/>
                <w:szCs w:val="20"/>
              </w:rPr>
              <w:t xml:space="preserve"> include the use of medication prescribed by a medical practitioner for the treatment of, or to enable the treatment of, a diagnosed mental disorder, a physical illness or a physical condition.</w:t>
            </w:r>
            <w:r w:rsidRPr="00764BE0">
              <w:rPr>
                <w:rFonts w:asciiTheme="minorHAnsi" w:hAnsiTheme="minorHAnsi" w:cstheme="minorHAnsi"/>
                <w:sz w:val="18"/>
                <w:szCs w:val="18"/>
              </w:rPr>
              <w:t xml:space="preserve"> </w:t>
            </w:r>
          </w:p>
        </w:tc>
      </w:tr>
    </w:tbl>
    <w:p w14:paraId="5287E3E0" w14:textId="77777777" w:rsidR="00BF04DC" w:rsidRDefault="00BF04DC" w:rsidP="00764BE0">
      <w:pPr>
        <w:spacing w:before="120" w:after="120"/>
        <w:rPr>
          <w:rFonts w:asciiTheme="minorHAnsi" w:hAnsiTheme="minorHAnsi" w:cstheme="minorHAnsi"/>
        </w:rPr>
      </w:pPr>
    </w:p>
    <w:p w14:paraId="423DE9A2" w14:textId="77777777" w:rsidR="00BF04DC" w:rsidRDefault="00BF04DC" w:rsidP="00726D5E">
      <w:pPr>
        <w:rPr>
          <w:rFonts w:asciiTheme="minorHAnsi" w:hAnsiTheme="minorHAnsi" w:cstheme="minorHAnsi"/>
          <w:lang w:eastAsia="en-AU"/>
        </w:rPr>
      </w:pPr>
    </w:p>
    <w:p w14:paraId="5C38BCD9" w14:textId="77777777" w:rsidR="00BF04DC" w:rsidRDefault="00BF04DC">
      <w:pPr>
        <w:rPr>
          <w:rFonts w:asciiTheme="minorHAnsi" w:hAnsiTheme="minorHAnsi" w:cstheme="minorHAnsi"/>
          <w:lang w:eastAsia="en-AU"/>
        </w:rPr>
      </w:pPr>
      <w:r>
        <w:rPr>
          <w:rFonts w:asciiTheme="minorHAnsi" w:hAnsiTheme="minorHAnsi" w:cstheme="minorHAnsi"/>
          <w:lang w:eastAsia="en-AU"/>
        </w:rPr>
        <w:br w:type="page"/>
      </w:r>
    </w:p>
    <w:p w14:paraId="07B1B83D" w14:textId="77777777" w:rsidR="00407198" w:rsidRPr="00764BE0" w:rsidRDefault="00407198" w:rsidP="00C832E6">
      <w:pPr>
        <w:pStyle w:val="Heading2"/>
        <w:pBdr>
          <w:bottom w:val="single" w:sz="4" w:space="1" w:color="auto"/>
        </w:pBdr>
        <w:rPr>
          <w:rFonts w:asciiTheme="minorHAnsi" w:hAnsiTheme="minorHAnsi" w:cstheme="minorHAnsi"/>
          <w:sz w:val="32"/>
          <w:szCs w:val="32"/>
        </w:rPr>
      </w:pPr>
      <w:bookmarkStart w:id="3" w:name="_Toc89091814"/>
      <w:r w:rsidRPr="00764BE0">
        <w:rPr>
          <w:rFonts w:asciiTheme="minorHAnsi" w:hAnsiTheme="minorHAnsi" w:cstheme="minorHAnsi"/>
          <w:sz w:val="32"/>
          <w:szCs w:val="32"/>
        </w:rPr>
        <w:lastRenderedPageBreak/>
        <w:t>Introduction</w:t>
      </w:r>
    </w:p>
    <w:p w14:paraId="47F5A2C0" w14:textId="77777777" w:rsidR="00BF04DC" w:rsidRPr="00F73B2A" w:rsidRDefault="00BF04DC" w:rsidP="00F73B2A">
      <w:pPr>
        <w:spacing w:before="120" w:after="120"/>
        <w:outlineLvl w:val="1"/>
        <w:rPr>
          <w:rFonts w:asciiTheme="minorHAnsi" w:eastAsiaTheme="majorEastAsia" w:hAnsiTheme="minorHAnsi" w:cstheme="minorHAnsi"/>
          <w:b/>
          <w:bCs/>
        </w:rPr>
      </w:pPr>
      <w:bookmarkStart w:id="4" w:name="_Toc90626680"/>
      <w:r w:rsidRPr="00764BE0">
        <w:rPr>
          <w:rFonts w:asciiTheme="minorHAnsi" w:eastAsiaTheme="majorEastAsia" w:hAnsiTheme="minorHAnsi" w:cstheme="minorHAnsi"/>
          <w:b/>
          <w:bCs/>
          <w:sz w:val="26"/>
          <w:szCs w:val="26"/>
        </w:rPr>
        <w:t xml:space="preserve">Purpose of this </w:t>
      </w:r>
      <w:r w:rsidRPr="00F73B2A">
        <w:rPr>
          <w:rFonts w:asciiTheme="minorHAnsi" w:eastAsiaTheme="majorEastAsia" w:hAnsiTheme="minorHAnsi" w:cstheme="minorHAnsi"/>
          <w:b/>
          <w:bCs/>
        </w:rPr>
        <w:t>report</w:t>
      </w:r>
      <w:bookmarkEnd w:id="4"/>
    </w:p>
    <w:p w14:paraId="35716822" w14:textId="1DA33289" w:rsidR="00BF04DC" w:rsidRPr="00F73B2A" w:rsidRDefault="00BF04DC" w:rsidP="00F73B2A">
      <w:pPr>
        <w:spacing w:before="120" w:after="120"/>
        <w:rPr>
          <w:rFonts w:asciiTheme="minorHAnsi" w:hAnsiTheme="minorHAnsi" w:cstheme="minorHAnsi"/>
        </w:rPr>
      </w:pPr>
      <w:r w:rsidRPr="00F73B2A">
        <w:rPr>
          <w:rFonts w:asciiTheme="minorHAnsi" w:hAnsiTheme="minorHAnsi" w:cstheme="minorHAnsi"/>
        </w:rPr>
        <w:t>On 2 September 2021, the Acting Commissioner of t</w:t>
      </w:r>
      <w:r w:rsidR="006D39EF">
        <w:rPr>
          <w:rFonts w:asciiTheme="minorHAnsi" w:hAnsiTheme="minorHAnsi" w:cstheme="minorHAnsi"/>
        </w:rPr>
        <w:t>he NDIS Quality and Safeguards</w:t>
      </w:r>
      <w:r w:rsidRPr="00F73B2A">
        <w:rPr>
          <w:rFonts w:asciiTheme="minorHAnsi" w:hAnsiTheme="minorHAnsi" w:cstheme="minorHAnsi"/>
        </w:rPr>
        <w:t xml:space="preserve"> Commission (</w:t>
      </w:r>
      <w:r w:rsidRPr="00F73B2A">
        <w:rPr>
          <w:rFonts w:asciiTheme="minorHAnsi" w:hAnsiTheme="minorHAnsi" w:cstheme="minorHAnsi"/>
          <w:b/>
        </w:rPr>
        <w:t>NDIS Commission</w:t>
      </w:r>
      <w:r w:rsidRPr="00F73B2A">
        <w:rPr>
          <w:rFonts w:asciiTheme="minorHAnsi" w:hAnsiTheme="minorHAnsi" w:cstheme="minorHAnsi"/>
        </w:rPr>
        <w:t>)</w:t>
      </w:r>
      <w:r w:rsidRPr="00F73B2A">
        <w:rPr>
          <w:rFonts w:asciiTheme="minorHAnsi" w:hAnsiTheme="minorHAnsi" w:cstheme="minorHAnsi"/>
          <w:b/>
        </w:rPr>
        <w:t xml:space="preserve"> </w:t>
      </w:r>
      <w:r w:rsidRPr="00F73B2A">
        <w:rPr>
          <w:rFonts w:asciiTheme="minorHAnsi" w:hAnsiTheme="minorHAnsi" w:cstheme="minorHAnsi"/>
        </w:rPr>
        <w:t xml:space="preserve">released the NDIS Commission’s Activity Report for the 12 months to 30 June 2021. That Activity Report showed that NDIS providers had notified the NDIS Commission of more than 1,000,000 unauthorised uses of restrictive practices </w:t>
      </w:r>
      <w:r w:rsidR="00CE344E">
        <w:rPr>
          <w:rFonts w:asciiTheme="minorHAnsi" w:hAnsiTheme="minorHAnsi" w:cstheme="minorHAnsi"/>
        </w:rPr>
        <w:t xml:space="preserve">(URPs) </w:t>
      </w:r>
      <w:r w:rsidRPr="00F73B2A">
        <w:rPr>
          <w:rFonts w:asciiTheme="minorHAnsi" w:hAnsiTheme="minorHAnsi" w:cstheme="minorHAnsi"/>
        </w:rPr>
        <w:t xml:space="preserve">in relation to NDIS participants. </w:t>
      </w:r>
    </w:p>
    <w:p w14:paraId="5AB4A5A9" w14:textId="77777777" w:rsidR="001B7165" w:rsidRPr="00F73B2A" w:rsidRDefault="00BF04DC" w:rsidP="00F73B2A">
      <w:pPr>
        <w:spacing w:before="120" w:after="120"/>
        <w:rPr>
          <w:rFonts w:asciiTheme="minorHAnsi" w:hAnsiTheme="minorHAnsi" w:cstheme="minorHAnsi"/>
          <w:color w:val="222222"/>
          <w:shd w:val="clear" w:color="auto" w:fill="FFFFFF"/>
        </w:rPr>
      </w:pPr>
      <w:r w:rsidRPr="00F73B2A">
        <w:rPr>
          <w:rFonts w:asciiTheme="minorHAnsi" w:hAnsiTheme="minorHAnsi" w:cstheme="minorHAnsi"/>
        </w:rPr>
        <w:t xml:space="preserve">The Acting Commissioner undertook to publish an analysis </w:t>
      </w:r>
      <w:r w:rsidRPr="00F73B2A">
        <w:rPr>
          <w:rFonts w:asciiTheme="minorHAnsi" w:hAnsiTheme="minorHAnsi" w:cstheme="minorHAnsi"/>
          <w:color w:val="222222"/>
          <w:shd w:val="clear" w:color="auto" w:fill="FFFFFF"/>
        </w:rPr>
        <w:t xml:space="preserve">of the NDIS Commission’s data relating to the use of restrictive practices and behaviour support plan activity by the end of 2021. </w:t>
      </w:r>
    </w:p>
    <w:p w14:paraId="5F441EE8" w14:textId="4898B02B" w:rsidR="00BF04DC" w:rsidRDefault="00BF04DC" w:rsidP="00F73B2A">
      <w:pPr>
        <w:spacing w:before="120" w:after="120"/>
        <w:rPr>
          <w:rFonts w:asciiTheme="minorHAnsi" w:hAnsiTheme="minorHAnsi" w:cstheme="minorHAnsi"/>
          <w:color w:val="222222"/>
          <w:shd w:val="clear" w:color="auto" w:fill="FFFFFF"/>
        </w:rPr>
      </w:pPr>
      <w:r w:rsidRPr="00F73B2A">
        <w:rPr>
          <w:rFonts w:asciiTheme="minorHAnsi" w:hAnsiTheme="minorHAnsi" w:cstheme="minorHAnsi"/>
          <w:color w:val="222222"/>
          <w:shd w:val="clear" w:color="auto" w:fill="FFFFFF"/>
        </w:rPr>
        <w:t>This report provides that analysis.</w:t>
      </w:r>
    </w:p>
    <w:p w14:paraId="24AB401C" w14:textId="30A7A70E" w:rsidR="0066270A" w:rsidRDefault="0066270A" w:rsidP="00F73B2A">
      <w:pPr>
        <w:spacing w:before="120" w:after="120"/>
        <w:rPr>
          <w:rFonts w:asciiTheme="minorHAnsi" w:hAnsiTheme="minorHAnsi" w:cstheme="minorHAnsi"/>
          <w:color w:val="222222"/>
          <w:shd w:val="clear" w:color="auto" w:fill="FFFFFF"/>
        </w:rPr>
      </w:pPr>
    </w:p>
    <w:p w14:paraId="65D4C01B" w14:textId="77777777" w:rsidR="0066270A" w:rsidRPr="00667C0C" w:rsidRDefault="0066270A" w:rsidP="0066270A">
      <w:pPr>
        <w:rPr>
          <w:rFonts w:asciiTheme="minorHAnsi" w:hAnsiTheme="minorHAnsi" w:cstheme="minorHAnsi"/>
          <w:b/>
        </w:rPr>
      </w:pPr>
      <w:r w:rsidRPr="00667C0C">
        <w:rPr>
          <w:rFonts w:asciiTheme="minorHAnsi" w:hAnsiTheme="minorHAnsi" w:cstheme="minorHAnsi"/>
          <w:b/>
        </w:rPr>
        <w:t>Data Remediation</w:t>
      </w:r>
    </w:p>
    <w:p w14:paraId="201915EB" w14:textId="332F36F5" w:rsidR="003A1DA0" w:rsidRPr="003A1DA0" w:rsidRDefault="0066270A" w:rsidP="003A1DA0">
      <w:pPr>
        <w:rPr>
          <w:rFonts w:asciiTheme="minorHAnsi" w:hAnsiTheme="minorHAnsi" w:cstheme="minorHAnsi"/>
          <w:b/>
        </w:rPr>
      </w:pPr>
      <w:r>
        <w:rPr>
          <w:rFonts w:asciiTheme="minorHAnsi" w:hAnsiTheme="minorHAnsi" w:cstheme="minorHAnsi"/>
        </w:rPr>
        <w:t xml:space="preserve">During the course of undertaking this analysis the NDIS Commission identified data quality issues in the reported number of URPs in 2020-21. </w:t>
      </w:r>
      <w:r w:rsidRPr="003A1DA0">
        <w:rPr>
          <w:rFonts w:asciiTheme="minorHAnsi" w:hAnsiTheme="minorHAnsi" w:cstheme="minorHAnsi"/>
          <w:b/>
        </w:rPr>
        <w:t>This exercise has resulted in an adjustment to t</w:t>
      </w:r>
      <w:r w:rsidR="003A1DA0" w:rsidRPr="003A1DA0">
        <w:rPr>
          <w:rFonts w:asciiTheme="minorHAnsi" w:hAnsiTheme="minorHAnsi" w:cstheme="minorHAnsi"/>
          <w:b/>
        </w:rPr>
        <w:t>he total number of Reportable Incidents of URPs</w:t>
      </w:r>
      <w:r w:rsidRPr="003A1DA0">
        <w:rPr>
          <w:rFonts w:asciiTheme="minorHAnsi" w:hAnsiTheme="minorHAnsi" w:cstheme="minorHAnsi"/>
          <w:b/>
        </w:rPr>
        <w:t xml:space="preserve"> in the 2020-21 period </w:t>
      </w:r>
      <w:r w:rsidR="003A1DA0" w:rsidRPr="003A1DA0">
        <w:rPr>
          <w:rFonts w:asciiTheme="minorHAnsi" w:hAnsiTheme="minorHAnsi" w:cstheme="minorHAnsi"/>
          <w:b/>
        </w:rPr>
        <w:t xml:space="preserve">from 1,032,064 </w:t>
      </w:r>
      <w:r w:rsidRPr="003A1DA0">
        <w:rPr>
          <w:rFonts w:asciiTheme="minorHAnsi" w:hAnsiTheme="minorHAnsi" w:cstheme="minorHAnsi"/>
          <w:b/>
        </w:rPr>
        <w:t xml:space="preserve">to </w:t>
      </w:r>
      <w:r w:rsidR="003A1DA0" w:rsidRPr="003A1DA0">
        <w:rPr>
          <w:rFonts w:asciiTheme="minorHAnsi" w:hAnsiTheme="minorHAnsi" w:cstheme="minorHAnsi"/>
          <w:b/>
        </w:rPr>
        <w:t>994,595</w:t>
      </w:r>
      <w:r w:rsidRPr="003A1DA0">
        <w:rPr>
          <w:rFonts w:asciiTheme="minorHAnsi" w:hAnsiTheme="minorHAnsi" w:cstheme="minorHAnsi"/>
          <w:b/>
        </w:rPr>
        <w:t xml:space="preserve">. </w:t>
      </w:r>
    </w:p>
    <w:p w14:paraId="1C909C94" w14:textId="1B12176B" w:rsidR="003A1DA0" w:rsidRDefault="003A1DA0" w:rsidP="003A1DA0">
      <w:pPr>
        <w:rPr>
          <w:rFonts w:ascii="Calibri" w:eastAsia="Calibri" w:hAnsi="Calibri" w:cs="Times New Roman"/>
          <w:szCs w:val="20"/>
        </w:rPr>
      </w:pPr>
      <w:r w:rsidRPr="003E2E7C">
        <w:rPr>
          <w:rFonts w:ascii="Calibri" w:eastAsia="Calibri" w:hAnsi="Calibri" w:cs="Times New Roman"/>
          <w:color w:val="000000"/>
          <w:szCs w:val="20"/>
        </w:rPr>
        <w:t>The adjustment relates to the introduction of automated upload of weekly reporting of URPs for routine restrictive practices and issues with the initial manual upload of that data</w:t>
      </w:r>
      <w:r w:rsidR="0066270A" w:rsidRPr="003A1DA0">
        <w:rPr>
          <w:rFonts w:asciiTheme="minorHAnsi" w:hAnsiTheme="minorHAnsi" w:cstheme="minorHAnsi"/>
        </w:rPr>
        <w:t>.</w:t>
      </w:r>
      <w:r w:rsidR="0066270A">
        <w:rPr>
          <w:rFonts w:asciiTheme="minorHAnsi" w:hAnsiTheme="minorHAnsi" w:cstheme="minorHAnsi"/>
        </w:rPr>
        <w:t xml:space="preserve"> </w:t>
      </w:r>
      <w:r>
        <w:rPr>
          <w:rFonts w:ascii="Calibri" w:eastAsia="Calibri" w:hAnsi="Calibri" w:cs="Times New Roman"/>
          <w:szCs w:val="20"/>
        </w:rPr>
        <w:t>This adjustment is attributed to:</w:t>
      </w:r>
    </w:p>
    <w:p w14:paraId="3C016112" w14:textId="623188AF" w:rsidR="003A1DA0" w:rsidRPr="003A1DA0" w:rsidRDefault="003A1DA0" w:rsidP="003A1DA0">
      <w:pPr>
        <w:pStyle w:val="ListParagraph"/>
        <w:numPr>
          <w:ilvl w:val="0"/>
          <w:numId w:val="15"/>
        </w:numPr>
        <w:rPr>
          <w:rFonts w:ascii="Calibri" w:eastAsia="Calibri" w:hAnsi="Calibri" w:cs="Times New Roman"/>
          <w:szCs w:val="20"/>
        </w:rPr>
      </w:pPr>
      <w:r w:rsidRPr="003A1DA0">
        <w:rPr>
          <w:rFonts w:ascii="Calibri" w:eastAsia="Calibri" w:hAnsi="Calibri" w:cs="Times New Roman"/>
          <w:szCs w:val="20"/>
        </w:rPr>
        <w:t>providers creating erroneous or duplicate records for the same Reportable Incident;</w:t>
      </w:r>
    </w:p>
    <w:p w14:paraId="17DD0422" w14:textId="45453BE9" w:rsidR="003A1DA0" w:rsidRDefault="003A1DA0" w:rsidP="003A1DA0">
      <w:pPr>
        <w:pStyle w:val="ListParagraph"/>
        <w:numPr>
          <w:ilvl w:val="0"/>
          <w:numId w:val="15"/>
        </w:numPr>
        <w:rPr>
          <w:rFonts w:ascii="Calibri" w:eastAsia="Calibri" w:hAnsi="Calibri" w:cs="Times New Roman"/>
          <w:szCs w:val="20"/>
        </w:rPr>
      </w:pPr>
      <w:r>
        <w:rPr>
          <w:rFonts w:ascii="Calibri" w:eastAsia="Calibri" w:hAnsi="Calibri" w:cs="Times New Roman"/>
          <w:szCs w:val="20"/>
        </w:rPr>
        <w:t xml:space="preserve">NDIS </w:t>
      </w:r>
      <w:r w:rsidRPr="003A1DA0">
        <w:rPr>
          <w:rFonts w:ascii="Calibri" w:eastAsia="Calibri" w:hAnsi="Calibri" w:cs="Times New Roman"/>
          <w:szCs w:val="20"/>
        </w:rPr>
        <w:t>Commission data processing errors in moving form a manual to an automated reporting process</w:t>
      </w:r>
      <w:r w:rsidR="00867212">
        <w:rPr>
          <w:rFonts w:ascii="Calibri" w:eastAsia="Calibri" w:hAnsi="Calibri" w:cs="Times New Roman"/>
          <w:szCs w:val="20"/>
        </w:rPr>
        <w:t>;</w:t>
      </w:r>
      <w:r>
        <w:rPr>
          <w:rFonts w:ascii="Calibri" w:eastAsia="Calibri" w:hAnsi="Calibri" w:cs="Times New Roman"/>
          <w:szCs w:val="20"/>
        </w:rPr>
        <w:t xml:space="preserve"> and </w:t>
      </w:r>
    </w:p>
    <w:p w14:paraId="638D68C8" w14:textId="2167E62A" w:rsidR="003A1DA0" w:rsidRPr="003A1DA0" w:rsidRDefault="003A1DA0" w:rsidP="003A1DA0">
      <w:pPr>
        <w:pStyle w:val="ListParagraph"/>
        <w:numPr>
          <w:ilvl w:val="0"/>
          <w:numId w:val="15"/>
        </w:numPr>
        <w:rPr>
          <w:rFonts w:ascii="Calibri" w:eastAsia="Calibri" w:hAnsi="Calibri" w:cs="Times New Roman"/>
          <w:szCs w:val="20"/>
        </w:rPr>
      </w:pPr>
      <w:r w:rsidRPr="003A1DA0">
        <w:rPr>
          <w:rFonts w:ascii="Calibri" w:eastAsia="Calibri" w:hAnsi="Calibri" w:cs="Times New Roman"/>
          <w:szCs w:val="20"/>
        </w:rPr>
        <w:t>providers entering incorrect URP usage numbers</w:t>
      </w:r>
      <w:r>
        <w:rPr>
          <w:rFonts w:ascii="Calibri" w:eastAsia="Calibri" w:hAnsi="Calibri" w:cs="Times New Roman"/>
          <w:szCs w:val="20"/>
        </w:rPr>
        <w:t xml:space="preserve"> in weekly reports of URPs.</w:t>
      </w:r>
    </w:p>
    <w:p w14:paraId="476DC5A1" w14:textId="77777777" w:rsidR="003E2E7C" w:rsidRPr="003E2E7C" w:rsidRDefault="003E2E7C" w:rsidP="003E2E7C">
      <w:pPr>
        <w:suppressAutoHyphens/>
        <w:spacing w:before="200" w:line="280" w:lineRule="atLeast"/>
        <w:rPr>
          <w:rFonts w:ascii="Calibri" w:eastAsia="Calibri" w:hAnsi="Calibri" w:cs="Times New Roman"/>
          <w:color w:val="000000"/>
          <w:szCs w:val="20"/>
        </w:rPr>
      </w:pPr>
      <w:r w:rsidRPr="003E2E7C">
        <w:rPr>
          <w:rFonts w:ascii="Calibri" w:eastAsia="Calibri" w:hAnsi="Calibri" w:cs="Times New Roman"/>
          <w:color w:val="000000"/>
          <w:szCs w:val="20"/>
        </w:rPr>
        <w:t xml:space="preserve">These issues have been rectified and will not appear in future reporting. </w:t>
      </w:r>
    </w:p>
    <w:p w14:paraId="59437E24" w14:textId="127C4296" w:rsidR="003E2E7C" w:rsidRPr="003E2E7C" w:rsidRDefault="003E2E7C" w:rsidP="003E2E7C">
      <w:pPr>
        <w:suppressAutoHyphens/>
        <w:spacing w:before="200" w:line="280" w:lineRule="atLeast"/>
        <w:rPr>
          <w:rFonts w:ascii="Times New Roman" w:eastAsia="Calibri" w:hAnsi="Times New Roman" w:cs="Times New Roman"/>
          <w:color w:val="000000"/>
          <w:sz w:val="24"/>
          <w:szCs w:val="24"/>
          <w:lang w:eastAsia="en-AU"/>
        </w:rPr>
      </w:pPr>
      <w:r w:rsidRPr="003E2E7C">
        <w:rPr>
          <w:rFonts w:ascii="Calibri" w:eastAsia="Calibri" w:hAnsi="Calibri" w:cs="Times New Roman"/>
          <w:color w:val="000000"/>
          <w:szCs w:val="20"/>
        </w:rPr>
        <w:t xml:space="preserve">The analysis in this report aligns with the publically reported figure of 1,035,064 reportable </w:t>
      </w:r>
      <w:r w:rsidR="00867212">
        <w:rPr>
          <w:rFonts w:ascii="Calibri" w:eastAsia="Calibri" w:hAnsi="Calibri" w:cs="Times New Roman"/>
          <w:color w:val="000000"/>
          <w:szCs w:val="20"/>
        </w:rPr>
        <w:t>incidents which w</w:t>
      </w:r>
      <w:r w:rsidRPr="003E2E7C">
        <w:rPr>
          <w:rFonts w:ascii="Calibri" w:eastAsia="Calibri" w:hAnsi="Calibri" w:cs="Times New Roman"/>
          <w:color w:val="000000"/>
          <w:szCs w:val="20"/>
        </w:rPr>
        <w:t>ere URPs. The number for 2020-21 will be adjusted in future reporting to reflect the revised number of 994,595</w:t>
      </w:r>
      <w:r w:rsidR="003A1DA0">
        <w:rPr>
          <w:rFonts w:ascii="Calibri" w:eastAsia="Calibri" w:hAnsi="Calibri" w:cs="Times New Roman"/>
          <w:color w:val="000000"/>
          <w:szCs w:val="20"/>
        </w:rPr>
        <w:t xml:space="preserve">. </w:t>
      </w:r>
    </w:p>
    <w:p w14:paraId="5362944E" w14:textId="77777777" w:rsidR="005421CC" w:rsidRPr="00F73B2A" w:rsidRDefault="005421CC" w:rsidP="00F73B2A">
      <w:pPr>
        <w:spacing w:before="120" w:after="120"/>
        <w:rPr>
          <w:rFonts w:asciiTheme="minorHAnsi" w:hAnsiTheme="minorHAnsi" w:cstheme="minorHAnsi"/>
          <w:color w:val="222222"/>
          <w:shd w:val="clear" w:color="auto" w:fill="FFFFFF"/>
        </w:rPr>
      </w:pPr>
    </w:p>
    <w:p w14:paraId="07E04F01" w14:textId="77777777" w:rsidR="00BF04DC" w:rsidRPr="00F73B2A" w:rsidRDefault="00BF04DC" w:rsidP="00F73B2A">
      <w:pPr>
        <w:spacing w:before="120" w:after="120"/>
        <w:outlineLvl w:val="1"/>
        <w:rPr>
          <w:rFonts w:asciiTheme="minorHAnsi" w:eastAsiaTheme="majorEastAsia" w:hAnsiTheme="minorHAnsi" w:cstheme="minorHAnsi"/>
          <w:b/>
          <w:bCs/>
          <w:shd w:val="clear" w:color="auto" w:fill="FFFFFF"/>
        </w:rPr>
      </w:pPr>
      <w:bookmarkStart w:id="5" w:name="_Toc90626681"/>
      <w:r w:rsidRPr="00F73B2A">
        <w:rPr>
          <w:rFonts w:asciiTheme="minorHAnsi" w:eastAsiaTheme="majorEastAsia" w:hAnsiTheme="minorHAnsi" w:cstheme="minorHAnsi"/>
          <w:b/>
          <w:bCs/>
          <w:shd w:val="clear" w:color="auto" w:fill="FFFFFF"/>
        </w:rPr>
        <w:t>Regulation of restrictive practices</w:t>
      </w:r>
      <w:bookmarkEnd w:id="5"/>
    </w:p>
    <w:p w14:paraId="43438499" w14:textId="77777777" w:rsidR="00D7172F" w:rsidRDefault="00D7172F" w:rsidP="00D7172F">
      <w:pPr>
        <w:spacing w:before="120" w:after="120"/>
        <w:rPr>
          <w:rFonts w:asciiTheme="minorHAnsi" w:hAnsiTheme="minorHAnsi" w:cstheme="minorHAnsi"/>
        </w:rPr>
      </w:pPr>
      <w:r w:rsidRPr="00F73B2A">
        <w:rPr>
          <w:rFonts w:asciiTheme="minorHAnsi" w:hAnsiTheme="minorHAnsi" w:cstheme="minorHAnsi"/>
        </w:rPr>
        <w:t xml:space="preserve">The </w:t>
      </w:r>
      <w:r w:rsidRPr="005421CC">
        <w:rPr>
          <w:rFonts w:asciiTheme="minorHAnsi" w:hAnsiTheme="minorHAnsi" w:cstheme="minorHAnsi"/>
          <w:i/>
        </w:rPr>
        <w:t>National Disability Insurance Act 2013</w:t>
      </w:r>
      <w:r w:rsidRPr="00F73B2A">
        <w:rPr>
          <w:rFonts w:asciiTheme="minorHAnsi" w:hAnsiTheme="minorHAnsi" w:cstheme="minorHAnsi"/>
        </w:rPr>
        <w:t xml:space="preserve"> gives effect to Australia’s obligations under the </w:t>
      </w:r>
      <w:r w:rsidRPr="005421CC">
        <w:rPr>
          <w:rFonts w:asciiTheme="minorHAnsi" w:hAnsiTheme="minorHAnsi" w:cstheme="minorHAnsi"/>
          <w:i/>
        </w:rPr>
        <w:t xml:space="preserve">Convention of the Right of People with Disabilities </w:t>
      </w:r>
      <w:r w:rsidRPr="00F73B2A">
        <w:rPr>
          <w:rFonts w:asciiTheme="minorHAnsi" w:hAnsiTheme="minorHAnsi" w:cstheme="minorHAnsi"/>
        </w:rPr>
        <w:t xml:space="preserve">(CRPD). The CRPD is the first binding international human rights treaty to recognise the rights of all people with disability. Australia signed the CRPD in 2008. The NDIS Commission is committed to promoting, protecting and ensuring the full and equal enjoyment of all human rights and fundamental freedoms by people with disability and promoting respect for their inherent dignity. </w:t>
      </w:r>
    </w:p>
    <w:p w14:paraId="1042B402" w14:textId="77777777" w:rsidR="005421CC" w:rsidRDefault="00BF04DC" w:rsidP="00F73B2A">
      <w:pPr>
        <w:spacing w:before="120" w:after="120"/>
        <w:rPr>
          <w:rFonts w:asciiTheme="minorHAnsi" w:hAnsiTheme="minorHAnsi" w:cstheme="minorHAnsi"/>
        </w:rPr>
      </w:pPr>
      <w:r w:rsidRPr="00F73B2A">
        <w:rPr>
          <w:rFonts w:asciiTheme="minorHAnsi" w:hAnsiTheme="minorHAnsi" w:cstheme="minorHAnsi"/>
        </w:rPr>
        <w:t xml:space="preserve">The NDIS Commission regulates NDIS providers’ use of regulated restrictive practices in relation to persons with disability for the purposes of </w:t>
      </w:r>
      <w:r w:rsidRPr="00346E3C">
        <w:rPr>
          <w:rFonts w:asciiTheme="minorHAnsi" w:hAnsiTheme="minorHAnsi" w:cstheme="minorHAnsi"/>
        </w:rPr>
        <w:t>reducing and eliminating</w:t>
      </w:r>
      <w:r w:rsidRPr="00F73B2A">
        <w:rPr>
          <w:rFonts w:asciiTheme="minorHAnsi" w:hAnsiTheme="minorHAnsi" w:cstheme="minorHAnsi"/>
        </w:rPr>
        <w:t xml:space="preserve"> the use of restrictive practices. </w:t>
      </w:r>
    </w:p>
    <w:p w14:paraId="6A005CB5" w14:textId="77777777" w:rsidR="00D7172F" w:rsidRDefault="00D7172F" w:rsidP="00C838E0">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lastRenderedPageBreak/>
        <w:t xml:space="preserve">A restrictive practice means any practice or intervention that has the effect of restricting the rights or freedom of movement of a person with disability. Under the </w:t>
      </w:r>
      <w:hyperlink r:id="rId12" w:history="1">
        <w:r w:rsidRPr="00293EF2">
          <w:rPr>
            <w:rStyle w:val="Hyperlink"/>
            <w:rFonts w:asciiTheme="minorHAnsi" w:hAnsiTheme="minorHAnsi" w:cstheme="minorHAnsi"/>
            <w:i/>
            <w:iCs/>
            <w:color w:val="111111"/>
            <w:u w:val="none"/>
          </w:rPr>
          <w:t>National Disability Insurance Scheme (Restrictive Practices and Behaviour Support) Rules 2018</w:t>
        </w:r>
      </w:hyperlink>
      <w:r w:rsidRPr="006D0FE3">
        <w:rPr>
          <w:rFonts w:asciiTheme="minorHAnsi" w:hAnsiTheme="minorHAnsi" w:cstheme="minorHAnsi"/>
          <w:color w:val="222222"/>
          <w:shd w:val="clear" w:color="auto" w:fill="FFFFFF"/>
        </w:rPr>
        <w:t xml:space="preserve"> </w:t>
      </w:r>
      <w:r w:rsidR="006D0FE3">
        <w:rPr>
          <w:rFonts w:asciiTheme="minorHAnsi" w:hAnsiTheme="minorHAnsi" w:cstheme="minorHAnsi"/>
          <w:color w:val="222222"/>
          <w:shd w:val="clear" w:color="auto" w:fill="FFFFFF"/>
        </w:rPr>
        <w:t xml:space="preserve">(Restrictive Practices and Behaviour Support Rules) </w:t>
      </w:r>
      <w:r>
        <w:rPr>
          <w:rFonts w:asciiTheme="minorHAnsi" w:hAnsiTheme="minorHAnsi" w:cstheme="minorHAnsi"/>
          <w:color w:val="222222"/>
          <w:shd w:val="clear" w:color="auto" w:fill="FFFFFF"/>
        </w:rPr>
        <w:t>certain restrictive practices are subject to regulation. A restrictive practice is a regulated restrictive practice if it is or involves seclusion, chemical restraint, mechanical restraint, physical restraint and environmental restraint.</w:t>
      </w:r>
    </w:p>
    <w:p w14:paraId="2AF17D7F" w14:textId="77777777" w:rsidR="00D7172F" w:rsidRDefault="00D7172F" w:rsidP="00C838E0">
      <w:pPr>
        <w:rPr>
          <w:rFonts w:asciiTheme="minorHAnsi" w:hAnsiTheme="minorHAnsi" w:cstheme="minorHAnsi"/>
          <w:lang w:eastAsia="en-AU"/>
        </w:rPr>
      </w:pPr>
      <w:r>
        <w:rPr>
          <w:rFonts w:asciiTheme="minorHAnsi" w:hAnsiTheme="minorHAnsi" w:cstheme="minorHAnsi"/>
          <w:lang w:eastAsia="en-AU"/>
        </w:rPr>
        <w:t xml:space="preserve">The use of a restrictive practice is ‘unauthorised’ if its use has not been authorised in accordance with any </w:t>
      </w:r>
      <w:r w:rsidR="006D0FE3">
        <w:rPr>
          <w:rFonts w:asciiTheme="minorHAnsi" w:hAnsiTheme="minorHAnsi" w:cstheme="minorHAnsi"/>
          <w:lang w:eastAsia="en-AU"/>
        </w:rPr>
        <w:t xml:space="preserve">applicable </w:t>
      </w:r>
      <w:r>
        <w:rPr>
          <w:rFonts w:asciiTheme="minorHAnsi" w:hAnsiTheme="minorHAnsi" w:cstheme="minorHAnsi"/>
          <w:lang w:eastAsia="en-AU"/>
        </w:rPr>
        <w:t>state or territory requirements for authorisation and/or it is not used in accordance with a behaviour support plan</w:t>
      </w:r>
      <w:r w:rsidR="006D0FE3">
        <w:rPr>
          <w:rFonts w:asciiTheme="minorHAnsi" w:hAnsiTheme="minorHAnsi" w:cstheme="minorHAnsi"/>
          <w:lang w:eastAsia="en-AU"/>
        </w:rPr>
        <w:t xml:space="preserve"> for the participant</w:t>
      </w:r>
      <w:r>
        <w:rPr>
          <w:rFonts w:asciiTheme="minorHAnsi" w:hAnsiTheme="minorHAnsi" w:cstheme="minorHAnsi"/>
          <w:lang w:eastAsia="en-AU"/>
        </w:rPr>
        <w:t xml:space="preserve">. Providers must report every instance of a restrictive practice, including each individual use, until </w:t>
      </w:r>
      <w:r w:rsidR="006D0FE3">
        <w:rPr>
          <w:rFonts w:asciiTheme="minorHAnsi" w:hAnsiTheme="minorHAnsi" w:cstheme="minorHAnsi"/>
          <w:lang w:eastAsia="en-AU"/>
        </w:rPr>
        <w:t>evidence of authorisation (if required) and the</w:t>
      </w:r>
      <w:r>
        <w:rPr>
          <w:rFonts w:asciiTheme="minorHAnsi" w:hAnsiTheme="minorHAnsi" w:cstheme="minorHAnsi"/>
          <w:lang w:eastAsia="en-AU"/>
        </w:rPr>
        <w:t xml:space="preserve"> behaviour support plan </w:t>
      </w:r>
      <w:r w:rsidR="006D0FE3">
        <w:rPr>
          <w:rFonts w:asciiTheme="minorHAnsi" w:hAnsiTheme="minorHAnsi" w:cstheme="minorHAnsi"/>
          <w:lang w:eastAsia="en-AU"/>
        </w:rPr>
        <w:t>are</w:t>
      </w:r>
      <w:r>
        <w:rPr>
          <w:rFonts w:asciiTheme="minorHAnsi" w:hAnsiTheme="minorHAnsi" w:cstheme="minorHAnsi"/>
          <w:lang w:eastAsia="en-AU"/>
        </w:rPr>
        <w:t xml:space="preserve"> lodged with the </w:t>
      </w:r>
      <w:r w:rsidR="006D0FE3">
        <w:rPr>
          <w:rFonts w:asciiTheme="minorHAnsi" w:hAnsiTheme="minorHAnsi" w:cstheme="minorHAnsi"/>
          <w:lang w:eastAsia="en-AU"/>
        </w:rPr>
        <w:t xml:space="preserve">NDIS </w:t>
      </w:r>
      <w:r>
        <w:rPr>
          <w:rFonts w:asciiTheme="minorHAnsi" w:hAnsiTheme="minorHAnsi" w:cstheme="minorHAnsi"/>
          <w:lang w:eastAsia="en-AU"/>
        </w:rPr>
        <w:t>Commission.</w:t>
      </w:r>
    </w:p>
    <w:p w14:paraId="0D6840A4" w14:textId="77777777" w:rsidR="00BF04DC" w:rsidRPr="00764BE0" w:rsidRDefault="00BF04DC" w:rsidP="00F73B2A">
      <w:pPr>
        <w:spacing w:before="120" w:after="120"/>
        <w:rPr>
          <w:rFonts w:asciiTheme="minorHAnsi" w:hAnsiTheme="minorHAnsi" w:cstheme="minorHAnsi"/>
        </w:rPr>
      </w:pPr>
      <w:r w:rsidRPr="00764BE0">
        <w:rPr>
          <w:rFonts w:asciiTheme="minorHAnsi" w:hAnsiTheme="minorHAnsi" w:cstheme="minorHAnsi"/>
        </w:rPr>
        <w:t xml:space="preserve">Restrictive practices should: </w:t>
      </w:r>
    </w:p>
    <w:p w14:paraId="73847C56" w14:textId="77777777" w:rsidR="00BF04DC" w:rsidRPr="00764BE0" w:rsidRDefault="00BF04DC" w:rsidP="003A1DA0">
      <w:pPr>
        <w:numPr>
          <w:ilvl w:val="0"/>
          <w:numId w:val="5"/>
        </w:numPr>
        <w:spacing w:before="120" w:after="120"/>
        <w:rPr>
          <w:rFonts w:asciiTheme="minorHAnsi" w:hAnsiTheme="minorHAnsi" w:cstheme="minorHAnsi"/>
        </w:rPr>
      </w:pPr>
      <w:r w:rsidRPr="00764BE0">
        <w:rPr>
          <w:rFonts w:asciiTheme="minorHAnsi" w:hAnsiTheme="minorHAnsi" w:cstheme="minorHAnsi"/>
        </w:rPr>
        <w:t>be used only as a last resort in response to risk of harm to the person with disability or others, and after the NDIS provider has explored and applied evidence-based, person-centred and proactive strategies;</w:t>
      </w:r>
    </w:p>
    <w:p w14:paraId="3CA2E840" w14:textId="77777777" w:rsidR="00BF04DC" w:rsidRPr="00764BE0" w:rsidRDefault="00BF04DC" w:rsidP="003A1DA0">
      <w:pPr>
        <w:numPr>
          <w:ilvl w:val="0"/>
          <w:numId w:val="5"/>
        </w:numPr>
        <w:spacing w:before="120" w:after="120"/>
        <w:rPr>
          <w:rFonts w:asciiTheme="minorHAnsi" w:hAnsiTheme="minorHAnsi" w:cstheme="minorHAnsi"/>
        </w:rPr>
      </w:pPr>
      <w:r w:rsidRPr="00764BE0">
        <w:rPr>
          <w:rFonts w:asciiTheme="minorHAnsi" w:hAnsiTheme="minorHAnsi" w:cstheme="minorHAnsi"/>
        </w:rPr>
        <w:t xml:space="preserve">be the least restrictive response possible in the circumstances to ensure the safety of </w:t>
      </w:r>
      <w:r w:rsidR="001B7165">
        <w:rPr>
          <w:rFonts w:asciiTheme="minorHAnsi" w:hAnsiTheme="minorHAnsi" w:cstheme="minorHAnsi"/>
        </w:rPr>
        <w:t>the person with disability</w:t>
      </w:r>
      <w:r w:rsidRPr="00764BE0">
        <w:rPr>
          <w:rFonts w:asciiTheme="minorHAnsi" w:hAnsiTheme="minorHAnsi" w:cstheme="minorHAnsi"/>
        </w:rPr>
        <w:t xml:space="preserve"> or others; </w:t>
      </w:r>
    </w:p>
    <w:p w14:paraId="50B4C693" w14:textId="77777777" w:rsidR="00BF04DC" w:rsidRPr="00764BE0" w:rsidRDefault="00BF04DC" w:rsidP="003A1DA0">
      <w:pPr>
        <w:numPr>
          <w:ilvl w:val="0"/>
          <w:numId w:val="5"/>
        </w:numPr>
        <w:spacing w:before="120" w:after="120"/>
        <w:rPr>
          <w:rFonts w:asciiTheme="minorHAnsi" w:hAnsiTheme="minorHAnsi" w:cstheme="minorHAnsi"/>
        </w:rPr>
      </w:pPr>
      <w:r w:rsidRPr="00764BE0">
        <w:rPr>
          <w:rFonts w:asciiTheme="minorHAnsi" w:hAnsiTheme="minorHAnsi" w:cstheme="minorHAnsi"/>
        </w:rPr>
        <w:t xml:space="preserve">reduce the risk of harm to the </w:t>
      </w:r>
      <w:r w:rsidR="001B7165">
        <w:rPr>
          <w:rFonts w:asciiTheme="minorHAnsi" w:hAnsiTheme="minorHAnsi" w:cstheme="minorHAnsi"/>
        </w:rPr>
        <w:t>person with disability</w:t>
      </w:r>
      <w:r w:rsidR="001B7165" w:rsidRPr="00183C4E">
        <w:rPr>
          <w:rFonts w:asciiTheme="minorHAnsi" w:hAnsiTheme="minorHAnsi" w:cstheme="minorHAnsi"/>
        </w:rPr>
        <w:t xml:space="preserve"> </w:t>
      </w:r>
      <w:r w:rsidRPr="00764BE0">
        <w:rPr>
          <w:rFonts w:asciiTheme="minorHAnsi" w:hAnsiTheme="minorHAnsi" w:cstheme="minorHAnsi"/>
        </w:rPr>
        <w:t>or others;</w:t>
      </w:r>
    </w:p>
    <w:p w14:paraId="4232E1C0" w14:textId="77777777" w:rsidR="00BF04DC" w:rsidRPr="00764BE0" w:rsidRDefault="00BF04DC" w:rsidP="003A1DA0">
      <w:pPr>
        <w:numPr>
          <w:ilvl w:val="0"/>
          <w:numId w:val="5"/>
        </w:numPr>
        <w:spacing w:before="120" w:after="120"/>
        <w:rPr>
          <w:rFonts w:asciiTheme="minorHAnsi" w:hAnsiTheme="minorHAnsi" w:cstheme="minorHAnsi"/>
        </w:rPr>
      </w:pPr>
      <w:r w:rsidRPr="00764BE0">
        <w:rPr>
          <w:rFonts w:asciiTheme="minorHAnsi" w:hAnsiTheme="minorHAnsi" w:cstheme="minorHAnsi"/>
        </w:rPr>
        <w:t>be in proportion to the potential negative consequence or risk of harm; and</w:t>
      </w:r>
    </w:p>
    <w:p w14:paraId="350B4F41" w14:textId="77777777" w:rsidR="00BF04DC" w:rsidRPr="00764BE0" w:rsidRDefault="00BF04DC" w:rsidP="003A1DA0">
      <w:pPr>
        <w:numPr>
          <w:ilvl w:val="0"/>
          <w:numId w:val="5"/>
        </w:numPr>
        <w:spacing w:before="120" w:after="120"/>
        <w:rPr>
          <w:rFonts w:asciiTheme="minorHAnsi" w:hAnsiTheme="minorHAnsi" w:cstheme="minorHAnsi"/>
        </w:rPr>
      </w:pPr>
      <w:r w:rsidRPr="00764BE0">
        <w:rPr>
          <w:rFonts w:asciiTheme="minorHAnsi" w:hAnsiTheme="minorHAnsi" w:cstheme="minorHAnsi"/>
        </w:rPr>
        <w:t xml:space="preserve">be used for the shortest possible time to ensure the safety of the </w:t>
      </w:r>
      <w:r w:rsidR="001B7165">
        <w:rPr>
          <w:rFonts w:asciiTheme="minorHAnsi" w:hAnsiTheme="minorHAnsi" w:cstheme="minorHAnsi"/>
        </w:rPr>
        <w:t>person with disability</w:t>
      </w:r>
      <w:r w:rsidR="001B7165" w:rsidRPr="00183C4E">
        <w:rPr>
          <w:rFonts w:asciiTheme="minorHAnsi" w:hAnsiTheme="minorHAnsi" w:cstheme="minorHAnsi"/>
        </w:rPr>
        <w:t xml:space="preserve"> </w:t>
      </w:r>
      <w:r w:rsidRPr="00764BE0">
        <w:rPr>
          <w:rFonts w:asciiTheme="minorHAnsi" w:hAnsiTheme="minorHAnsi" w:cstheme="minorHAnsi"/>
        </w:rPr>
        <w:t>or others.</w:t>
      </w:r>
      <w:r w:rsidRPr="00764BE0">
        <w:rPr>
          <w:rFonts w:asciiTheme="minorHAnsi" w:hAnsiTheme="minorHAnsi" w:cstheme="minorHAnsi"/>
          <w:vertAlign w:val="superscript"/>
        </w:rPr>
        <w:footnoteReference w:id="1"/>
      </w:r>
      <w:r w:rsidRPr="00764BE0">
        <w:rPr>
          <w:rFonts w:asciiTheme="minorHAnsi" w:hAnsiTheme="minorHAnsi" w:cstheme="minorHAnsi"/>
        </w:rPr>
        <w:t xml:space="preserve"> </w:t>
      </w:r>
    </w:p>
    <w:p w14:paraId="0DEC358D" w14:textId="77777777" w:rsidR="00BF04DC" w:rsidRPr="00764BE0" w:rsidRDefault="00BF04DC" w:rsidP="00F73B2A">
      <w:pPr>
        <w:spacing w:before="120" w:after="120"/>
        <w:rPr>
          <w:rFonts w:asciiTheme="minorHAnsi" w:hAnsiTheme="minorHAnsi" w:cstheme="minorHAnsi"/>
        </w:rPr>
      </w:pPr>
      <w:r w:rsidRPr="00764BE0">
        <w:rPr>
          <w:rFonts w:asciiTheme="minorHAnsi" w:hAnsiTheme="minorHAnsi" w:cstheme="minorHAnsi"/>
        </w:rPr>
        <w:t xml:space="preserve">These requirements are met through the development of a behaviour support plan for the participant, which includes requirements that a specialist behaviour support provider: </w:t>
      </w:r>
    </w:p>
    <w:p w14:paraId="39CF19E5" w14:textId="77777777" w:rsidR="00BF04DC" w:rsidRPr="005421CC" w:rsidRDefault="00BF04DC" w:rsidP="003A1DA0">
      <w:pPr>
        <w:pStyle w:val="ListParagraph"/>
        <w:numPr>
          <w:ilvl w:val="0"/>
          <w:numId w:val="6"/>
        </w:numPr>
        <w:ind w:left="714" w:hanging="357"/>
        <w:contextualSpacing w:val="0"/>
        <w:rPr>
          <w:rFonts w:asciiTheme="minorHAnsi" w:hAnsiTheme="minorHAnsi" w:cstheme="minorHAnsi"/>
        </w:rPr>
      </w:pPr>
      <w:r w:rsidRPr="005421CC">
        <w:rPr>
          <w:rFonts w:asciiTheme="minorHAnsi" w:hAnsiTheme="minorHAnsi" w:cstheme="minorHAnsi"/>
        </w:rPr>
        <w:t xml:space="preserve">undertakes a behaviour support assessment, including a functional behavioural assessment, of the participant; </w:t>
      </w:r>
    </w:p>
    <w:p w14:paraId="59213E75" w14:textId="77777777" w:rsidR="00BF04DC" w:rsidRPr="005421CC" w:rsidRDefault="00BF04DC" w:rsidP="003A1DA0">
      <w:pPr>
        <w:pStyle w:val="ListParagraph"/>
        <w:numPr>
          <w:ilvl w:val="0"/>
          <w:numId w:val="6"/>
        </w:numPr>
        <w:ind w:left="714" w:hanging="357"/>
        <w:contextualSpacing w:val="0"/>
        <w:rPr>
          <w:rFonts w:asciiTheme="minorHAnsi" w:hAnsiTheme="minorHAnsi" w:cstheme="minorHAnsi"/>
        </w:rPr>
      </w:pPr>
      <w:r w:rsidRPr="005421CC">
        <w:rPr>
          <w:rFonts w:asciiTheme="minorHAnsi" w:hAnsiTheme="minorHAnsi" w:cstheme="minorHAnsi"/>
        </w:rPr>
        <w:t xml:space="preserve">makes changes within the environment of the participant that may reduce or remove the need for the use of restrictive practices; </w:t>
      </w:r>
    </w:p>
    <w:p w14:paraId="6B65E74B" w14:textId="77777777" w:rsidR="00BF04DC" w:rsidRPr="005421CC" w:rsidRDefault="00BF04DC" w:rsidP="003A1DA0">
      <w:pPr>
        <w:pStyle w:val="ListParagraph"/>
        <w:numPr>
          <w:ilvl w:val="0"/>
          <w:numId w:val="6"/>
        </w:numPr>
        <w:ind w:left="714" w:hanging="357"/>
        <w:contextualSpacing w:val="0"/>
        <w:rPr>
          <w:rFonts w:asciiTheme="minorHAnsi" w:hAnsiTheme="minorHAnsi" w:cstheme="minorHAnsi"/>
        </w:rPr>
      </w:pPr>
      <w:r w:rsidRPr="005421CC">
        <w:rPr>
          <w:rFonts w:asciiTheme="minorHAnsi" w:hAnsiTheme="minorHAnsi" w:cstheme="minorHAnsi"/>
        </w:rPr>
        <w:t>identifies opportunities for the participant to participate in community activities and develop new skills that have the potential to reduce or eliminate the need for restrictive practices in the future; and</w:t>
      </w:r>
    </w:p>
    <w:p w14:paraId="3F670B74" w14:textId="77777777" w:rsidR="00BF04DC" w:rsidRPr="005421CC" w:rsidRDefault="00BF04DC" w:rsidP="003A1DA0">
      <w:pPr>
        <w:pStyle w:val="ListParagraph"/>
        <w:numPr>
          <w:ilvl w:val="0"/>
          <w:numId w:val="6"/>
        </w:numPr>
        <w:ind w:left="714" w:hanging="357"/>
        <w:contextualSpacing w:val="0"/>
        <w:rPr>
          <w:rFonts w:asciiTheme="minorHAnsi" w:hAnsiTheme="minorHAnsi" w:cstheme="minorHAnsi"/>
        </w:rPr>
      </w:pPr>
      <w:r w:rsidRPr="005421CC">
        <w:rPr>
          <w:rFonts w:asciiTheme="minorHAnsi" w:hAnsiTheme="minorHAnsi" w:cstheme="minorHAnsi"/>
        </w:rPr>
        <w:t>consults with the participant and the participant’s family, carers, guardian or other relevant person.</w:t>
      </w:r>
      <w:r w:rsidRPr="00764BE0">
        <w:rPr>
          <w:vertAlign w:val="superscript"/>
        </w:rPr>
        <w:footnoteReference w:id="2"/>
      </w:r>
    </w:p>
    <w:p w14:paraId="6F2F277F" w14:textId="77777777" w:rsidR="00BF04DC" w:rsidRPr="00764BE0" w:rsidRDefault="00BF04DC" w:rsidP="00764BE0">
      <w:pPr>
        <w:rPr>
          <w:rFonts w:asciiTheme="minorHAnsi" w:hAnsiTheme="minorHAnsi" w:cstheme="minorHAnsi"/>
        </w:rPr>
      </w:pPr>
      <w:r w:rsidRPr="00764BE0">
        <w:rPr>
          <w:rFonts w:asciiTheme="minorHAnsi" w:hAnsiTheme="minorHAnsi" w:cstheme="minorHAnsi"/>
        </w:rPr>
        <w:t>The NDIS Commission regulates NDIS providers’ use of regulated restrictive practices through two mechanisms:</w:t>
      </w:r>
    </w:p>
    <w:p w14:paraId="7F0B227A" w14:textId="77777777" w:rsidR="00BF04DC" w:rsidRPr="00764BE0" w:rsidRDefault="00BF04DC" w:rsidP="003A1DA0">
      <w:pPr>
        <w:numPr>
          <w:ilvl w:val="0"/>
          <w:numId w:val="4"/>
        </w:numPr>
        <w:ind w:left="714" w:hanging="357"/>
        <w:rPr>
          <w:rFonts w:asciiTheme="minorHAnsi" w:hAnsiTheme="minorHAnsi" w:cstheme="minorHAnsi"/>
        </w:rPr>
      </w:pPr>
      <w:r w:rsidRPr="00764BE0">
        <w:rPr>
          <w:rFonts w:asciiTheme="minorHAnsi" w:hAnsiTheme="minorHAnsi" w:cstheme="minorHAnsi"/>
          <w:b/>
        </w:rPr>
        <w:lastRenderedPageBreak/>
        <w:t>Behaviour support function</w:t>
      </w:r>
      <w:r w:rsidRPr="00764BE0">
        <w:rPr>
          <w:rFonts w:asciiTheme="minorHAnsi" w:hAnsiTheme="minorHAnsi" w:cstheme="minorHAnsi"/>
        </w:rPr>
        <w:t>:</w:t>
      </w:r>
      <w:r w:rsidRPr="00764BE0">
        <w:rPr>
          <w:rFonts w:asciiTheme="minorHAnsi" w:hAnsiTheme="minorHAnsi" w:cstheme="minorHAnsi"/>
          <w:b/>
        </w:rPr>
        <w:t xml:space="preserve"> </w:t>
      </w:r>
      <w:r w:rsidRPr="00764BE0">
        <w:rPr>
          <w:rFonts w:asciiTheme="minorHAnsi" w:hAnsiTheme="minorHAnsi" w:cstheme="minorHAnsi"/>
        </w:rPr>
        <w:t>Where the use of the restrictive practice has been authorised (if required) and is included in a behaviour support plan</w:t>
      </w:r>
      <w:r w:rsidR="003B507E">
        <w:rPr>
          <w:rFonts w:asciiTheme="minorHAnsi" w:hAnsiTheme="minorHAnsi" w:cstheme="minorHAnsi"/>
          <w:vertAlign w:val="superscript"/>
        </w:rPr>
        <w:t xml:space="preserve"> </w:t>
      </w:r>
      <w:r w:rsidRPr="00764BE0">
        <w:rPr>
          <w:rFonts w:asciiTheme="minorHAnsi" w:hAnsiTheme="minorHAnsi" w:cstheme="minorHAnsi"/>
        </w:rPr>
        <w:t xml:space="preserve">for the participant, evidence of authorisation and the behaviour support plan are lodged with the NDIS Commission and the NDIS provider must report to the NDIS Commission on its usage of the restrictive practice in relation to the participant every month. </w:t>
      </w:r>
    </w:p>
    <w:p w14:paraId="69369F86" w14:textId="77777777" w:rsidR="003E418D" w:rsidRDefault="00BF04DC" w:rsidP="003A1DA0">
      <w:pPr>
        <w:numPr>
          <w:ilvl w:val="0"/>
          <w:numId w:val="4"/>
        </w:numPr>
        <w:spacing w:after="0"/>
        <w:ind w:left="714" w:hanging="357"/>
        <w:rPr>
          <w:rFonts w:asciiTheme="minorHAnsi" w:hAnsiTheme="minorHAnsi" w:cstheme="minorHAnsi"/>
        </w:rPr>
      </w:pPr>
      <w:r w:rsidRPr="00764BE0">
        <w:rPr>
          <w:rFonts w:asciiTheme="minorHAnsi" w:hAnsiTheme="minorHAnsi" w:cstheme="minorHAnsi"/>
          <w:b/>
        </w:rPr>
        <w:t>Reportable incidents function</w:t>
      </w:r>
      <w:r w:rsidRPr="00764BE0">
        <w:rPr>
          <w:rFonts w:asciiTheme="minorHAnsi" w:hAnsiTheme="minorHAnsi" w:cstheme="minorHAnsi"/>
        </w:rPr>
        <w:t xml:space="preserve">: </w:t>
      </w:r>
    </w:p>
    <w:p w14:paraId="6F92C599" w14:textId="77777777" w:rsidR="003E418D" w:rsidRDefault="00BF04DC" w:rsidP="003A1DA0">
      <w:pPr>
        <w:numPr>
          <w:ilvl w:val="1"/>
          <w:numId w:val="4"/>
        </w:numPr>
        <w:spacing w:after="0"/>
        <w:ind w:left="993" w:hanging="284"/>
        <w:rPr>
          <w:rFonts w:asciiTheme="minorHAnsi" w:hAnsiTheme="minorHAnsi" w:cstheme="minorHAnsi"/>
        </w:rPr>
      </w:pPr>
      <w:r w:rsidRPr="003E418D">
        <w:rPr>
          <w:rFonts w:asciiTheme="minorHAnsi" w:hAnsiTheme="minorHAnsi" w:cstheme="minorHAnsi"/>
        </w:rPr>
        <w:t>Where the use of the restrictive practice is a single, emergency use the NDIS provider must notify the NDIS Commission of the use as a reportable incident.</w:t>
      </w:r>
    </w:p>
    <w:p w14:paraId="6CB36A54" w14:textId="77777777" w:rsidR="003E418D" w:rsidRDefault="003E418D" w:rsidP="003A1DA0">
      <w:pPr>
        <w:numPr>
          <w:ilvl w:val="1"/>
          <w:numId w:val="4"/>
        </w:numPr>
        <w:spacing w:after="0"/>
        <w:ind w:left="993" w:hanging="284"/>
        <w:rPr>
          <w:rFonts w:asciiTheme="minorHAnsi" w:hAnsiTheme="minorHAnsi" w:cstheme="minorHAnsi"/>
        </w:rPr>
      </w:pPr>
      <w:r w:rsidRPr="003E418D">
        <w:rPr>
          <w:rFonts w:asciiTheme="minorHAnsi" w:hAnsiTheme="minorHAnsi" w:cstheme="minorHAnsi"/>
        </w:rPr>
        <w:t>Where the use of the restrictive practice is ongoing but it has not yet been authorised (if required) or it is not included in a behaviour support plan for the participant, the NDIS provider must notify the NDIS Commission of each use</w:t>
      </w:r>
      <w:r w:rsidR="00346E3C">
        <w:rPr>
          <w:rStyle w:val="FootnoteReference"/>
          <w:rFonts w:asciiTheme="minorHAnsi" w:hAnsiTheme="minorHAnsi" w:cstheme="minorHAnsi"/>
        </w:rPr>
        <w:footnoteReference w:id="3"/>
      </w:r>
      <w:r w:rsidRPr="003E418D">
        <w:rPr>
          <w:rFonts w:asciiTheme="minorHAnsi" w:hAnsiTheme="minorHAnsi" w:cstheme="minorHAnsi"/>
        </w:rPr>
        <w:t xml:space="preserve"> as a reportable incident</w:t>
      </w:r>
      <w:r>
        <w:rPr>
          <w:rFonts w:asciiTheme="minorHAnsi" w:hAnsiTheme="minorHAnsi" w:cstheme="minorHAnsi"/>
        </w:rPr>
        <w:t>.</w:t>
      </w:r>
    </w:p>
    <w:p w14:paraId="3A02FA26" w14:textId="77777777" w:rsidR="00764BE0" w:rsidRDefault="00BF04DC" w:rsidP="003E418D">
      <w:pPr>
        <w:spacing w:before="200"/>
        <w:rPr>
          <w:rFonts w:asciiTheme="minorHAnsi" w:hAnsiTheme="minorHAnsi" w:cstheme="minorHAnsi"/>
        </w:rPr>
      </w:pPr>
      <w:r w:rsidRPr="00764BE0">
        <w:rPr>
          <w:rFonts w:asciiTheme="minorHAnsi" w:hAnsiTheme="minorHAnsi" w:cstheme="minorHAnsi"/>
        </w:rPr>
        <w:t xml:space="preserve">The NDIS Commission’s Activity Report for the 12 months to 30 June 2021 showed that NDIS providers had notified the NDIS Commission of 1,032,064 </w:t>
      </w:r>
      <w:r w:rsidR="00CE344E">
        <w:rPr>
          <w:rFonts w:asciiTheme="minorHAnsi" w:hAnsiTheme="minorHAnsi" w:cstheme="minorHAnsi"/>
        </w:rPr>
        <w:t xml:space="preserve">URPs </w:t>
      </w:r>
      <w:r w:rsidRPr="00764BE0">
        <w:rPr>
          <w:rFonts w:asciiTheme="minorHAnsi" w:hAnsiTheme="minorHAnsi" w:cstheme="minorHAnsi"/>
        </w:rPr>
        <w:t xml:space="preserve">in relation to </w:t>
      </w:r>
      <w:r w:rsidR="00346E3C">
        <w:rPr>
          <w:rFonts w:asciiTheme="minorHAnsi" w:hAnsiTheme="minorHAnsi" w:cstheme="minorHAnsi"/>
        </w:rPr>
        <w:t xml:space="preserve">7,862 </w:t>
      </w:r>
      <w:r w:rsidRPr="00764BE0">
        <w:rPr>
          <w:rFonts w:asciiTheme="minorHAnsi" w:hAnsiTheme="minorHAnsi" w:cstheme="minorHAnsi"/>
        </w:rPr>
        <w:t xml:space="preserve">NDIS participants </w:t>
      </w:r>
      <w:r w:rsidR="00764BE0">
        <w:rPr>
          <w:rFonts w:asciiTheme="minorHAnsi" w:hAnsiTheme="minorHAnsi" w:cstheme="minorHAnsi"/>
        </w:rPr>
        <w:t>during the period 1 July 2020 to 30 June 2021 (2020-21)</w:t>
      </w:r>
      <w:r w:rsidRPr="00764BE0">
        <w:rPr>
          <w:rFonts w:asciiTheme="minorHAnsi" w:hAnsiTheme="minorHAnsi" w:cstheme="minorHAnsi"/>
        </w:rPr>
        <w:t xml:space="preserve">. </w:t>
      </w:r>
    </w:p>
    <w:p w14:paraId="1F43515C" w14:textId="77777777" w:rsidR="003E418D" w:rsidRPr="00764BE0" w:rsidRDefault="003B507E" w:rsidP="00BF04DC">
      <w:pPr>
        <w:rPr>
          <w:rFonts w:asciiTheme="minorHAnsi" w:hAnsiTheme="minorHAnsi" w:cstheme="minorHAnsi"/>
          <w:b/>
        </w:rPr>
      </w:pPr>
      <w:r>
        <w:rPr>
          <w:rFonts w:asciiTheme="minorHAnsi" w:hAnsiTheme="minorHAnsi" w:cstheme="minorHAnsi"/>
          <w:b/>
        </w:rPr>
        <w:t>T</w:t>
      </w:r>
      <w:r w:rsidR="00BF04DC" w:rsidRPr="00764BE0">
        <w:rPr>
          <w:rFonts w:asciiTheme="minorHAnsi" w:hAnsiTheme="minorHAnsi" w:cstheme="minorHAnsi"/>
          <w:b/>
        </w:rPr>
        <w:t>his report analyse</w:t>
      </w:r>
      <w:r>
        <w:rPr>
          <w:rFonts w:asciiTheme="minorHAnsi" w:hAnsiTheme="minorHAnsi" w:cstheme="minorHAnsi"/>
          <w:b/>
        </w:rPr>
        <w:t>s</w:t>
      </w:r>
      <w:r w:rsidR="00BF04DC" w:rsidRPr="00764BE0">
        <w:rPr>
          <w:rFonts w:asciiTheme="minorHAnsi" w:hAnsiTheme="minorHAnsi" w:cstheme="minorHAnsi"/>
          <w:b/>
        </w:rPr>
        <w:t xml:space="preserve"> data the NDIS Commission holds in relation to </w:t>
      </w:r>
      <w:r w:rsidR="00946114">
        <w:rPr>
          <w:rFonts w:asciiTheme="minorHAnsi" w:hAnsiTheme="minorHAnsi" w:cstheme="minorHAnsi"/>
          <w:b/>
        </w:rPr>
        <w:t xml:space="preserve">URPs </w:t>
      </w:r>
      <w:r w:rsidR="00BF04DC" w:rsidRPr="00764BE0">
        <w:rPr>
          <w:rFonts w:asciiTheme="minorHAnsi" w:hAnsiTheme="minorHAnsi" w:cstheme="minorHAnsi"/>
          <w:b/>
        </w:rPr>
        <w:t xml:space="preserve">and </w:t>
      </w:r>
      <w:r>
        <w:rPr>
          <w:rFonts w:asciiTheme="minorHAnsi" w:hAnsiTheme="minorHAnsi" w:cstheme="minorHAnsi"/>
          <w:b/>
        </w:rPr>
        <w:t>identifies</w:t>
      </w:r>
      <w:r w:rsidR="00BF04DC" w:rsidRPr="00764BE0">
        <w:rPr>
          <w:rFonts w:asciiTheme="minorHAnsi" w:hAnsiTheme="minorHAnsi" w:cstheme="minorHAnsi"/>
          <w:b/>
        </w:rPr>
        <w:t xml:space="preserve"> priorities for work to reduce the number of </w:t>
      </w:r>
      <w:r w:rsidR="00CE344E">
        <w:rPr>
          <w:rFonts w:asciiTheme="minorHAnsi" w:hAnsiTheme="minorHAnsi" w:cstheme="minorHAnsi"/>
          <w:b/>
        </w:rPr>
        <w:t>URPs</w:t>
      </w:r>
      <w:r w:rsidR="00BF04DC" w:rsidRPr="00764BE0">
        <w:rPr>
          <w:rFonts w:asciiTheme="minorHAnsi" w:hAnsiTheme="minorHAnsi" w:cstheme="minorHAnsi"/>
          <w:b/>
        </w:rPr>
        <w:t xml:space="preserve">. </w:t>
      </w:r>
    </w:p>
    <w:p w14:paraId="42DB64E7" w14:textId="77777777" w:rsidR="003268DE" w:rsidRDefault="003268DE">
      <w:pPr>
        <w:rPr>
          <w:rFonts w:eastAsiaTheme="majorEastAsia" w:cstheme="majorBidi"/>
          <w:b/>
          <w:bCs/>
          <w:sz w:val="32"/>
          <w:szCs w:val="28"/>
        </w:rPr>
      </w:pPr>
      <w:bookmarkStart w:id="6" w:name="_Toc90626682"/>
      <w:r>
        <w:br w:type="page"/>
      </w:r>
    </w:p>
    <w:p w14:paraId="7494E9D2" w14:textId="75907B69" w:rsidR="00BF04DC" w:rsidRPr="00764BE0" w:rsidRDefault="0082009B" w:rsidP="00C832E6">
      <w:pPr>
        <w:pStyle w:val="Heading1"/>
        <w:pBdr>
          <w:bottom w:val="single" w:sz="4" w:space="1" w:color="auto"/>
        </w:pBdr>
      </w:pPr>
      <w:r>
        <w:lastRenderedPageBreak/>
        <w:t xml:space="preserve">Number of </w:t>
      </w:r>
      <w:bookmarkEnd w:id="6"/>
      <w:r w:rsidR="00CE344E">
        <w:t xml:space="preserve">URPs </w:t>
      </w:r>
      <w:r>
        <w:t>since July 2018</w:t>
      </w:r>
    </w:p>
    <w:p w14:paraId="0FDB0E5C" w14:textId="77777777" w:rsidR="00946114" w:rsidRDefault="00946114" w:rsidP="00946114">
      <w:pPr>
        <w:rPr>
          <w:rFonts w:asciiTheme="minorHAnsi" w:hAnsiTheme="minorHAnsi" w:cstheme="minorHAnsi"/>
        </w:rPr>
      </w:pPr>
      <w:r>
        <w:rPr>
          <w:rFonts w:asciiTheme="minorHAnsi" w:hAnsiTheme="minorHAnsi" w:cstheme="minorHAnsi"/>
        </w:rPr>
        <w:t>The number of URPs reported to the NDIS Commission has grown significantly in each 6-month reporting period since the NDIS Commission commenced operating in New South Wales and South Australia on 1 July 2018.</w:t>
      </w:r>
    </w:p>
    <w:p w14:paraId="61C296A4" w14:textId="77777777" w:rsidR="00264973" w:rsidRPr="00867212" w:rsidRDefault="00A30DB9" w:rsidP="000B1FF7">
      <w:pPr>
        <w:pStyle w:val="Caption"/>
        <w:rPr>
          <w:rFonts w:asciiTheme="minorHAnsi" w:hAnsiTheme="minorHAnsi" w:cstheme="minorHAnsi"/>
          <w:caps w:val="0"/>
          <w:sz w:val="18"/>
        </w:rPr>
      </w:pPr>
      <w:bookmarkStart w:id="7" w:name="_Ref85467811"/>
      <w:r w:rsidRPr="00867212">
        <w:rPr>
          <w:caps w:val="0"/>
          <w:sz w:val="18"/>
        </w:rPr>
        <w:t xml:space="preserve">Figure </w:t>
      </w:r>
      <w:r w:rsidR="00867212" w:rsidRPr="00867212">
        <w:rPr>
          <w:sz w:val="18"/>
        </w:rPr>
        <w:fldChar w:fldCharType="begin"/>
      </w:r>
      <w:r w:rsidR="00867212" w:rsidRPr="00867212">
        <w:rPr>
          <w:sz w:val="18"/>
        </w:rPr>
        <w:instrText xml:space="preserve"> SEQ Figure \* ARABIC </w:instrText>
      </w:r>
      <w:r w:rsidR="00867212" w:rsidRPr="00867212">
        <w:rPr>
          <w:sz w:val="18"/>
        </w:rPr>
        <w:fldChar w:fldCharType="separate"/>
      </w:r>
      <w:r w:rsidR="00093344" w:rsidRPr="00867212">
        <w:rPr>
          <w:noProof/>
          <w:sz w:val="18"/>
        </w:rPr>
        <w:t>1</w:t>
      </w:r>
      <w:r w:rsidR="00867212" w:rsidRPr="00867212">
        <w:rPr>
          <w:noProof/>
          <w:sz w:val="18"/>
        </w:rPr>
        <w:fldChar w:fldCharType="end"/>
      </w:r>
      <w:r w:rsidRPr="00867212">
        <w:rPr>
          <w:sz w:val="18"/>
        </w:rPr>
        <w:t xml:space="preserve"> - </w:t>
      </w:r>
      <w:r w:rsidRPr="00867212">
        <w:rPr>
          <w:caps w:val="0"/>
          <w:sz w:val="18"/>
        </w:rPr>
        <w:t>Instances of URPs by State and Territory since July 2018</w:t>
      </w:r>
      <w:bookmarkEnd w:id="7"/>
      <w:r w:rsidRPr="00867212">
        <w:rPr>
          <w:rStyle w:val="FootnoteReference"/>
          <w:rFonts w:asciiTheme="minorHAnsi" w:hAnsiTheme="minorHAnsi" w:cstheme="minorHAnsi"/>
          <w:caps w:val="0"/>
          <w:sz w:val="18"/>
        </w:rPr>
        <w:footnoteReference w:id="4"/>
      </w:r>
    </w:p>
    <w:p w14:paraId="011A0CC4" w14:textId="77777777" w:rsidR="00264973" w:rsidRDefault="00264973" w:rsidP="00264973">
      <w:r>
        <w:rPr>
          <w:noProof/>
          <w:lang w:eastAsia="en-AU"/>
        </w:rPr>
        <w:drawing>
          <wp:inline distT="0" distB="0" distL="0" distR="0" wp14:anchorId="41C5C8F6" wp14:editId="3FF85A6C">
            <wp:extent cx="5581015" cy="3352763"/>
            <wp:effectExtent l="0" t="0" r="635" b="635"/>
            <wp:docPr id="1" name="Picture 1" descr="Bar chart showing instances of URPs by State and Territory since Jul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showing instances of URPs by State and Territory since July 20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1015" cy="3352763"/>
                    </a:xfrm>
                    <a:prstGeom prst="rect">
                      <a:avLst/>
                    </a:prstGeom>
                    <a:noFill/>
                  </pic:spPr>
                </pic:pic>
              </a:graphicData>
            </a:graphic>
          </wp:inline>
        </w:drawing>
      </w:r>
    </w:p>
    <w:p w14:paraId="5F685FFE" w14:textId="110F9DF8" w:rsidR="00264973" w:rsidRDefault="00264973" w:rsidP="00264973">
      <w:pPr>
        <w:rPr>
          <w:rFonts w:asciiTheme="minorHAnsi" w:hAnsiTheme="minorHAnsi" w:cstheme="minorHAnsi"/>
        </w:rPr>
      </w:pPr>
      <w:r>
        <w:rPr>
          <w:rFonts w:asciiTheme="minorHAnsi" w:hAnsiTheme="minorHAnsi" w:cstheme="minorHAnsi"/>
        </w:rPr>
        <w:t xml:space="preserve">In 2018-19, the NDIS Commission operating in New South Wales and South Australia only and few URPs were reported during this period. The number of URPs reported in the </w:t>
      </w:r>
      <w:r w:rsidR="00867212">
        <w:rPr>
          <w:rFonts w:asciiTheme="minorHAnsi" w:hAnsiTheme="minorHAnsi" w:cstheme="minorHAnsi"/>
        </w:rPr>
        <w:t>six-</w:t>
      </w:r>
      <w:r>
        <w:rPr>
          <w:rFonts w:asciiTheme="minorHAnsi" w:hAnsiTheme="minorHAnsi" w:cstheme="minorHAnsi"/>
        </w:rPr>
        <w:t>month period from 1 July to 31 December 2019 grew significantly as the NDIS Commission began operations in Victoria, Queensland, Tasmania, the Australian Capital Territory and the Northern Territory</w:t>
      </w:r>
      <w:r w:rsidR="002C4AA8">
        <w:rPr>
          <w:rFonts w:asciiTheme="minorHAnsi" w:hAnsiTheme="minorHAnsi" w:cstheme="minorHAnsi"/>
        </w:rPr>
        <w:t xml:space="preserve">, introduced online reporting of all reportable incidents from 1 July 2019, </w:t>
      </w:r>
      <w:r>
        <w:rPr>
          <w:rFonts w:asciiTheme="minorHAnsi" w:hAnsiTheme="minorHAnsi" w:cstheme="minorHAnsi"/>
        </w:rPr>
        <w:t>and introduced a streamlined reporting mechanism for URPs</w:t>
      </w:r>
      <w:r w:rsidR="002C4AA8">
        <w:rPr>
          <w:rFonts w:asciiTheme="minorHAnsi" w:hAnsiTheme="minorHAnsi" w:cstheme="minorHAnsi"/>
        </w:rPr>
        <w:t xml:space="preserve"> from late 2019</w:t>
      </w:r>
      <w:r>
        <w:rPr>
          <w:rFonts w:asciiTheme="minorHAnsi" w:hAnsiTheme="minorHAnsi" w:cstheme="minorHAnsi"/>
        </w:rPr>
        <w:t xml:space="preserve">. </w:t>
      </w:r>
    </w:p>
    <w:p w14:paraId="4237743B" w14:textId="26DEC398" w:rsidR="00264973" w:rsidRDefault="00264973" w:rsidP="00264973">
      <w:pPr>
        <w:rPr>
          <w:rFonts w:asciiTheme="minorHAnsi" w:hAnsiTheme="minorHAnsi" w:cstheme="minorHAnsi"/>
        </w:rPr>
      </w:pPr>
      <w:r>
        <w:rPr>
          <w:rFonts w:asciiTheme="minorHAnsi" w:hAnsiTheme="minorHAnsi" w:cstheme="minorHAnsi"/>
        </w:rPr>
        <w:t xml:space="preserve">A sharp increase </w:t>
      </w:r>
      <w:r w:rsidR="002C4AA8">
        <w:rPr>
          <w:rFonts w:asciiTheme="minorHAnsi" w:hAnsiTheme="minorHAnsi" w:cstheme="minorHAnsi"/>
        </w:rPr>
        <w:t xml:space="preserve">in notifications of URPs </w:t>
      </w:r>
      <w:r>
        <w:rPr>
          <w:rFonts w:asciiTheme="minorHAnsi" w:hAnsiTheme="minorHAnsi" w:cstheme="minorHAnsi"/>
        </w:rPr>
        <w:t xml:space="preserve">in the subsequent </w:t>
      </w:r>
      <w:r w:rsidR="00867212">
        <w:rPr>
          <w:rFonts w:asciiTheme="minorHAnsi" w:hAnsiTheme="minorHAnsi" w:cstheme="minorHAnsi"/>
        </w:rPr>
        <w:t>six-</w:t>
      </w:r>
      <w:r>
        <w:rPr>
          <w:rFonts w:asciiTheme="minorHAnsi" w:hAnsiTheme="minorHAnsi" w:cstheme="minorHAnsi"/>
        </w:rPr>
        <w:t xml:space="preserve">month period from 1 January </w:t>
      </w:r>
      <w:r w:rsidR="0082009B">
        <w:rPr>
          <w:rFonts w:asciiTheme="minorHAnsi" w:hAnsiTheme="minorHAnsi" w:cstheme="minorHAnsi"/>
        </w:rPr>
        <w:t xml:space="preserve">2020 </w:t>
      </w:r>
      <w:r>
        <w:rPr>
          <w:rFonts w:asciiTheme="minorHAnsi" w:hAnsiTheme="minorHAnsi" w:cstheme="minorHAnsi"/>
        </w:rPr>
        <w:t xml:space="preserve">to </w:t>
      </w:r>
      <w:r w:rsidR="002C4AA8">
        <w:rPr>
          <w:rFonts w:asciiTheme="minorHAnsi" w:hAnsiTheme="minorHAnsi" w:cstheme="minorHAnsi"/>
        </w:rPr>
        <w:t>3</w:t>
      </w:r>
      <w:r>
        <w:rPr>
          <w:rFonts w:asciiTheme="minorHAnsi" w:hAnsiTheme="minorHAnsi" w:cstheme="minorHAnsi"/>
        </w:rPr>
        <w:t>0 June 2020, and the subsequent increases in reporting in the 2020-21 period reflect a range of factors including:</w:t>
      </w:r>
    </w:p>
    <w:p w14:paraId="6472E262" w14:textId="77777777" w:rsidR="00264973" w:rsidRDefault="00264973"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expiry of transitional arrangements under the Restrictive Practices and Behaviour Support Rules, described further below;</w:t>
      </w:r>
    </w:p>
    <w:p w14:paraId="2663B979" w14:textId="77777777" w:rsidR="00264973" w:rsidRDefault="00264973"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 xml:space="preserve">the </w:t>
      </w:r>
      <w:r w:rsidRPr="002041AF">
        <w:rPr>
          <w:rFonts w:asciiTheme="minorHAnsi" w:hAnsiTheme="minorHAnsi" w:cstheme="minorHAnsi"/>
        </w:rPr>
        <w:t xml:space="preserve">growth in the number </w:t>
      </w:r>
      <w:r>
        <w:rPr>
          <w:rFonts w:asciiTheme="minorHAnsi" w:hAnsiTheme="minorHAnsi" w:cstheme="minorHAnsi"/>
        </w:rPr>
        <w:t>of participants accessing the NDIS;</w:t>
      </w:r>
    </w:p>
    <w:p w14:paraId="5ACF11B3" w14:textId="77777777" w:rsidR="00264973" w:rsidRDefault="00264973"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lastRenderedPageBreak/>
        <w:t>increased understanding of compliance obligations following extensive education campaigns by the Commission;</w:t>
      </w:r>
    </w:p>
    <w:p w14:paraId="54E6E973" w14:textId="77777777" w:rsidR="00264973" w:rsidRDefault="002C4AA8"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 xml:space="preserve">full implementation of the streamlined reporting mechanism for URPs introduced in late 2019, which allowed providers to </w:t>
      </w:r>
      <w:r w:rsidR="00264973">
        <w:rPr>
          <w:rFonts w:asciiTheme="minorHAnsi" w:hAnsiTheme="minorHAnsi" w:cstheme="minorHAnsi"/>
        </w:rPr>
        <w:t>m</w:t>
      </w:r>
      <w:r>
        <w:rPr>
          <w:rFonts w:asciiTheme="minorHAnsi" w:hAnsiTheme="minorHAnsi" w:cstheme="minorHAnsi"/>
        </w:rPr>
        <w:t>ove</w:t>
      </w:r>
      <w:r w:rsidR="00264973">
        <w:rPr>
          <w:rFonts w:asciiTheme="minorHAnsi" w:hAnsiTheme="minorHAnsi" w:cstheme="minorHAnsi"/>
        </w:rPr>
        <w:t xml:space="preserve"> to a weekly reporting system </w:t>
      </w:r>
      <w:r w:rsidR="008C10E3">
        <w:rPr>
          <w:rFonts w:asciiTheme="minorHAnsi" w:hAnsiTheme="minorHAnsi" w:cstheme="minorHAnsi"/>
        </w:rPr>
        <w:t>for reporting of each instance of the use of a chemical or environment URP that is ongoing for a participant until authorised or within a BSP;</w:t>
      </w:r>
    </w:p>
    <w:p w14:paraId="3996D06C" w14:textId="77777777" w:rsidR="00264973" w:rsidRDefault="00264973"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in 2020-21, the NDIS Commission’s targeted compliance action in relation to URPs which had the effect of further improving providers’ awareness of their obligations in relation to authorisation and behaviour support plans and reporting URPs;</w:t>
      </w:r>
    </w:p>
    <w:p w14:paraId="69C68B6F" w14:textId="77777777" w:rsidR="002C4AA8" w:rsidRDefault="00264973"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 xml:space="preserve">in December 2020, the expansion of the NDIS Commission’s jurisdiction to Western Australia </w:t>
      </w:r>
      <w:r w:rsidR="002C4AA8">
        <w:rPr>
          <w:rFonts w:asciiTheme="minorHAnsi" w:hAnsiTheme="minorHAnsi" w:cstheme="minorHAnsi"/>
        </w:rPr>
        <w:t>on 1 December 2020;</w:t>
      </w:r>
    </w:p>
    <w:p w14:paraId="00E0171E" w14:textId="18C23DE1" w:rsidR="00264973" w:rsidRDefault="002C4AA8"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in December 2020, the expansion of the NDIS</w:t>
      </w:r>
      <w:r w:rsidR="00867212">
        <w:rPr>
          <w:rFonts w:asciiTheme="minorHAnsi" w:hAnsiTheme="minorHAnsi" w:cstheme="minorHAnsi"/>
        </w:rPr>
        <w:t xml:space="preserve"> Commission’s jurisdiction in</w:t>
      </w:r>
      <w:r>
        <w:rPr>
          <w:rFonts w:asciiTheme="minorHAnsi" w:hAnsiTheme="minorHAnsi" w:cstheme="minorHAnsi"/>
        </w:rPr>
        <w:t xml:space="preserve"> relation to Residential Aged Care (</w:t>
      </w:r>
      <w:r w:rsidR="00264973">
        <w:rPr>
          <w:rFonts w:asciiTheme="minorHAnsi" w:hAnsiTheme="minorHAnsi" w:cstheme="minorHAnsi"/>
        </w:rPr>
        <w:t>RAC</w:t>
      </w:r>
      <w:r>
        <w:rPr>
          <w:rFonts w:asciiTheme="minorHAnsi" w:hAnsiTheme="minorHAnsi" w:cstheme="minorHAnsi"/>
        </w:rPr>
        <w:t>) providers that support NDIS participants, which had the effect of requiring RAC providers to register with the NDIS Commission and commence reporting all URPs in relation to NDIS participants to the NDIS Commission from 1 December 2020</w:t>
      </w:r>
      <w:r w:rsidR="00264973">
        <w:rPr>
          <w:rFonts w:asciiTheme="minorHAnsi" w:hAnsiTheme="minorHAnsi" w:cstheme="minorHAnsi"/>
        </w:rPr>
        <w:t>; and</w:t>
      </w:r>
    </w:p>
    <w:p w14:paraId="2FE37BB1" w14:textId="77777777" w:rsidR="00264973" w:rsidRDefault="00264973"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through to 2021, the completion of the transition of state and territory disability service systems into the NDIS including the cessation of in-kind arrangements</w:t>
      </w:r>
      <w:r w:rsidR="002C4AA8">
        <w:rPr>
          <w:rFonts w:asciiTheme="minorHAnsi" w:hAnsiTheme="minorHAnsi" w:cstheme="minorHAnsi"/>
        </w:rPr>
        <w:t>;</w:t>
      </w:r>
      <w:r>
        <w:rPr>
          <w:rFonts w:asciiTheme="minorHAnsi" w:hAnsiTheme="minorHAnsi" w:cstheme="minorHAnsi"/>
        </w:rPr>
        <w:t xml:space="preserve"> for example</w:t>
      </w:r>
      <w:r w:rsidR="002C4AA8">
        <w:rPr>
          <w:rFonts w:asciiTheme="minorHAnsi" w:hAnsiTheme="minorHAnsi" w:cstheme="minorHAnsi"/>
        </w:rPr>
        <w:t>,</w:t>
      </w:r>
      <w:r>
        <w:rPr>
          <w:rFonts w:asciiTheme="minorHAnsi" w:hAnsiTheme="minorHAnsi" w:cstheme="minorHAnsi"/>
        </w:rPr>
        <w:t xml:space="preserve"> in-kind supported accommodation for around 2500 NDIS participants </w:t>
      </w:r>
      <w:r w:rsidR="002C4AA8">
        <w:rPr>
          <w:rFonts w:asciiTheme="minorHAnsi" w:hAnsiTheme="minorHAnsi" w:cstheme="minorHAnsi"/>
        </w:rPr>
        <w:t>ended in early 2021 in Victoria.</w:t>
      </w:r>
    </w:p>
    <w:p w14:paraId="450D0C12" w14:textId="77777777" w:rsidR="0082009B" w:rsidRDefault="0082009B" w:rsidP="0082009B">
      <w:pPr>
        <w:rPr>
          <w:rFonts w:asciiTheme="minorHAnsi" w:hAnsiTheme="minorHAnsi" w:cstheme="minorHAnsi"/>
        </w:rPr>
      </w:pPr>
      <w:r w:rsidRPr="0082009B">
        <w:rPr>
          <w:rFonts w:asciiTheme="minorHAnsi" w:hAnsiTheme="minorHAnsi" w:cstheme="minorHAnsi"/>
        </w:rPr>
        <w:t xml:space="preserve">The number of URPs reported to the NDIS Commission started to stabilise during the period 1 July 2020 to 30 November 2020. During this period the NDIS Commission was notified of an average of 75,174 URPs per month. </w:t>
      </w:r>
    </w:p>
    <w:p w14:paraId="2094DA8E" w14:textId="77777777" w:rsidR="0082009B" w:rsidRPr="0082009B" w:rsidRDefault="0082009B" w:rsidP="0082009B">
      <w:pPr>
        <w:rPr>
          <w:rFonts w:asciiTheme="minorHAnsi" w:hAnsiTheme="minorHAnsi" w:cstheme="minorHAnsi"/>
        </w:rPr>
      </w:pPr>
      <w:r>
        <w:rPr>
          <w:rFonts w:asciiTheme="minorHAnsi" w:hAnsiTheme="minorHAnsi" w:cstheme="minorHAnsi"/>
        </w:rPr>
        <w:t>During the period 1 December 2020 to 30 June 2021, t</w:t>
      </w:r>
      <w:r w:rsidRPr="002041AF">
        <w:rPr>
          <w:rFonts w:asciiTheme="minorHAnsi" w:hAnsiTheme="minorHAnsi" w:cstheme="minorHAnsi"/>
        </w:rPr>
        <w:t xml:space="preserve">he </w:t>
      </w:r>
      <w:r>
        <w:rPr>
          <w:rFonts w:asciiTheme="minorHAnsi" w:hAnsiTheme="minorHAnsi" w:cstheme="minorHAnsi"/>
        </w:rPr>
        <w:t xml:space="preserve">average </w:t>
      </w:r>
      <w:r w:rsidRPr="002041AF">
        <w:rPr>
          <w:rFonts w:asciiTheme="minorHAnsi" w:hAnsiTheme="minorHAnsi" w:cstheme="minorHAnsi"/>
        </w:rPr>
        <w:t>number of URPs reported each month increased to 93,742</w:t>
      </w:r>
      <w:r>
        <w:rPr>
          <w:rFonts w:asciiTheme="minorHAnsi" w:hAnsiTheme="minorHAnsi" w:cstheme="minorHAnsi"/>
        </w:rPr>
        <w:t xml:space="preserve">. A significant component of this increase is </w:t>
      </w:r>
      <w:r w:rsidRPr="002041AF">
        <w:rPr>
          <w:rFonts w:asciiTheme="minorHAnsi" w:hAnsiTheme="minorHAnsi" w:cstheme="minorHAnsi"/>
        </w:rPr>
        <w:t>attr</w:t>
      </w:r>
      <w:r>
        <w:rPr>
          <w:rFonts w:asciiTheme="minorHAnsi" w:hAnsiTheme="minorHAnsi" w:cstheme="minorHAnsi"/>
        </w:rPr>
        <w:t xml:space="preserve">ibutable to the expansion of the NDIS Commission’s jurisdiction </w:t>
      </w:r>
      <w:r w:rsidRPr="002041AF">
        <w:rPr>
          <w:rFonts w:asciiTheme="minorHAnsi" w:hAnsiTheme="minorHAnsi" w:cstheme="minorHAnsi"/>
        </w:rPr>
        <w:t xml:space="preserve">in Western Australia and </w:t>
      </w:r>
      <w:r>
        <w:rPr>
          <w:rFonts w:asciiTheme="minorHAnsi" w:hAnsiTheme="minorHAnsi" w:cstheme="minorHAnsi"/>
        </w:rPr>
        <w:t>in relation to</w:t>
      </w:r>
      <w:r w:rsidRPr="002041AF">
        <w:rPr>
          <w:rFonts w:asciiTheme="minorHAnsi" w:hAnsiTheme="minorHAnsi" w:cstheme="minorHAnsi"/>
        </w:rPr>
        <w:t xml:space="preserve"> RAC </w:t>
      </w:r>
      <w:r>
        <w:rPr>
          <w:rFonts w:asciiTheme="minorHAnsi" w:hAnsiTheme="minorHAnsi" w:cstheme="minorHAnsi"/>
        </w:rPr>
        <w:t>providers.</w:t>
      </w:r>
    </w:p>
    <w:p w14:paraId="09914AD0" w14:textId="77777777" w:rsidR="00807C62" w:rsidRDefault="00400E0A" w:rsidP="00C3568C">
      <w:pPr>
        <w:rPr>
          <w:rFonts w:asciiTheme="minorHAnsi" w:hAnsiTheme="minorHAnsi" w:cstheme="minorHAnsi"/>
          <w:shd w:val="clear" w:color="auto" w:fill="FFFFFF"/>
        </w:rPr>
      </w:pPr>
      <w:r w:rsidRPr="00400E0A">
        <w:rPr>
          <w:rFonts w:asciiTheme="minorHAnsi" w:hAnsiTheme="minorHAnsi" w:cstheme="minorHAnsi"/>
          <w:shd w:val="clear" w:color="auto" w:fill="FFFFFF"/>
        </w:rPr>
        <w:t>Under the</w:t>
      </w:r>
      <w:r w:rsidR="003E418D">
        <w:rPr>
          <w:rFonts w:asciiTheme="minorHAnsi" w:hAnsiTheme="minorHAnsi" w:cstheme="minorHAnsi"/>
          <w:shd w:val="clear" w:color="auto" w:fill="FFFFFF"/>
        </w:rPr>
        <w:t xml:space="preserve"> </w:t>
      </w:r>
      <w:r w:rsidR="006D0FE3" w:rsidRPr="00293EF2">
        <w:rPr>
          <w:rStyle w:val="Emphasis"/>
          <w:rFonts w:asciiTheme="minorHAnsi" w:hAnsiTheme="minorHAnsi" w:cstheme="minorHAnsi"/>
          <w:b w:val="0"/>
          <w:bCs w:val="0"/>
          <w:i w:val="0"/>
          <w:color w:val="222222"/>
          <w:spacing w:val="0"/>
        </w:rPr>
        <w:t>Restrictive Practices and</w:t>
      </w:r>
      <w:r w:rsidR="006D0FE3">
        <w:rPr>
          <w:rStyle w:val="Emphasis"/>
          <w:rFonts w:asciiTheme="minorHAnsi" w:hAnsiTheme="minorHAnsi" w:cstheme="minorHAnsi"/>
          <w:b w:val="0"/>
          <w:bCs w:val="0"/>
          <w:color w:val="222222"/>
          <w:spacing w:val="0"/>
        </w:rPr>
        <w:t xml:space="preserve"> </w:t>
      </w:r>
      <w:r w:rsidRPr="00400E0A">
        <w:rPr>
          <w:rFonts w:asciiTheme="minorHAnsi" w:hAnsiTheme="minorHAnsi" w:cstheme="minorHAnsi"/>
          <w:shd w:val="clear" w:color="auto" w:fill="FFFFFF"/>
        </w:rPr>
        <w:t xml:space="preserve">Behaviour Support Rules, there were special </w:t>
      </w:r>
      <w:r w:rsidR="002C4AA8">
        <w:rPr>
          <w:rFonts w:asciiTheme="minorHAnsi" w:hAnsiTheme="minorHAnsi" w:cstheme="minorHAnsi"/>
          <w:shd w:val="clear" w:color="auto" w:fill="FFFFFF"/>
        </w:rPr>
        <w:t xml:space="preserve">transitional </w:t>
      </w:r>
      <w:r w:rsidRPr="00400E0A">
        <w:rPr>
          <w:rFonts w:asciiTheme="minorHAnsi" w:hAnsiTheme="minorHAnsi" w:cstheme="minorHAnsi"/>
          <w:shd w:val="clear" w:color="auto" w:fill="FFFFFF"/>
        </w:rPr>
        <w:t xml:space="preserve">arrangements for </w:t>
      </w:r>
      <w:r w:rsidR="003E6858">
        <w:rPr>
          <w:rFonts w:asciiTheme="minorHAnsi" w:hAnsiTheme="minorHAnsi" w:cstheme="minorHAnsi"/>
          <w:shd w:val="clear" w:color="auto" w:fill="FFFFFF"/>
        </w:rPr>
        <w:t xml:space="preserve">registered </w:t>
      </w:r>
      <w:r w:rsidRPr="00400E0A">
        <w:rPr>
          <w:rFonts w:asciiTheme="minorHAnsi" w:hAnsiTheme="minorHAnsi" w:cstheme="minorHAnsi"/>
          <w:shd w:val="clear" w:color="auto" w:fill="FFFFFF"/>
        </w:rPr>
        <w:t xml:space="preserve">NDIS providers who transitioned to the jurisdiction </w:t>
      </w:r>
      <w:r w:rsidR="00C10ECA">
        <w:rPr>
          <w:rFonts w:asciiTheme="minorHAnsi" w:hAnsiTheme="minorHAnsi" w:cstheme="minorHAnsi"/>
          <w:shd w:val="clear" w:color="auto" w:fill="FFFFFF"/>
        </w:rPr>
        <w:t xml:space="preserve">of the </w:t>
      </w:r>
      <w:r w:rsidR="003E418D">
        <w:rPr>
          <w:rFonts w:asciiTheme="minorHAnsi" w:hAnsiTheme="minorHAnsi" w:cstheme="minorHAnsi"/>
          <w:shd w:val="clear" w:color="auto" w:fill="FFFFFF"/>
        </w:rPr>
        <w:t xml:space="preserve">NDIS </w:t>
      </w:r>
      <w:r w:rsidR="003E418D" w:rsidRPr="00C10ECA">
        <w:rPr>
          <w:rFonts w:asciiTheme="minorHAnsi" w:hAnsiTheme="minorHAnsi" w:cstheme="minorHAnsi"/>
          <w:shd w:val="clear" w:color="auto" w:fill="FFFFFF"/>
        </w:rPr>
        <w:t>Commission</w:t>
      </w:r>
      <w:r w:rsidRPr="00C10ECA">
        <w:rPr>
          <w:rFonts w:asciiTheme="minorHAnsi" w:hAnsiTheme="minorHAnsi" w:cstheme="minorHAnsi"/>
          <w:shd w:val="clear" w:color="auto" w:fill="FFFFFF"/>
        </w:rPr>
        <w:t xml:space="preserve">. These arrangements </w:t>
      </w:r>
      <w:r w:rsidR="00807C62">
        <w:rPr>
          <w:rFonts w:asciiTheme="minorHAnsi" w:hAnsiTheme="minorHAnsi" w:cstheme="minorHAnsi"/>
          <w:shd w:val="clear" w:color="auto" w:fill="FFFFFF"/>
        </w:rPr>
        <w:t>allowed time</w:t>
      </w:r>
      <w:r w:rsidR="003B507E">
        <w:rPr>
          <w:rFonts w:asciiTheme="minorHAnsi" w:hAnsiTheme="minorHAnsi" w:cstheme="minorHAnsi"/>
          <w:shd w:val="clear" w:color="auto" w:fill="FFFFFF"/>
        </w:rPr>
        <w:t xml:space="preserve"> for</w:t>
      </w:r>
      <w:r w:rsidR="00807C62">
        <w:rPr>
          <w:rFonts w:asciiTheme="minorHAnsi" w:hAnsiTheme="minorHAnsi" w:cstheme="minorHAnsi"/>
          <w:shd w:val="clear" w:color="auto" w:fill="FFFFFF"/>
        </w:rPr>
        <w:t>:</w:t>
      </w:r>
    </w:p>
    <w:p w14:paraId="25EFBD25" w14:textId="77777777" w:rsidR="00807C62" w:rsidRPr="00293EF2" w:rsidRDefault="00C10ECA" w:rsidP="003268DE">
      <w:pPr>
        <w:pStyle w:val="ListParagraph"/>
        <w:numPr>
          <w:ilvl w:val="0"/>
          <w:numId w:val="16"/>
        </w:numPr>
        <w:contextualSpacing w:val="0"/>
        <w:rPr>
          <w:rFonts w:asciiTheme="minorHAnsi" w:hAnsiTheme="minorHAnsi" w:cstheme="minorHAnsi"/>
          <w:shd w:val="clear" w:color="auto" w:fill="FFFFFF"/>
        </w:rPr>
      </w:pPr>
      <w:r w:rsidRPr="00293EF2">
        <w:rPr>
          <w:rFonts w:asciiTheme="minorHAnsi" w:hAnsiTheme="minorHAnsi" w:cstheme="minorHAnsi"/>
          <w:color w:val="111111"/>
          <w:shd w:val="clear" w:color="auto" w:fill="FFFFFF"/>
        </w:rPr>
        <w:t>the N</w:t>
      </w:r>
      <w:r w:rsidR="00807C62">
        <w:rPr>
          <w:rFonts w:asciiTheme="minorHAnsi" w:hAnsiTheme="minorHAnsi" w:cstheme="minorHAnsi"/>
          <w:color w:val="111111"/>
          <w:shd w:val="clear" w:color="auto" w:fill="FFFFFF"/>
        </w:rPr>
        <w:t xml:space="preserve">ational </w:t>
      </w:r>
      <w:r w:rsidRPr="00293EF2">
        <w:rPr>
          <w:rFonts w:asciiTheme="minorHAnsi" w:hAnsiTheme="minorHAnsi" w:cstheme="minorHAnsi"/>
          <w:color w:val="111111"/>
          <w:shd w:val="clear" w:color="auto" w:fill="FFFFFF"/>
        </w:rPr>
        <w:t>D</w:t>
      </w:r>
      <w:r w:rsidR="00807C62">
        <w:rPr>
          <w:rFonts w:asciiTheme="minorHAnsi" w:hAnsiTheme="minorHAnsi" w:cstheme="minorHAnsi"/>
          <w:color w:val="111111"/>
          <w:shd w:val="clear" w:color="auto" w:fill="FFFFFF"/>
        </w:rPr>
        <w:t xml:space="preserve">isability </w:t>
      </w:r>
      <w:r w:rsidRPr="00293EF2">
        <w:rPr>
          <w:rFonts w:asciiTheme="minorHAnsi" w:hAnsiTheme="minorHAnsi" w:cstheme="minorHAnsi"/>
          <w:color w:val="111111"/>
          <w:shd w:val="clear" w:color="auto" w:fill="FFFFFF"/>
        </w:rPr>
        <w:t>I</w:t>
      </w:r>
      <w:r w:rsidR="00807C62">
        <w:rPr>
          <w:rFonts w:asciiTheme="minorHAnsi" w:hAnsiTheme="minorHAnsi" w:cstheme="minorHAnsi"/>
          <w:color w:val="111111"/>
          <w:shd w:val="clear" w:color="auto" w:fill="FFFFFF"/>
        </w:rPr>
        <w:t xml:space="preserve">nsurance </w:t>
      </w:r>
      <w:r w:rsidRPr="00293EF2">
        <w:rPr>
          <w:rFonts w:asciiTheme="minorHAnsi" w:hAnsiTheme="minorHAnsi" w:cstheme="minorHAnsi"/>
          <w:color w:val="111111"/>
          <w:shd w:val="clear" w:color="auto" w:fill="FFFFFF"/>
        </w:rPr>
        <w:t>A</w:t>
      </w:r>
      <w:r w:rsidR="00807C62">
        <w:rPr>
          <w:rFonts w:asciiTheme="minorHAnsi" w:hAnsiTheme="minorHAnsi" w:cstheme="minorHAnsi"/>
          <w:color w:val="111111"/>
          <w:shd w:val="clear" w:color="auto" w:fill="FFFFFF"/>
        </w:rPr>
        <w:t>gency (NDIA)</w:t>
      </w:r>
      <w:r w:rsidRPr="00293EF2">
        <w:rPr>
          <w:rFonts w:asciiTheme="minorHAnsi" w:hAnsiTheme="minorHAnsi" w:cstheme="minorHAnsi"/>
          <w:color w:val="111111"/>
          <w:shd w:val="clear" w:color="auto" w:fill="FFFFFF"/>
        </w:rPr>
        <w:t xml:space="preserve"> to add funding </w:t>
      </w:r>
      <w:r w:rsidRPr="00293EF2">
        <w:rPr>
          <w:rFonts w:asciiTheme="minorHAnsi" w:hAnsiTheme="minorHAnsi" w:cstheme="minorHAnsi"/>
          <w:color w:val="000000" w:themeColor="text1"/>
          <w:shd w:val="clear" w:color="auto" w:fill="FFFFFF"/>
        </w:rPr>
        <w:t xml:space="preserve">for </w:t>
      </w:r>
      <w:r w:rsidRPr="00807C62">
        <w:rPr>
          <w:rStyle w:val="Strong"/>
          <w:rFonts w:asciiTheme="minorHAnsi" w:hAnsiTheme="minorHAnsi" w:cstheme="minorHAnsi"/>
          <w:b w:val="0"/>
          <w:color w:val="000000" w:themeColor="text1"/>
          <w:shd w:val="clear" w:color="auto" w:fill="FFFFFF"/>
        </w:rPr>
        <w:t>behaviour</w:t>
      </w:r>
      <w:r w:rsidRPr="00293EF2">
        <w:rPr>
          <w:rFonts w:asciiTheme="minorHAnsi" w:hAnsiTheme="minorHAnsi" w:cstheme="minorHAnsi"/>
          <w:b/>
          <w:color w:val="000000" w:themeColor="text1"/>
          <w:shd w:val="clear" w:color="auto" w:fill="FFFFFF"/>
        </w:rPr>
        <w:t xml:space="preserve"> </w:t>
      </w:r>
      <w:r w:rsidRPr="00807C62">
        <w:rPr>
          <w:rStyle w:val="Strong"/>
          <w:rFonts w:asciiTheme="minorHAnsi" w:hAnsiTheme="minorHAnsi" w:cstheme="minorHAnsi"/>
          <w:b w:val="0"/>
          <w:color w:val="000000" w:themeColor="text1"/>
          <w:shd w:val="clear" w:color="auto" w:fill="FFFFFF"/>
        </w:rPr>
        <w:t>support</w:t>
      </w:r>
      <w:r w:rsidRPr="00293EF2">
        <w:rPr>
          <w:rFonts w:asciiTheme="minorHAnsi" w:hAnsiTheme="minorHAnsi" w:cstheme="minorHAnsi"/>
          <w:color w:val="000000" w:themeColor="text1"/>
          <w:shd w:val="clear" w:color="auto" w:fill="FFFFFF"/>
        </w:rPr>
        <w:t xml:space="preserve"> </w:t>
      </w:r>
      <w:r w:rsidRPr="00293EF2">
        <w:rPr>
          <w:rFonts w:asciiTheme="minorHAnsi" w:hAnsiTheme="minorHAnsi" w:cstheme="minorHAnsi"/>
          <w:color w:val="111111"/>
          <w:shd w:val="clear" w:color="auto" w:fill="FFFFFF"/>
        </w:rPr>
        <w:t>to participant</w:t>
      </w:r>
      <w:r w:rsidR="00807C62" w:rsidRPr="00293EF2">
        <w:rPr>
          <w:rFonts w:asciiTheme="minorHAnsi" w:hAnsiTheme="minorHAnsi" w:cstheme="minorHAnsi"/>
          <w:color w:val="111111"/>
          <w:shd w:val="clear" w:color="auto" w:fill="FFFFFF"/>
        </w:rPr>
        <w:t>s’</w:t>
      </w:r>
      <w:r w:rsidRPr="00293EF2">
        <w:rPr>
          <w:rFonts w:asciiTheme="minorHAnsi" w:hAnsiTheme="minorHAnsi" w:cstheme="minorHAnsi"/>
          <w:color w:val="111111"/>
          <w:shd w:val="clear" w:color="auto" w:fill="FFFFFF"/>
        </w:rPr>
        <w:t xml:space="preserve"> plans where required</w:t>
      </w:r>
      <w:r w:rsidR="00807C62">
        <w:rPr>
          <w:rFonts w:asciiTheme="minorHAnsi" w:hAnsiTheme="minorHAnsi" w:cstheme="minorHAnsi"/>
          <w:color w:val="111111"/>
          <w:shd w:val="clear" w:color="auto" w:fill="FFFFFF"/>
        </w:rPr>
        <w:t>;</w:t>
      </w:r>
      <w:r w:rsidRPr="00293EF2">
        <w:rPr>
          <w:rFonts w:asciiTheme="minorHAnsi" w:hAnsiTheme="minorHAnsi" w:cstheme="minorHAnsi"/>
          <w:color w:val="111111"/>
          <w:shd w:val="clear" w:color="auto" w:fill="FFFFFF"/>
        </w:rPr>
        <w:t xml:space="preserve"> </w:t>
      </w:r>
    </w:p>
    <w:p w14:paraId="7937F507" w14:textId="77777777" w:rsidR="00807C62" w:rsidRPr="00293EF2" w:rsidRDefault="003B507E" w:rsidP="003268DE">
      <w:pPr>
        <w:pStyle w:val="ListParagraph"/>
        <w:numPr>
          <w:ilvl w:val="0"/>
          <w:numId w:val="16"/>
        </w:numPr>
        <w:contextualSpacing w:val="0"/>
        <w:rPr>
          <w:rFonts w:asciiTheme="minorHAnsi" w:hAnsiTheme="minorHAnsi" w:cstheme="minorHAnsi"/>
          <w:shd w:val="clear" w:color="auto" w:fill="FFFFFF"/>
        </w:rPr>
      </w:pPr>
      <w:r>
        <w:rPr>
          <w:rFonts w:asciiTheme="minorHAnsi" w:hAnsiTheme="minorHAnsi" w:cstheme="minorHAnsi"/>
          <w:color w:val="111111"/>
          <w:shd w:val="clear" w:color="auto" w:fill="FFFFFF"/>
        </w:rPr>
        <w:t xml:space="preserve">specialist behaviour support providers to develop </w:t>
      </w:r>
      <w:r w:rsidR="00C10ECA" w:rsidRPr="00807C62">
        <w:rPr>
          <w:rStyle w:val="Strong"/>
          <w:rFonts w:asciiTheme="minorHAnsi" w:hAnsiTheme="minorHAnsi" w:cstheme="minorHAnsi"/>
          <w:b w:val="0"/>
          <w:color w:val="111111"/>
          <w:shd w:val="clear" w:color="auto" w:fill="FFFFFF"/>
        </w:rPr>
        <w:t>behaviour</w:t>
      </w:r>
      <w:r w:rsidR="00C10ECA" w:rsidRPr="00293EF2">
        <w:rPr>
          <w:rFonts w:asciiTheme="minorHAnsi" w:hAnsiTheme="minorHAnsi" w:cstheme="minorHAnsi"/>
          <w:b/>
          <w:color w:val="111111"/>
          <w:shd w:val="clear" w:color="auto" w:fill="FFFFFF"/>
        </w:rPr>
        <w:t xml:space="preserve"> </w:t>
      </w:r>
      <w:r w:rsidR="00C10ECA" w:rsidRPr="00807C62">
        <w:rPr>
          <w:rStyle w:val="Strong"/>
          <w:rFonts w:asciiTheme="minorHAnsi" w:hAnsiTheme="minorHAnsi" w:cstheme="minorHAnsi"/>
          <w:b w:val="0"/>
          <w:color w:val="111111"/>
          <w:shd w:val="clear" w:color="auto" w:fill="FFFFFF"/>
        </w:rPr>
        <w:t>support</w:t>
      </w:r>
      <w:r w:rsidR="00C10ECA" w:rsidRPr="00293EF2">
        <w:rPr>
          <w:rFonts w:asciiTheme="minorHAnsi" w:hAnsiTheme="minorHAnsi" w:cstheme="minorHAnsi"/>
          <w:color w:val="111111"/>
          <w:shd w:val="clear" w:color="auto" w:fill="FFFFFF"/>
        </w:rPr>
        <w:t xml:space="preserve"> plans for participants</w:t>
      </w:r>
      <w:r w:rsidR="00807C62">
        <w:rPr>
          <w:rFonts w:asciiTheme="minorHAnsi" w:hAnsiTheme="minorHAnsi" w:cstheme="minorHAnsi"/>
          <w:color w:val="111111"/>
          <w:shd w:val="clear" w:color="auto" w:fill="FFFFFF"/>
        </w:rPr>
        <w:t>;</w:t>
      </w:r>
      <w:r w:rsidR="00C10ECA" w:rsidRPr="00293EF2">
        <w:rPr>
          <w:rFonts w:asciiTheme="minorHAnsi" w:hAnsiTheme="minorHAnsi" w:cstheme="minorHAnsi"/>
          <w:color w:val="111111"/>
          <w:shd w:val="clear" w:color="auto" w:fill="FFFFFF"/>
        </w:rPr>
        <w:t xml:space="preserve"> and </w:t>
      </w:r>
    </w:p>
    <w:p w14:paraId="72BFFD68" w14:textId="77777777" w:rsidR="00400E0A" w:rsidRPr="00293EF2" w:rsidRDefault="003B507E" w:rsidP="003268DE">
      <w:pPr>
        <w:pStyle w:val="ListParagraph"/>
        <w:numPr>
          <w:ilvl w:val="0"/>
          <w:numId w:val="16"/>
        </w:numPr>
        <w:contextualSpacing w:val="0"/>
        <w:rPr>
          <w:rFonts w:asciiTheme="minorHAnsi" w:hAnsiTheme="minorHAnsi" w:cstheme="minorHAnsi"/>
          <w:shd w:val="clear" w:color="auto" w:fill="FFFFFF"/>
        </w:rPr>
      </w:pPr>
      <w:r>
        <w:rPr>
          <w:rFonts w:asciiTheme="minorHAnsi" w:hAnsiTheme="minorHAnsi" w:cstheme="minorHAnsi"/>
          <w:color w:val="111111"/>
          <w:shd w:val="clear" w:color="auto" w:fill="FFFFFF"/>
        </w:rPr>
        <w:t xml:space="preserve">providers who use restrictive practices regulated restrictive practices </w:t>
      </w:r>
      <w:r w:rsidR="00C10ECA" w:rsidRPr="00293EF2">
        <w:rPr>
          <w:rFonts w:asciiTheme="minorHAnsi" w:hAnsiTheme="minorHAnsi" w:cstheme="minorHAnsi"/>
          <w:color w:val="111111"/>
          <w:shd w:val="clear" w:color="auto" w:fill="FFFFFF"/>
        </w:rPr>
        <w:t xml:space="preserve">to obtain state </w:t>
      </w:r>
      <w:r w:rsidR="00807C62">
        <w:rPr>
          <w:rFonts w:asciiTheme="minorHAnsi" w:hAnsiTheme="minorHAnsi" w:cstheme="minorHAnsi"/>
          <w:color w:val="111111"/>
          <w:shd w:val="clear" w:color="auto" w:fill="FFFFFF"/>
        </w:rPr>
        <w:t xml:space="preserve">or </w:t>
      </w:r>
      <w:r w:rsidR="00C10ECA" w:rsidRPr="00293EF2">
        <w:rPr>
          <w:rFonts w:asciiTheme="minorHAnsi" w:hAnsiTheme="minorHAnsi" w:cstheme="minorHAnsi"/>
          <w:color w:val="111111"/>
          <w:shd w:val="clear" w:color="auto" w:fill="FFFFFF"/>
        </w:rPr>
        <w:t xml:space="preserve">territory authorisation for </w:t>
      </w:r>
      <w:r>
        <w:rPr>
          <w:rFonts w:asciiTheme="minorHAnsi" w:hAnsiTheme="minorHAnsi" w:cstheme="minorHAnsi"/>
          <w:color w:val="111111"/>
          <w:shd w:val="clear" w:color="auto" w:fill="FFFFFF"/>
        </w:rPr>
        <w:t xml:space="preserve">the </w:t>
      </w:r>
      <w:r w:rsidR="00C10ECA" w:rsidRPr="00293EF2">
        <w:rPr>
          <w:rFonts w:asciiTheme="minorHAnsi" w:hAnsiTheme="minorHAnsi" w:cstheme="minorHAnsi"/>
          <w:color w:val="111111"/>
          <w:shd w:val="clear" w:color="auto" w:fill="FFFFFF"/>
        </w:rPr>
        <w:t xml:space="preserve">use of </w:t>
      </w:r>
      <w:r>
        <w:rPr>
          <w:rFonts w:asciiTheme="minorHAnsi" w:hAnsiTheme="minorHAnsi" w:cstheme="minorHAnsi"/>
          <w:color w:val="111111"/>
          <w:shd w:val="clear" w:color="auto" w:fill="FFFFFF"/>
        </w:rPr>
        <w:t xml:space="preserve">those </w:t>
      </w:r>
      <w:r w:rsidR="00C10ECA" w:rsidRPr="00293EF2">
        <w:rPr>
          <w:rFonts w:asciiTheme="minorHAnsi" w:hAnsiTheme="minorHAnsi" w:cstheme="minorHAnsi"/>
          <w:color w:val="111111"/>
          <w:shd w:val="clear" w:color="auto" w:fill="FFFFFF"/>
        </w:rPr>
        <w:t>restrictive practices</w:t>
      </w:r>
      <w:r w:rsidR="00807C62" w:rsidRPr="00293EF2">
        <w:rPr>
          <w:rFonts w:asciiTheme="minorHAnsi" w:hAnsiTheme="minorHAnsi" w:cstheme="minorHAnsi"/>
          <w:color w:val="111111"/>
          <w:shd w:val="clear" w:color="auto" w:fill="FFFFFF"/>
        </w:rPr>
        <w:t>, if required</w:t>
      </w:r>
      <w:r w:rsidR="003E418D" w:rsidRPr="00293EF2">
        <w:rPr>
          <w:rFonts w:asciiTheme="minorHAnsi" w:hAnsiTheme="minorHAnsi" w:cstheme="minorHAnsi"/>
          <w:shd w:val="clear" w:color="auto" w:fill="FFFFFF"/>
        </w:rPr>
        <w:t xml:space="preserve">. </w:t>
      </w:r>
    </w:p>
    <w:p w14:paraId="4A698654" w14:textId="77777777" w:rsidR="00946114" w:rsidRDefault="003E6858" w:rsidP="000B391E">
      <w:pPr>
        <w:rPr>
          <w:rFonts w:asciiTheme="minorHAnsi" w:hAnsiTheme="minorHAnsi" w:cstheme="minorHAnsi"/>
          <w:shd w:val="clear" w:color="auto" w:fill="FFFFFF"/>
        </w:rPr>
      </w:pPr>
      <w:r>
        <w:rPr>
          <w:rFonts w:asciiTheme="minorHAnsi" w:hAnsiTheme="minorHAnsi" w:cstheme="minorHAnsi"/>
          <w:shd w:val="clear" w:color="auto" w:fill="FFFFFF"/>
        </w:rPr>
        <w:t xml:space="preserve">The </w:t>
      </w:r>
      <w:r w:rsidR="00807C62">
        <w:rPr>
          <w:rFonts w:asciiTheme="minorHAnsi" w:hAnsiTheme="minorHAnsi" w:cstheme="minorHAnsi"/>
          <w:shd w:val="clear" w:color="auto" w:fill="FFFFFF"/>
        </w:rPr>
        <w:t xml:space="preserve">application of </w:t>
      </w:r>
      <w:r w:rsidR="003B507E">
        <w:rPr>
          <w:rFonts w:asciiTheme="minorHAnsi" w:hAnsiTheme="minorHAnsi" w:cstheme="minorHAnsi"/>
          <w:shd w:val="clear" w:color="auto" w:fill="FFFFFF"/>
        </w:rPr>
        <w:t xml:space="preserve">these </w:t>
      </w:r>
      <w:r>
        <w:rPr>
          <w:rFonts w:asciiTheme="minorHAnsi" w:hAnsiTheme="minorHAnsi" w:cstheme="minorHAnsi"/>
          <w:shd w:val="clear" w:color="auto" w:fill="FFFFFF"/>
        </w:rPr>
        <w:t>transition</w:t>
      </w:r>
      <w:r w:rsidR="00C10ECA">
        <w:rPr>
          <w:rFonts w:asciiTheme="minorHAnsi" w:hAnsiTheme="minorHAnsi" w:cstheme="minorHAnsi"/>
          <w:shd w:val="clear" w:color="auto" w:fill="FFFFFF"/>
        </w:rPr>
        <w:t>al arrangements</w:t>
      </w:r>
      <w:r>
        <w:rPr>
          <w:rFonts w:asciiTheme="minorHAnsi" w:hAnsiTheme="minorHAnsi" w:cstheme="minorHAnsi"/>
          <w:shd w:val="clear" w:color="auto" w:fill="FFFFFF"/>
        </w:rPr>
        <w:t xml:space="preserve"> in each jurisdiction</w:t>
      </w:r>
      <w:r w:rsidR="00946114">
        <w:rPr>
          <w:rFonts w:asciiTheme="minorHAnsi" w:hAnsiTheme="minorHAnsi" w:cstheme="minorHAnsi"/>
          <w:shd w:val="clear" w:color="auto" w:fill="FFFFFF"/>
        </w:rPr>
        <w:t xml:space="preserve"> means</w:t>
      </w:r>
      <w:r>
        <w:rPr>
          <w:rFonts w:asciiTheme="minorHAnsi" w:hAnsiTheme="minorHAnsi" w:cstheme="minorHAnsi"/>
          <w:shd w:val="clear" w:color="auto" w:fill="FFFFFF"/>
        </w:rPr>
        <w:t xml:space="preserve"> that the </w:t>
      </w:r>
      <w:r w:rsidR="00807C62">
        <w:rPr>
          <w:rFonts w:asciiTheme="minorHAnsi" w:hAnsiTheme="minorHAnsi" w:cstheme="minorHAnsi"/>
          <w:shd w:val="clear" w:color="auto" w:fill="FFFFFF"/>
        </w:rPr>
        <w:t xml:space="preserve">full </w:t>
      </w:r>
      <w:r>
        <w:rPr>
          <w:rFonts w:asciiTheme="minorHAnsi" w:hAnsiTheme="minorHAnsi" w:cstheme="minorHAnsi"/>
          <w:shd w:val="clear" w:color="auto" w:fill="FFFFFF"/>
        </w:rPr>
        <w:t xml:space="preserve">extent of </w:t>
      </w:r>
      <w:r w:rsidR="003B507E">
        <w:rPr>
          <w:rFonts w:asciiTheme="minorHAnsi" w:hAnsiTheme="minorHAnsi" w:cstheme="minorHAnsi"/>
          <w:shd w:val="clear" w:color="auto" w:fill="FFFFFF"/>
        </w:rPr>
        <w:t xml:space="preserve">URPs </w:t>
      </w:r>
      <w:r>
        <w:rPr>
          <w:rFonts w:asciiTheme="minorHAnsi" w:hAnsiTheme="minorHAnsi" w:cstheme="minorHAnsi"/>
          <w:shd w:val="clear" w:color="auto" w:fill="FFFFFF"/>
        </w:rPr>
        <w:t xml:space="preserve">has </w:t>
      </w:r>
      <w:r w:rsidR="00946114">
        <w:rPr>
          <w:rFonts w:asciiTheme="minorHAnsi" w:hAnsiTheme="minorHAnsi" w:cstheme="minorHAnsi"/>
          <w:shd w:val="clear" w:color="auto" w:fill="FFFFFF"/>
        </w:rPr>
        <w:t xml:space="preserve">only </w:t>
      </w:r>
      <w:r w:rsidR="00807C62">
        <w:rPr>
          <w:rFonts w:asciiTheme="minorHAnsi" w:hAnsiTheme="minorHAnsi" w:cstheme="minorHAnsi"/>
          <w:shd w:val="clear" w:color="auto" w:fill="FFFFFF"/>
        </w:rPr>
        <w:t xml:space="preserve">become </w:t>
      </w:r>
      <w:r>
        <w:rPr>
          <w:rFonts w:asciiTheme="minorHAnsi" w:hAnsiTheme="minorHAnsi" w:cstheme="minorHAnsi"/>
          <w:shd w:val="clear" w:color="auto" w:fill="FFFFFF"/>
        </w:rPr>
        <w:t xml:space="preserve">evident </w:t>
      </w:r>
      <w:r w:rsidR="00946114">
        <w:rPr>
          <w:rFonts w:asciiTheme="minorHAnsi" w:hAnsiTheme="minorHAnsi" w:cstheme="minorHAnsi"/>
          <w:shd w:val="clear" w:color="auto" w:fill="FFFFFF"/>
        </w:rPr>
        <w:t xml:space="preserve">in </w:t>
      </w:r>
      <w:r>
        <w:rPr>
          <w:rFonts w:asciiTheme="minorHAnsi" w:hAnsiTheme="minorHAnsi" w:cstheme="minorHAnsi"/>
          <w:shd w:val="clear" w:color="auto" w:fill="FFFFFF"/>
        </w:rPr>
        <w:t xml:space="preserve">the 2020-21 reporting period. </w:t>
      </w:r>
      <w:r w:rsidR="00946114">
        <w:rPr>
          <w:rFonts w:asciiTheme="minorHAnsi" w:hAnsiTheme="minorHAnsi" w:cstheme="minorHAnsi"/>
          <w:shd w:val="clear" w:color="auto" w:fill="FFFFFF"/>
        </w:rPr>
        <w:t xml:space="preserve">Some Western Australian </w:t>
      </w:r>
      <w:r w:rsidR="0082009B">
        <w:rPr>
          <w:rFonts w:asciiTheme="minorHAnsi" w:hAnsiTheme="minorHAnsi" w:cstheme="minorHAnsi"/>
          <w:shd w:val="clear" w:color="auto" w:fill="FFFFFF"/>
        </w:rPr>
        <w:t xml:space="preserve">providers </w:t>
      </w:r>
      <w:r w:rsidR="00946114">
        <w:rPr>
          <w:rFonts w:asciiTheme="minorHAnsi" w:hAnsiTheme="minorHAnsi" w:cstheme="minorHAnsi"/>
          <w:shd w:val="clear" w:color="auto" w:fill="FFFFFF"/>
        </w:rPr>
        <w:t>and RAC providers are still transitioning to the full reporting requirements and so numbers of reports of URPs may continue to grow</w:t>
      </w:r>
      <w:r w:rsidR="0082009B">
        <w:rPr>
          <w:rFonts w:asciiTheme="minorHAnsi" w:hAnsiTheme="minorHAnsi" w:cstheme="minorHAnsi"/>
          <w:shd w:val="clear" w:color="auto" w:fill="FFFFFF"/>
        </w:rPr>
        <w:t xml:space="preserve"> in the </w:t>
      </w:r>
      <w:r w:rsidR="00C6708F">
        <w:rPr>
          <w:rFonts w:asciiTheme="minorHAnsi" w:hAnsiTheme="minorHAnsi" w:cstheme="minorHAnsi"/>
          <w:shd w:val="clear" w:color="auto" w:fill="FFFFFF"/>
        </w:rPr>
        <w:t>2021-22</w:t>
      </w:r>
      <w:r w:rsidR="0082009B">
        <w:rPr>
          <w:rFonts w:asciiTheme="minorHAnsi" w:hAnsiTheme="minorHAnsi" w:cstheme="minorHAnsi"/>
          <w:shd w:val="clear" w:color="auto" w:fill="FFFFFF"/>
        </w:rPr>
        <w:t xml:space="preserve"> reporting period</w:t>
      </w:r>
      <w:r w:rsidR="00946114">
        <w:rPr>
          <w:rFonts w:asciiTheme="minorHAnsi" w:hAnsiTheme="minorHAnsi" w:cstheme="minorHAnsi"/>
          <w:shd w:val="clear" w:color="auto" w:fill="FFFFFF"/>
        </w:rPr>
        <w:t xml:space="preserve">. </w:t>
      </w:r>
    </w:p>
    <w:p w14:paraId="4D530E9F" w14:textId="77777777" w:rsidR="00BF04DC" w:rsidRPr="000B391E" w:rsidRDefault="00F60A54" w:rsidP="00C832E6">
      <w:pPr>
        <w:pStyle w:val="Heading1"/>
        <w:pBdr>
          <w:bottom w:val="single" w:sz="4" w:space="1" w:color="auto"/>
        </w:pBdr>
      </w:pPr>
      <w:r>
        <w:lastRenderedPageBreak/>
        <w:t>Number of p</w:t>
      </w:r>
      <w:r w:rsidR="00BF04DC" w:rsidRPr="000B391E">
        <w:t>articipants subject to URPs since July 2018</w:t>
      </w:r>
    </w:p>
    <w:p w14:paraId="0664B5E5" w14:textId="77777777" w:rsidR="0082009B" w:rsidRPr="00867212" w:rsidRDefault="00255078" w:rsidP="000B1FF7">
      <w:pPr>
        <w:rPr>
          <w:sz w:val="24"/>
        </w:rPr>
      </w:pPr>
      <w:r>
        <w:rPr>
          <w:rFonts w:asciiTheme="minorHAnsi" w:hAnsiTheme="minorHAnsi" w:cstheme="minorHAnsi"/>
        </w:rPr>
        <w:t xml:space="preserve">The </w:t>
      </w:r>
      <w:r w:rsidR="00246849">
        <w:rPr>
          <w:rFonts w:asciiTheme="minorHAnsi" w:hAnsiTheme="minorHAnsi" w:cstheme="minorHAnsi"/>
        </w:rPr>
        <w:t xml:space="preserve">number </w:t>
      </w:r>
      <w:r>
        <w:rPr>
          <w:rFonts w:asciiTheme="minorHAnsi" w:hAnsiTheme="minorHAnsi" w:cstheme="minorHAnsi"/>
        </w:rPr>
        <w:t xml:space="preserve">of NDIS participants </w:t>
      </w:r>
      <w:r w:rsidR="008A797C">
        <w:rPr>
          <w:rFonts w:asciiTheme="minorHAnsi" w:hAnsiTheme="minorHAnsi" w:cstheme="minorHAnsi"/>
        </w:rPr>
        <w:t xml:space="preserve">subject to URPs </w:t>
      </w:r>
      <w:r w:rsidR="00246849">
        <w:rPr>
          <w:rFonts w:asciiTheme="minorHAnsi" w:hAnsiTheme="minorHAnsi" w:cstheme="minorHAnsi"/>
        </w:rPr>
        <w:t xml:space="preserve">notified to the NDIS Commission </w:t>
      </w:r>
      <w:r>
        <w:rPr>
          <w:rFonts w:asciiTheme="minorHAnsi" w:hAnsiTheme="minorHAnsi" w:cstheme="minorHAnsi"/>
        </w:rPr>
        <w:t xml:space="preserve">has also </w:t>
      </w:r>
      <w:r w:rsidR="00246849">
        <w:rPr>
          <w:rFonts w:asciiTheme="minorHAnsi" w:hAnsiTheme="minorHAnsi" w:cstheme="minorHAnsi"/>
        </w:rPr>
        <w:t xml:space="preserve">increased </w:t>
      </w:r>
      <w:r w:rsidR="0082009B">
        <w:rPr>
          <w:rFonts w:asciiTheme="minorHAnsi" w:hAnsiTheme="minorHAnsi" w:cstheme="minorHAnsi"/>
        </w:rPr>
        <w:t>since July 2018</w:t>
      </w:r>
      <w:r w:rsidR="008A797C">
        <w:rPr>
          <w:rFonts w:asciiTheme="minorHAnsi" w:hAnsiTheme="minorHAnsi" w:cstheme="minorHAnsi"/>
        </w:rPr>
        <w:t>, consistent</w:t>
      </w:r>
      <w:r w:rsidR="0082009B">
        <w:rPr>
          <w:rFonts w:asciiTheme="minorHAnsi" w:hAnsiTheme="minorHAnsi" w:cstheme="minorHAnsi"/>
        </w:rPr>
        <w:t>ly</w:t>
      </w:r>
      <w:r w:rsidR="008A797C">
        <w:rPr>
          <w:rFonts w:asciiTheme="minorHAnsi" w:hAnsiTheme="minorHAnsi" w:cstheme="minorHAnsi"/>
        </w:rPr>
        <w:t xml:space="preserve"> with reporting trends</w:t>
      </w:r>
      <w:r w:rsidR="0082009B">
        <w:rPr>
          <w:rFonts w:asciiTheme="minorHAnsi" w:hAnsiTheme="minorHAnsi" w:cstheme="minorHAnsi"/>
        </w:rPr>
        <w:t xml:space="preserve"> in the number of URPs notified to the NDIS Commission</w:t>
      </w:r>
      <w:r w:rsidR="008A797C">
        <w:rPr>
          <w:rFonts w:asciiTheme="minorHAnsi" w:hAnsiTheme="minorHAnsi" w:cstheme="minorHAnsi"/>
        </w:rPr>
        <w:t xml:space="preserve">. </w:t>
      </w:r>
      <w:r>
        <w:rPr>
          <w:rFonts w:asciiTheme="minorHAnsi" w:hAnsiTheme="minorHAnsi" w:cstheme="minorHAnsi"/>
        </w:rPr>
        <w:t xml:space="preserve"> </w:t>
      </w:r>
    </w:p>
    <w:p w14:paraId="60A2B448" w14:textId="77777777" w:rsidR="00A30DB9" w:rsidRPr="00867212" w:rsidRDefault="00A30DB9" w:rsidP="000B1FF7">
      <w:pPr>
        <w:pStyle w:val="Caption"/>
        <w:keepNext/>
        <w:rPr>
          <w:sz w:val="18"/>
        </w:rPr>
      </w:pPr>
      <w:r w:rsidRPr="00867212">
        <w:rPr>
          <w:caps w:val="0"/>
          <w:sz w:val="18"/>
        </w:rPr>
        <w:t xml:space="preserve">Figure </w:t>
      </w:r>
      <w:r w:rsidR="00867212" w:rsidRPr="00867212">
        <w:rPr>
          <w:sz w:val="18"/>
        </w:rPr>
        <w:fldChar w:fldCharType="begin"/>
      </w:r>
      <w:r w:rsidR="00867212" w:rsidRPr="00867212">
        <w:rPr>
          <w:sz w:val="18"/>
        </w:rPr>
        <w:instrText xml:space="preserve"> SEQ Figure \* ARABIC </w:instrText>
      </w:r>
      <w:r w:rsidR="00867212" w:rsidRPr="00867212">
        <w:rPr>
          <w:sz w:val="18"/>
        </w:rPr>
        <w:fldChar w:fldCharType="separate"/>
      </w:r>
      <w:r w:rsidRPr="00867212">
        <w:rPr>
          <w:noProof/>
          <w:sz w:val="18"/>
        </w:rPr>
        <w:t>2</w:t>
      </w:r>
      <w:r w:rsidR="00867212" w:rsidRPr="00867212">
        <w:rPr>
          <w:noProof/>
          <w:sz w:val="18"/>
        </w:rPr>
        <w:fldChar w:fldCharType="end"/>
      </w:r>
      <w:r w:rsidRPr="00867212">
        <w:rPr>
          <w:sz w:val="18"/>
        </w:rPr>
        <w:t xml:space="preserve"> - C</w:t>
      </w:r>
      <w:r w:rsidRPr="00867212">
        <w:rPr>
          <w:caps w:val="0"/>
          <w:sz w:val="18"/>
        </w:rPr>
        <w:t>ount of participants subject to URPs by State and Territory since July 2018</w:t>
      </w:r>
    </w:p>
    <w:p w14:paraId="5CEB20CC" w14:textId="77777777" w:rsidR="0082009B" w:rsidRPr="00764BE0" w:rsidRDefault="0082009B" w:rsidP="0082009B">
      <w:pPr>
        <w:rPr>
          <w:rFonts w:asciiTheme="minorHAnsi" w:hAnsiTheme="minorHAnsi" w:cstheme="minorHAnsi"/>
        </w:rPr>
      </w:pPr>
      <w:r>
        <w:rPr>
          <w:noProof/>
          <w:lang w:eastAsia="en-AU"/>
        </w:rPr>
        <w:drawing>
          <wp:inline distT="0" distB="0" distL="0" distR="0" wp14:anchorId="3B43A854" wp14:editId="57E3C103">
            <wp:extent cx="5581015" cy="3020988"/>
            <wp:effectExtent l="0" t="0" r="635" b="8255"/>
            <wp:docPr id="13" name="Picture 13" descr="Bar chart showing count of participants subject to URPs by State and Territory since Jul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r chart showing count of participants subject to URPs by State and Territory since July 20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1015" cy="3020988"/>
                    </a:xfrm>
                    <a:prstGeom prst="rect">
                      <a:avLst/>
                    </a:prstGeom>
                    <a:noFill/>
                  </pic:spPr>
                </pic:pic>
              </a:graphicData>
            </a:graphic>
          </wp:inline>
        </w:drawing>
      </w:r>
    </w:p>
    <w:p w14:paraId="43560880" w14:textId="5F7BED35" w:rsidR="0082009B" w:rsidRDefault="0082009B" w:rsidP="001B4F15">
      <w:pPr>
        <w:rPr>
          <w:rFonts w:asciiTheme="minorHAnsi" w:hAnsiTheme="minorHAnsi" w:cstheme="minorHAnsi"/>
        </w:rPr>
      </w:pPr>
      <w:r>
        <w:rPr>
          <w:rFonts w:asciiTheme="minorHAnsi" w:hAnsiTheme="minorHAnsi" w:cstheme="minorHAnsi"/>
        </w:rPr>
        <w:t>Some participant</w:t>
      </w:r>
      <w:r w:rsidR="00867212">
        <w:rPr>
          <w:rFonts w:asciiTheme="minorHAnsi" w:hAnsiTheme="minorHAnsi" w:cstheme="minorHAnsi"/>
        </w:rPr>
        <w:t>s are counted in more than one six</w:t>
      </w:r>
      <w:r>
        <w:rPr>
          <w:rFonts w:asciiTheme="minorHAnsi" w:hAnsiTheme="minorHAnsi" w:cstheme="minorHAnsi"/>
        </w:rPr>
        <w:t xml:space="preserve">-monthly reporting period. For example, the total number of participants subject to URPs in 2020-21 was 7,862 participants, which means that 2,878 participants were included in the counts for both 1 July 2020 </w:t>
      </w:r>
      <w:r w:rsidR="00867212">
        <w:rPr>
          <w:rFonts w:asciiTheme="minorHAnsi" w:hAnsiTheme="minorHAnsi" w:cstheme="minorHAnsi"/>
        </w:rPr>
        <w:t>-</w:t>
      </w:r>
      <w:r>
        <w:rPr>
          <w:rFonts w:asciiTheme="minorHAnsi" w:hAnsiTheme="minorHAnsi" w:cstheme="minorHAnsi"/>
        </w:rPr>
        <w:t xml:space="preserve"> 31 December 2020 and 1 January 2021 </w:t>
      </w:r>
      <w:r w:rsidR="00867212">
        <w:rPr>
          <w:rFonts w:asciiTheme="minorHAnsi" w:hAnsiTheme="minorHAnsi" w:cstheme="minorHAnsi"/>
        </w:rPr>
        <w:t>-</w:t>
      </w:r>
      <w:r>
        <w:rPr>
          <w:rFonts w:asciiTheme="minorHAnsi" w:hAnsiTheme="minorHAnsi" w:cstheme="minorHAnsi"/>
        </w:rPr>
        <w:t xml:space="preserve"> 30 June 2021.</w:t>
      </w:r>
    </w:p>
    <w:p w14:paraId="569100E6" w14:textId="77777777" w:rsidR="00DD75B7" w:rsidRDefault="00DD75B7" w:rsidP="00F60A54">
      <w:pPr>
        <w:pStyle w:val="Heading1"/>
      </w:pPr>
    </w:p>
    <w:p w14:paraId="13DC4EB3" w14:textId="77777777" w:rsidR="00DD75B7" w:rsidRDefault="00DD75B7" w:rsidP="00F60A54">
      <w:pPr>
        <w:pStyle w:val="Heading1"/>
      </w:pPr>
    </w:p>
    <w:p w14:paraId="05C3E606" w14:textId="77777777" w:rsidR="00C832E6" w:rsidRDefault="00C832E6" w:rsidP="00C832E6"/>
    <w:p w14:paraId="475C221C" w14:textId="77777777" w:rsidR="00C832E6" w:rsidRDefault="00C832E6" w:rsidP="00C832E6"/>
    <w:p w14:paraId="34957346" w14:textId="77777777" w:rsidR="00C832E6" w:rsidRDefault="00C832E6" w:rsidP="00C832E6"/>
    <w:p w14:paraId="64741BDE" w14:textId="77777777" w:rsidR="00C832E6" w:rsidRDefault="00C832E6" w:rsidP="00C832E6"/>
    <w:p w14:paraId="555E12E0" w14:textId="77777777" w:rsidR="00C832E6" w:rsidRDefault="00C832E6" w:rsidP="00C832E6"/>
    <w:p w14:paraId="1507058D" w14:textId="77777777" w:rsidR="00C832E6" w:rsidRDefault="00C832E6" w:rsidP="00C832E6"/>
    <w:p w14:paraId="496CB476" w14:textId="77777777" w:rsidR="00C832E6" w:rsidRDefault="00C832E6" w:rsidP="00C832E6"/>
    <w:p w14:paraId="6A53DC38" w14:textId="77777777" w:rsidR="00C832E6" w:rsidRPr="00C832E6" w:rsidRDefault="00C832E6" w:rsidP="00C832E6"/>
    <w:p w14:paraId="2E3449E1" w14:textId="77777777" w:rsidR="0082009B" w:rsidRDefault="0082009B" w:rsidP="00C832E6">
      <w:pPr>
        <w:pStyle w:val="Heading1"/>
        <w:pBdr>
          <w:bottom w:val="single" w:sz="4" w:space="1" w:color="auto"/>
        </w:pBdr>
      </w:pPr>
      <w:r>
        <w:lastRenderedPageBreak/>
        <w:t>Intensity of use of URPs</w:t>
      </w:r>
    </w:p>
    <w:p w14:paraId="2703080B" w14:textId="77777777" w:rsidR="001B4F15" w:rsidRPr="00EF3E5B" w:rsidRDefault="001B4F15" w:rsidP="001B4F15">
      <w:pPr>
        <w:rPr>
          <w:rFonts w:asciiTheme="minorHAnsi" w:hAnsiTheme="minorHAnsi" w:cstheme="minorHAnsi"/>
        </w:rPr>
      </w:pPr>
      <w:r w:rsidRPr="00764BE0">
        <w:rPr>
          <w:rFonts w:asciiTheme="minorHAnsi" w:hAnsiTheme="minorHAnsi" w:cstheme="minorHAnsi"/>
        </w:rPr>
        <w:t xml:space="preserve">One of the important considerations in relation to </w:t>
      </w:r>
      <w:r>
        <w:rPr>
          <w:rFonts w:asciiTheme="minorHAnsi" w:hAnsiTheme="minorHAnsi" w:cstheme="minorHAnsi"/>
        </w:rPr>
        <w:t xml:space="preserve">URPs </w:t>
      </w:r>
      <w:r w:rsidRPr="00764BE0">
        <w:rPr>
          <w:rFonts w:asciiTheme="minorHAnsi" w:hAnsiTheme="minorHAnsi" w:cstheme="minorHAnsi"/>
        </w:rPr>
        <w:t xml:space="preserve">is the number of </w:t>
      </w:r>
      <w:r>
        <w:rPr>
          <w:rFonts w:asciiTheme="minorHAnsi" w:hAnsiTheme="minorHAnsi" w:cstheme="minorHAnsi"/>
        </w:rPr>
        <w:t xml:space="preserve">URPs </w:t>
      </w:r>
      <w:r w:rsidRPr="00764BE0">
        <w:rPr>
          <w:rFonts w:asciiTheme="minorHAnsi" w:hAnsiTheme="minorHAnsi" w:cstheme="minorHAnsi"/>
        </w:rPr>
        <w:t xml:space="preserve">to which an </w:t>
      </w:r>
      <w:r w:rsidRPr="00EF3E5B">
        <w:rPr>
          <w:rFonts w:asciiTheme="minorHAnsi" w:hAnsiTheme="minorHAnsi" w:cstheme="minorHAnsi"/>
        </w:rPr>
        <w:t>ind</w:t>
      </w:r>
      <w:r w:rsidR="00745875" w:rsidRPr="00EF3E5B">
        <w:rPr>
          <w:rFonts w:asciiTheme="minorHAnsi" w:hAnsiTheme="minorHAnsi" w:cstheme="minorHAnsi"/>
        </w:rPr>
        <w:t>ividual participant is subject.</w:t>
      </w:r>
    </w:p>
    <w:bookmarkStart w:id="8" w:name="_Ref89702588"/>
    <w:p w14:paraId="3A585687" w14:textId="77777777" w:rsidR="001B4F15" w:rsidRDefault="00A30DB9" w:rsidP="001B4F15">
      <w:pPr>
        <w:rPr>
          <w:rFonts w:asciiTheme="minorHAnsi" w:hAnsiTheme="minorHAnsi" w:cstheme="minorHAnsi"/>
        </w:rPr>
      </w:pPr>
      <w:r w:rsidRPr="000B1FF7">
        <w:rPr>
          <w:rFonts w:asciiTheme="minorHAnsi" w:hAnsiTheme="minorHAnsi" w:cstheme="minorHAnsi"/>
        </w:rPr>
        <w:fldChar w:fldCharType="begin"/>
      </w:r>
      <w:r w:rsidRPr="000B1FF7">
        <w:rPr>
          <w:rFonts w:asciiTheme="minorHAnsi" w:hAnsiTheme="minorHAnsi" w:cstheme="minorHAnsi"/>
        </w:rPr>
        <w:instrText xml:space="preserve"> REF _Ref92697543 \h  \* MERGEFORMAT </w:instrText>
      </w:r>
      <w:r w:rsidRPr="000B1FF7">
        <w:rPr>
          <w:rFonts w:asciiTheme="minorHAnsi" w:hAnsiTheme="minorHAnsi" w:cstheme="minorHAnsi"/>
        </w:rPr>
      </w:r>
      <w:r w:rsidRPr="000B1FF7">
        <w:rPr>
          <w:rFonts w:asciiTheme="minorHAnsi" w:hAnsiTheme="minorHAnsi" w:cstheme="minorHAnsi"/>
        </w:rPr>
        <w:fldChar w:fldCharType="separate"/>
      </w:r>
      <w:r w:rsidRPr="000B1FF7">
        <w:rPr>
          <w:rFonts w:asciiTheme="minorHAnsi" w:hAnsiTheme="minorHAnsi" w:cstheme="minorHAnsi"/>
        </w:rPr>
        <w:t xml:space="preserve">Figure </w:t>
      </w:r>
      <w:r w:rsidRPr="000B1FF7">
        <w:rPr>
          <w:rFonts w:asciiTheme="minorHAnsi" w:hAnsiTheme="minorHAnsi" w:cstheme="minorHAnsi"/>
          <w:noProof/>
        </w:rPr>
        <w:t>3</w:t>
      </w:r>
      <w:r w:rsidRPr="000B1FF7">
        <w:rPr>
          <w:rFonts w:asciiTheme="minorHAnsi" w:hAnsiTheme="minorHAnsi" w:cstheme="minorHAnsi"/>
        </w:rPr>
        <w:fldChar w:fldCharType="end"/>
      </w:r>
      <w:r w:rsidRPr="000B1FF7">
        <w:rPr>
          <w:rFonts w:asciiTheme="minorHAnsi" w:hAnsiTheme="minorHAnsi" w:cstheme="minorHAnsi"/>
        </w:rPr>
        <w:t xml:space="preserve"> </w:t>
      </w:r>
      <w:r w:rsidR="001B4F15" w:rsidRPr="00EF3E5B">
        <w:rPr>
          <w:rFonts w:asciiTheme="minorHAnsi" w:hAnsiTheme="minorHAnsi" w:cstheme="minorHAnsi"/>
        </w:rPr>
        <w:t>below groups participants by the number of URPs to which they were subject in each six-month reporting</w:t>
      </w:r>
      <w:r w:rsidR="001B4F15">
        <w:rPr>
          <w:rFonts w:asciiTheme="minorHAnsi" w:hAnsiTheme="minorHAnsi" w:cstheme="minorHAnsi"/>
        </w:rPr>
        <w:t xml:space="preserve"> period. In each period, approximately half of the participants subject to URPs were subject to 10 or fewer URPs. Fewer than 5 percent of participants subject to URPs were subject to more than 500 URPs in a six-month reporting period. </w:t>
      </w:r>
    </w:p>
    <w:p w14:paraId="69FC4C49" w14:textId="77777777" w:rsidR="00A30DB9" w:rsidRDefault="00A30DB9" w:rsidP="000B1FF7">
      <w:pPr>
        <w:pStyle w:val="Caption"/>
        <w:keepNext/>
      </w:pPr>
      <w:bookmarkStart w:id="9" w:name="_Ref92697543"/>
      <w:bookmarkEnd w:id="8"/>
      <w:r w:rsidRPr="00867212">
        <w:rPr>
          <w:caps w:val="0"/>
          <w:sz w:val="18"/>
        </w:rPr>
        <w:t xml:space="preserve">Figure </w:t>
      </w:r>
      <w:r w:rsidR="00867212" w:rsidRPr="00867212">
        <w:rPr>
          <w:sz w:val="18"/>
        </w:rPr>
        <w:fldChar w:fldCharType="begin"/>
      </w:r>
      <w:r w:rsidR="00867212" w:rsidRPr="00867212">
        <w:rPr>
          <w:sz w:val="18"/>
        </w:rPr>
        <w:instrText xml:space="preserve"> SEQ Figure \* ARABIC </w:instrText>
      </w:r>
      <w:r w:rsidR="00867212" w:rsidRPr="00867212">
        <w:rPr>
          <w:sz w:val="18"/>
        </w:rPr>
        <w:fldChar w:fldCharType="separate"/>
      </w:r>
      <w:r w:rsidRPr="00867212">
        <w:rPr>
          <w:noProof/>
          <w:sz w:val="18"/>
        </w:rPr>
        <w:t>3</w:t>
      </w:r>
      <w:r w:rsidR="00867212" w:rsidRPr="00867212">
        <w:rPr>
          <w:noProof/>
          <w:sz w:val="18"/>
        </w:rPr>
        <w:fldChar w:fldCharType="end"/>
      </w:r>
      <w:bookmarkEnd w:id="9"/>
      <w:r w:rsidRPr="00867212">
        <w:rPr>
          <w:sz w:val="18"/>
        </w:rPr>
        <w:t xml:space="preserve"> </w:t>
      </w:r>
      <w:r w:rsidRPr="00867212">
        <w:rPr>
          <w:caps w:val="0"/>
          <w:sz w:val="18"/>
        </w:rPr>
        <w:t>Count of participants subject to URPs since July 2018 by number of URPs in half year</w:t>
      </w:r>
    </w:p>
    <w:p w14:paraId="0F078528" w14:textId="77777777" w:rsidR="001B4F15" w:rsidRPr="002041AF" w:rsidRDefault="001B4F15" w:rsidP="001B4F15">
      <w:pPr>
        <w:keepNext/>
        <w:rPr>
          <w:rFonts w:asciiTheme="minorHAnsi" w:hAnsiTheme="minorHAnsi" w:cstheme="minorHAnsi"/>
        </w:rPr>
      </w:pPr>
      <w:r w:rsidRPr="002041AF">
        <w:rPr>
          <w:rFonts w:asciiTheme="minorHAnsi" w:hAnsiTheme="minorHAnsi" w:cstheme="minorHAnsi"/>
          <w:noProof/>
          <w:lang w:eastAsia="en-AU"/>
        </w:rPr>
        <w:drawing>
          <wp:inline distT="0" distB="0" distL="0" distR="0" wp14:anchorId="0A9B29B4" wp14:editId="405CF904">
            <wp:extent cx="5882640" cy="3000934"/>
            <wp:effectExtent l="0" t="0" r="3810" b="9525"/>
            <wp:docPr id="4" name="Picture 4" descr="Bar chart showing count of participants subject to URPs since July 2018 by number of URPs in half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r chart showing count of participants subject to URPs since July 2018 by number of URPs in half ye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3680" cy="3006566"/>
                    </a:xfrm>
                    <a:prstGeom prst="rect">
                      <a:avLst/>
                    </a:prstGeom>
                    <a:noFill/>
                  </pic:spPr>
                </pic:pic>
              </a:graphicData>
            </a:graphic>
          </wp:inline>
        </w:drawing>
      </w:r>
    </w:p>
    <w:p w14:paraId="2E8C13F1" w14:textId="77777777" w:rsidR="001B4F15" w:rsidRDefault="0082009B" w:rsidP="006A15D5">
      <w:pPr>
        <w:spacing w:line="240" w:lineRule="auto"/>
        <w:rPr>
          <w:rFonts w:asciiTheme="minorHAnsi" w:hAnsiTheme="minorHAnsi" w:cstheme="minorHAnsi"/>
        </w:rPr>
      </w:pPr>
      <w:r>
        <w:rPr>
          <w:rFonts w:asciiTheme="minorHAnsi" w:hAnsiTheme="minorHAnsi" w:cstheme="minorHAnsi"/>
        </w:rPr>
        <w:t xml:space="preserve">The </w:t>
      </w:r>
      <w:r w:rsidR="001B4F15">
        <w:rPr>
          <w:rFonts w:asciiTheme="minorHAnsi" w:hAnsiTheme="minorHAnsi" w:cstheme="minorHAnsi"/>
        </w:rPr>
        <w:t>Activity Report for 2020-21 reported that, for the participants subject to URPs in 2020-21:</w:t>
      </w:r>
    </w:p>
    <w:p w14:paraId="4EE5D82C" w14:textId="77777777" w:rsidR="001B4F15" w:rsidRDefault="001B4F15"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27% were subject to only one URP during the reporting period;</w:t>
      </w:r>
    </w:p>
    <w:p w14:paraId="62A2DEBB" w14:textId="77777777" w:rsidR="0082009B" w:rsidRDefault="001B4F15"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72% were subject to 100 or fewer URPs during the reporting period; and</w:t>
      </w:r>
    </w:p>
    <w:p w14:paraId="1D47A878" w14:textId="77777777" w:rsidR="001B4F15" w:rsidRPr="001B4F15" w:rsidRDefault="001B4F15"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 xml:space="preserve">the median number of URPs was 15. </w:t>
      </w:r>
    </w:p>
    <w:p w14:paraId="6116B2B9" w14:textId="77777777" w:rsidR="006A15D5" w:rsidRPr="002041AF" w:rsidRDefault="001B4F15" w:rsidP="001B4F15">
      <w:pPr>
        <w:rPr>
          <w:rFonts w:asciiTheme="minorHAnsi" w:hAnsiTheme="minorHAnsi" w:cstheme="minorHAnsi"/>
        </w:rPr>
      </w:pPr>
      <w:r>
        <w:rPr>
          <w:rFonts w:asciiTheme="minorHAnsi" w:hAnsiTheme="minorHAnsi" w:cstheme="minorHAnsi"/>
        </w:rPr>
        <w:t xml:space="preserve">A similar analysis for the </w:t>
      </w:r>
      <w:r w:rsidR="006A15D5">
        <w:rPr>
          <w:rFonts w:asciiTheme="minorHAnsi" w:hAnsiTheme="minorHAnsi" w:cstheme="minorHAnsi"/>
        </w:rPr>
        <w:t xml:space="preserve">six month </w:t>
      </w:r>
      <w:r w:rsidR="006A15D5" w:rsidRPr="002041AF">
        <w:rPr>
          <w:rFonts w:asciiTheme="minorHAnsi" w:hAnsiTheme="minorHAnsi" w:cstheme="minorHAnsi"/>
        </w:rPr>
        <w:t xml:space="preserve">period </w:t>
      </w:r>
      <w:r>
        <w:rPr>
          <w:rFonts w:asciiTheme="minorHAnsi" w:hAnsiTheme="minorHAnsi" w:cstheme="minorHAnsi"/>
        </w:rPr>
        <w:t xml:space="preserve">from </w:t>
      </w:r>
      <w:r w:rsidR="006A15D5" w:rsidRPr="002041AF">
        <w:rPr>
          <w:rFonts w:asciiTheme="minorHAnsi" w:hAnsiTheme="minorHAnsi" w:cstheme="minorHAnsi"/>
        </w:rPr>
        <w:t xml:space="preserve">1 January 2021 to 30 June 2021 </w:t>
      </w:r>
      <w:r>
        <w:rPr>
          <w:rFonts w:asciiTheme="minorHAnsi" w:hAnsiTheme="minorHAnsi" w:cstheme="minorHAnsi"/>
        </w:rPr>
        <w:t>shows that, for the participants subject to URPs in the second half of 2020-21:</w:t>
      </w:r>
      <w:r w:rsidR="0082009B">
        <w:rPr>
          <w:rFonts w:asciiTheme="minorHAnsi" w:hAnsiTheme="minorHAnsi" w:cstheme="minorHAnsi"/>
        </w:rPr>
        <w:t xml:space="preserve"> </w:t>
      </w:r>
    </w:p>
    <w:p w14:paraId="3ED346B6" w14:textId="77777777" w:rsidR="006A15D5" w:rsidRPr="002041AF" w:rsidRDefault="006A15D5" w:rsidP="003A1DA0">
      <w:pPr>
        <w:pStyle w:val="ListParagraph"/>
        <w:numPr>
          <w:ilvl w:val="0"/>
          <w:numId w:val="1"/>
        </w:numPr>
        <w:ind w:left="714" w:hanging="357"/>
        <w:contextualSpacing w:val="0"/>
        <w:rPr>
          <w:rFonts w:asciiTheme="minorHAnsi" w:hAnsiTheme="minorHAnsi" w:cstheme="minorHAnsi"/>
        </w:rPr>
      </w:pPr>
      <w:r w:rsidRPr="002041AF">
        <w:rPr>
          <w:rFonts w:asciiTheme="minorHAnsi" w:hAnsiTheme="minorHAnsi" w:cstheme="minorHAnsi"/>
        </w:rPr>
        <w:t>24</w:t>
      </w:r>
      <w:r>
        <w:rPr>
          <w:rFonts w:asciiTheme="minorHAnsi" w:hAnsiTheme="minorHAnsi" w:cstheme="minorHAnsi"/>
        </w:rPr>
        <w:t>%</w:t>
      </w:r>
      <w:r w:rsidRPr="002041AF">
        <w:rPr>
          <w:rFonts w:asciiTheme="minorHAnsi" w:hAnsiTheme="minorHAnsi" w:cstheme="minorHAnsi"/>
        </w:rPr>
        <w:t xml:space="preserve"> of participants </w:t>
      </w:r>
      <w:r w:rsidR="001E4B90">
        <w:rPr>
          <w:rFonts w:asciiTheme="minorHAnsi" w:hAnsiTheme="minorHAnsi" w:cstheme="minorHAnsi"/>
        </w:rPr>
        <w:t xml:space="preserve">subject to URPs </w:t>
      </w:r>
      <w:r w:rsidRPr="002041AF">
        <w:rPr>
          <w:rFonts w:asciiTheme="minorHAnsi" w:hAnsiTheme="minorHAnsi" w:cstheme="minorHAnsi"/>
        </w:rPr>
        <w:t>were subject to a single URP;</w:t>
      </w:r>
    </w:p>
    <w:p w14:paraId="4A4C9659" w14:textId="77777777" w:rsidR="006A15D5" w:rsidRPr="002041AF" w:rsidRDefault="006A15D5" w:rsidP="003A1DA0">
      <w:pPr>
        <w:pStyle w:val="ListParagraph"/>
        <w:numPr>
          <w:ilvl w:val="0"/>
          <w:numId w:val="1"/>
        </w:numPr>
        <w:ind w:left="714" w:hanging="357"/>
        <w:contextualSpacing w:val="0"/>
        <w:rPr>
          <w:rFonts w:asciiTheme="minorHAnsi" w:hAnsiTheme="minorHAnsi" w:cstheme="minorHAnsi"/>
        </w:rPr>
      </w:pPr>
      <w:r w:rsidRPr="002041AF">
        <w:rPr>
          <w:rFonts w:asciiTheme="minorHAnsi" w:hAnsiTheme="minorHAnsi" w:cstheme="minorHAnsi"/>
        </w:rPr>
        <w:t>73</w:t>
      </w:r>
      <w:r>
        <w:rPr>
          <w:rFonts w:asciiTheme="minorHAnsi" w:hAnsiTheme="minorHAnsi" w:cstheme="minorHAnsi"/>
        </w:rPr>
        <w:t>%</w:t>
      </w:r>
      <w:r w:rsidRPr="002041AF">
        <w:rPr>
          <w:rFonts w:asciiTheme="minorHAnsi" w:hAnsiTheme="minorHAnsi" w:cstheme="minorHAnsi"/>
        </w:rPr>
        <w:t xml:space="preserve"> of participants </w:t>
      </w:r>
      <w:r w:rsidR="001E4B90">
        <w:rPr>
          <w:rFonts w:asciiTheme="minorHAnsi" w:hAnsiTheme="minorHAnsi" w:cstheme="minorHAnsi"/>
        </w:rPr>
        <w:t xml:space="preserve">subject to URPs </w:t>
      </w:r>
      <w:r w:rsidRPr="002041AF">
        <w:rPr>
          <w:rFonts w:asciiTheme="minorHAnsi" w:hAnsiTheme="minorHAnsi" w:cstheme="minorHAnsi"/>
        </w:rPr>
        <w:t>were subject to 100 or fewer URPs; and</w:t>
      </w:r>
    </w:p>
    <w:p w14:paraId="7730B330" w14:textId="77777777" w:rsidR="001B4F15" w:rsidRPr="002041AF" w:rsidRDefault="001B4F15" w:rsidP="003A1DA0">
      <w:pPr>
        <w:pStyle w:val="ListParagraph"/>
        <w:numPr>
          <w:ilvl w:val="0"/>
          <w:numId w:val="1"/>
        </w:numPr>
        <w:ind w:left="714" w:hanging="357"/>
        <w:contextualSpacing w:val="0"/>
        <w:rPr>
          <w:rFonts w:asciiTheme="minorHAnsi" w:hAnsiTheme="minorHAnsi" w:cstheme="minorHAnsi"/>
        </w:rPr>
      </w:pPr>
      <w:r w:rsidRPr="002041AF">
        <w:rPr>
          <w:rFonts w:asciiTheme="minorHAnsi" w:hAnsiTheme="minorHAnsi" w:cstheme="minorHAnsi"/>
        </w:rPr>
        <w:t xml:space="preserve">the median number of URPs per participant </w:t>
      </w:r>
      <w:r>
        <w:rPr>
          <w:rFonts w:asciiTheme="minorHAnsi" w:hAnsiTheme="minorHAnsi" w:cstheme="minorHAnsi"/>
        </w:rPr>
        <w:t>subject to URPs was 17.</w:t>
      </w:r>
    </w:p>
    <w:p w14:paraId="225736FE" w14:textId="7D03FCDE" w:rsidR="001B4F15" w:rsidRPr="001B4F15" w:rsidRDefault="001B4F15" w:rsidP="001B4F15">
      <w:pPr>
        <w:rPr>
          <w:rFonts w:asciiTheme="minorHAnsi" w:hAnsiTheme="minorHAnsi" w:cstheme="minorHAnsi"/>
        </w:rPr>
      </w:pPr>
      <w:r w:rsidRPr="001B4F15">
        <w:rPr>
          <w:rFonts w:asciiTheme="minorHAnsi" w:hAnsiTheme="minorHAnsi" w:cstheme="minorHAnsi"/>
        </w:rPr>
        <w:t xml:space="preserve">The </w:t>
      </w:r>
      <w:r>
        <w:rPr>
          <w:rFonts w:asciiTheme="minorHAnsi" w:hAnsiTheme="minorHAnsi" w:cstheme="minorHAnsi"/>
        </w:rPr>
        <w:t xml:space="preserve">relatively consistent </w:t>
      </w:r>
      <w:r w:rsidRPr="001B4F15">
        <w:rPr>
          <w:rFonts w:asciiTheme="minorHAnsi" w:hAnsiTheme="minorHAnsi" w:cstheme="minorHAnsi"/>
        </w:rPr>
        <w:t xml:space="preserve">proportion of participants subject to a single URP suggests that the reporting of URPs is correctly picking up the use of restrictive practices as single, emergency uses as intended under the </w:t>
      </w:r>
      <w:r w:rsidR="00867212">
        <w:rPr>
          <w:rFonts w:asciiTheme="minorHAnsi" w:hAnsiTheme="minorHAnsi" w:cstheme="minorHAnsi"/>
        </w:rPr>
        <w:t xml:space="preserve">NDIS </w:t>
      </w:r>
      <w:r w:rsidRPr="001B4F15">
        <w:rPr>
          <w:rFonts w:asciiTheme="minorHAnsi" w:hAnsiTheme="minorHAnsi" w:cstheme="minorHAnsi"/>
        </w:rPr>
        <w:t xml:space="preserve">Quality and Safeguarding Framework. </w:t>
      </w:r>
      <w:r>
        <w:rPr>
          <w:rFonts w:asciiTheme="minorHAnsi" w:hAnsiTheme="minorHAnsi" w:cstheme="minorHAnsi"/>
        </w:rPr>
        <w:t xml:space="preserve">Single, emergency uses of restrictive practices are also likely to account for a number of the URPs for those participants who were subject </w:t>
      </w:r>
      <w:r>
        <w:rPr>
          <w:rFonts w:asciiTheme="minorHAnsi" w:hAnsiTheme="minorHAnsi" w:cstheme="minorHAnsi"/>
        </w:rPr>
        <w:lastRenderedPageBreak/>
        <w:t>to 10 or fewer URPs, where a restrictive practice might have been used a few times during a reporting period, on each occasion as a single, emergency use.</w:t>
      </w:r>
    </w:p>
    <w:p w14:paraId="06E5802D" w14:textId="28D1953B" w:rsidR="006A15D5" w:rsidRDefault="001B4F15" w:rsidP="001F1B58">
      <w:pPr>
        <w:rPr>
          <w:rFonts w:asciiTheme="minorHAnsi" w:hAnsiTheme="minorHAnsi" w:cstheme="minorHAnsi"/>
        </w:rPr>
      </w:pPr>
      <w:r>
        <w:rPr>
          <w:rFonts w:asciiTheme="minorHAnsi" w:hAnsiTheme="minorHAnsi" w:cstheme="minorHAnsi"/>
        </w:rPr>
        <w:t>Turning from the participant</w:t>
      </w:r>
      <w:r w:rsidR="001F1B58">
        <w:rPr>
          <w:rFonts w:asciiTheme="minorHAnsi" w:hAnsiTheme="minorHAnsi" w:cstheme="minorHAnsi"/>
        </w:rPr>
        <w:t>s</w:t>
      </w:r>
      <w:r>
        <w:rPr>
          <w:rFonts w:asciiTheme="minorHAnsi" w:hAnsiTheme="minorHAnsi" w:cstheme="minorHAnsi"/>
        </w:rPr>
        <w:t xml:space="preserve"> subject to the fewest URPs to the participants subject to the most URPs, </w:t>
      </w:r>
      <w:r w:rsidR="00867212">
        <w:rPr>
          <w:rFonts w:asciiTheme="minorHAnsi" w:hAnsiTheme="minorHAnsi" w:cstheme="minorHAnsi"/>
        </w:rPr>
        <w:t>for the six-</w:t>
      </w:r>
      <w:r w:rsidR="001F1B58">
        <w:rPr>
          <w:rFonts w:asciiTheme="minorHAnsi" w:hAnsiTheme="minorHAnsi" w:cstheme="minorHAnsi"/>
        </w:rPr>
        <w:t xml:space="preserve">month </w:t>
      </w:r>
      <w:r w:rsidR="001F1B58" w:rsidRPr="002041AF">
        <w:rPr>
          <w:rFonts w:asciiTheme="minorHAnsi" w:hAnsiTheme="minorHAnsi" w:cstheme="minorHAnsi"/>
        </w:rPr>
        <w:t xml:space="preserve">period </w:t>
      </w:r>
      <w:r w:rsidR="001F1B58">
        <w:rPr>
          <w:rFonts w:asciiTheme="minorHAnsi" w:hAnsiTheme="minorHAnsi" w:cstheme="minorHAnsi"/>
        </w:rPr>
        <w:t xml:space="preserve">from </w:t>
      </w:r>
      <w:r w:rsidR="001F1B58" w:rsidRPr="002041AF">
        <w:rPr>
          <w:rFonts w:asciiTheme="minorHAnsi" w:hAnsiTheme="minorHAnsi" w:cstheme="minorHAnsi"/>
        </w:rPr>
        <w:t>1 January 2021 to 30 June 2021</w:t>
      </w:r>
      <w:r w:rsidR="001F1B58">
        <w:rPr>
          <w:rFonts w:asciiTheme="minorHAnsi" w:hAnsiTheme="minorHAnsi" w:cstheme="minorHAnsi"/>
        </w:rPr>
        <w:t xml:space="preserve">, </w:t>
      </w:r>
      <w:r w:rsidR="00867212">
        <w:rPr>
          <w:rFonts w:asciiTheme="minorHAnsi" w:hAnsiTheme="minorHAnsi" w:cstheme="minorHAnsi"/>
        </w:rPr>
        <w:t xml:space="preserve">57 </w:t>
      </w:r>
      <w:r w:rsidR="006A15D5">
        <w:rPr>
          <w:rFonts w:asciiTheme="minorHAnsi" w:hAnsiTheme="minorHAnsi" w:cstheme="minorHAnsi"/>
        </w:rPr>
        <w:t>%</w:t>
      </w:r>
      <w:r w:rsidR="006A15D5" w:rsidRPr="002041AF">
        <w:rPr>
          <w:rFonts w:asciiTheme="minorHAnsi" w:hAnsiTheme="minorHAnsi" w:cstheme="minorHAnsi"/>
        </w:rPr>
        <w:t xml:space="preserve"> of the URPs </w:t>
      </w:r>
      <w:r w:rsidR="001F1B58">
        <w:rPr>
          <w:rFonts w:asciiTheme="minorHAnsi" w:hAnsiTheme="minorHAnsi" w:cstheme="minorHAnsi"/>
        </w:rPr>
        <w:t xml:space="preserve">were used in relation to only </w:t>
      </w:r>
      <w:r w:rsidR="006A15D5" w:rsidRPr="002041AF">
        <w:rPr>
          <w:rFonts w:asciiTheme="minorHAnsi" w:hAnsiTheme="minorHAnsi" w:cstheme="minorHAnsi"/>
        </w:rPr>
        <w:t xml:space="preserve">10 </w:t>
      </w:r>
      <w:r w:rsidR="006A15D5">
        <w:rPr>
          <w:rFonts w:asciiTheme="minorHAnsi" w:hAnsiTheme="minorHAnsi" w:cstheme="minorHAnsi"/>
        </w:rPr>
        <w:t>%</w:t>
      </w:r>
      <w:r w:rsidR="006A15D5" w:rsidRPr="002041AF">
        <w:rPr>
          <w:rFonts w:asciiTheme="minorHAnsi" w:hAnsiTheme="minorHAnsi" w:cstheme="minorHAnsi"/>
        </w:rPr>
        <w:t xml:space="preserve"> (570) of participants</w:t>
      </w:r>
      <w:r w:rsidR="001E4B90">
        <w:rPr>
          <w:rFonts w:asciiTheme="minorHAnsi" w:hAnsiTheme="minorHAnsi" w:cstheme="minorHAnsi"/>
        </w:rPr>
        <w:t xml:space="preserve"> subject to URPs</w:t>
      </w:r>
      <w:r w:rsidR="006A15D5" w:rsidRPr="002041AF">
        <w:rPr>
          <w:rFonts w:asciiTheme="minorHAnsi" w:hAnsiTheme="minorHAnsi" w:cstheme="minorHAnsi"/>
        </w:rPr>
        <w:t>.</w:t>
      </w:r>
    </w:p>
    <w:p w14:paraId="2D72DFEB" w14:textId="77777777" w:rsidR="001F1B58" w:rsidRDefault="001F1B58" w:rsidP="001F1B58">
      <w:pPr>
        <w:rPr>
          <w:rFonts w:asciiTheme="minorHAnsi" w:hAnsiTheme="minorHAnsi"/>
        </w:rPr>
      </w:pPr>
      <w:r>
        <w:rPr>
          <w:rFonts w:asciiTheme="minorHAnsi" w:hAnsiTheme="minorHAnsi"/>
        </w:rPr>
        <w:t xml:space="preserve">In each of 2019-2020 and 2020-2021, more than half of all URPs reported to the NDIS Commission were used in relation to the 10 % of participants subject to the most URPs. </w:t>
      </w:r>
    </w:p>
    <w:p w14:paraId="2B04FC3C" w14:textId="77777777" w:rsidR="001F1B58" w:rsidRDefault="001F1B58" w:rsidP="001F1B58">
      <w:pPr>
        <w:pStyle w:val="Caption"/>
        <w:keepNext/>
        <w:rPr>
          <w:rFonts w:asciiTheme="minorHAnsi" w:hAnsiTheme="minorHAnsi" w:cstheme="minorHAnsi"/>
        </w:rPr>
      </w:pPr>
      <w:r w:rsidRPr="000B1FF7">
        <w:rPr>
          <w:rFonts w:asciiTheme="minorHAnsi" w:hAnsiTheme="minorHAnsi" w:cstheme="minorHAnsi"/>
          <w:caps w:val="0"/>
        </w:rPr>
        <w:t xml:space="preserve">Figure </w:t>
      </w:r>
      <w:r w:rsidR="00A30DB9" w:rsidRPr="000B1FF7">
        <w:rPr>
          <w:rFonts w:asciiTheme="minorHAnsi" w:hAnsiTheme="minorHAnsi" w:cstheme="minorHAnsi"/>
          <w:caps w:val="0"/>
        </w:rPr>
        <w:fldChar w:fldCharType="begin"/>
      </w:r>
      <w:r w:rsidR="00A30DB9" w:rsidRPr="000B1FF7">
        <w:rPr>
          <w:rFonts w:asciiTheme="minorHAnsi" w:hAnsiTheme="minorHAnsi" w:cstheme="minorHAnsi"/>
          <w:caps w:val="0"/>
        </w:rPr>
        <w:instrText xml:space="preserve"> SEQ Figure \* ARABIC </w:instrText>
      </w:r>
      <w:r w:rsidR="00A30DB9" w:rsidRPr="000B1FF7">
        <w:rPr>
          <w:rFonts w:asciiTheme="minorHAnsi" w:hAnsiTheme="minorHAnsi" w:cstheme="minorHAnsi"/>
          <w:caps w:val="0"/>
        </w:rPr>
        <w:fldChar w:fldCharType="separate"/>
      </w:r>
      <w:r w:rsidR="000B1FF7">
        <w:rPr>
          <w:rFonts w:asciiTheme="minorHAnsi" w:hAnsiTheme="minorHAnsi" w:cstheme="minorHAnsi"/>
          <w:caps w:val="0"/>
          <w:noProof/>
        </w:rPr>
        <w:t>4</w:t>
      </w:r>
      <w:r w:rsidR="00A30DB9" w:rsidRPr="000B1FF7">
        <w:rPr>
          <w:rFonts w:asciiTheme="minorHAnsi" w:hAnsiTheme="minorHAnsi" w:cstheme="minorHAnsi"/>
          <w:caps w:val="0"/>
        </w:rPr>
        <w:fldChar w:fldCharType="end"/>
      </w:r>
      <w:r>
        <w:rPr>
          <w:rFonts w:asciiTheme="minorHAnsi" w:hAnsiTheme="minorHAnsi" w:cstheme="minorHAnsi"/>
          <w:caps w:val="0"/>
        </w:rPr>
        <w:t xml:space="preserve"> Instances of URPs used in relation to the 10% of participants subject to the most URPs</w:t>
      </w:r>
    </w:p>
    <w:p w14:paraId="794D56AC" w14:textId="77777777" w:rsidR="001F1B58" w:rsidRDefault="008E7665" w:rsidP="001F1B58">
      <w:pPr>
        <w:rPr>
          <w:rFonts w:asciiTheme="minorHAnsi" w:hAnsiTheme="minorHAnsi" w:cstheme="minorHAnsi"/>
        </w:rPr>
      </w:pPr>
      <w:r w:rsidRPr="008E7665">
        <w:rPr>
          <w:noProof/>
          <w:lang w:eastAsia="en-AU"/>
        </w:rPr>
        <w:drawing>
          <wp:inline distT="0" distB="0" distL="0" distR="0" wp14:anchorId="54827FF5" wp14:editId="6D507D4E">
            <wp:extent cx="5581015" cy="2906395"/>
            <wp:effectExtent l="0" t="0" r="635" b="8255"/>
            <wp:docPr id="3" name="Picture 3" descr="Bar chart showing instances of URPs used in relation to the 10% of participants subject to the most U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r chart showing instances of URPs used in relation to the 10% of participants subject to the most URPs"/>
                    <pic:cNvPicPr/>
                  </pic:nvPicPr>
                  <pic:blipFill>
                    <a:blip r:embed="rId16"/>
                    <a:stretch>
                      <a:fillRect/>
                    </a:stretch>
                  </pic:blipFill>
                  <pic:spPr>
                    <a:xfrm>
                      <a:off x="0" y="0"/>
                      <a:ext cx="5581015" cy="2906395"/>
                    </a:xfrm>
                    <a:prstGeom prst="rect">
                      <a:avLst/>
                    </a:prstGeom>
                  </pic:spPr>
                </pic:pic>
              </a:graphicData>
            </a:graphic>
          </wp:inline>
        </w:drawing>
      </w:r>
    </w:p>
    <w:p w14:paraId="362E8FD8" w14:textId="77777777" w:rsidR="001F1B58" w:rsidRDefault="001F1B58" w:rsidP="001F1B58">
      <w:pPr>
        <w:rPr>
          <w:rFonts w:asciiTheme="minorHAnsi" w:hAnsiTheme="minorHAnsi" w:cstheme="minorHAnsi"/>
        </w:rPr>
      </w:pPr>
      <w:r>
        <w:rPr>
          <w:rFonts w:asciiTheme="minorHAnsi" w:hAnsiTheme="minorHAnsi" w:cstheme="minorHAnsi"/>
        </w:rPr>
        <w:t>This analysis shows that a</w:t>
      </w:r>
      <w:r w:rsidRPr="00764BE0">
        <w:rPr>
          <w:rFonts w:asciiTheme="minorHAnsi" w:hAnsiTheme="minorHAnsi" w:cstheme="minorHAnsi"/>
        </w:rPr>
        <w:t xml:space="preserve"> relatively small proportion of the participants who are subject to </w:t>
      </w:r>
      <w:r>
        <w:rPr>
          <w:rFonts w:asciiTheme="minorHAnsi" w:hAnsiTheme="minorHAnsi" w:cstheme="minorHAnsi"/>
        </w:rPr>
        <w:t xml:space="preserve">URPs </w:t>
      </w:r>
      <w:r w:rsidRPr="00764BE0">
        <w:rPr>
          <w:rFonts w:asciiTheme="minorHAnsi" w:hAnsiTheme="minorHAnsi" w:cstheme="minorHAnsi"/>
        </w:rPr>
        <w:t xml:space="preserve">are subject to most of the </w:t>
      </w:r>
      <w:r>
        <w:rPr>
          <w:rFonts w:asciiTheme="minorHAnsi" w:hAnsiTheme="minorHAnsi" w:cstheme="minorHAnsi"/>
        </w:rPr>
        <w:t xml:space="preserve">URPs </w:t>
      </w:r>
      <w:r w:rsidRPr="00764BE0">
        <w:rPr>
          <w:rFonts w:asciiTheme="minorHAnsi" w:hAnsiTheme="minorHAnsi" w:cstheme="minorHAnsi"/>
        </w:rPr>
        <w:t xml:space="preserve">notified to the NDIS Commission. </w:t>
      </w:r>
    </w:p>
    <w:p w14:paraId="33513294" w14:textId="303867F5" w:rsidR="006A15D5" w:rsidRPr="006A15D5" w:rsidRDefault="001F1B58" w:rsidP="001B4F15">
      <w:pPr>
        <w:rPr>
          <w:rFonts w:asciiTheme="minorHAnsi" w:hAnsiTheme="minorHAnsi" w:cstheme="minorHAnsi"/>
        </w:rPr>
      </w:pPr>
      <w:r>
        <w:rPr>
          <w:rFonts w:asciiTheme="minorHAnsi" w:hAnsiTheme="minorHAnsi" w:cstheme="minorHAnsi"/>
        </w:rPr>
        <w:t xml:space="preserve">The </w:t>
      </w:r>
      <w:r w:rsidR="003F39F0">
        <w:rPr>
          <w:rFonts w:asciiTheme="minorHAnsi" w:hAnsiTheme="minorHAnsi" w:cstheme="minorHAnsi"/>
        </w:rPr>
        <w:t>high proportion of URPs (57%</w:t>
      </w:r>
      <w:r>
        <w:rPr>
          <w:rFonts w:asciiTheme="minorHAnsi" w:hAnsiTheme="minorHAnsi" w:cstheme="minorHAnsi"/>
        </w:rPr>
        <w:t xml:space="preserve"> in January </w:t>
      </w:r>
      <w:r w:rsidR="00867212">
        <w:rPr>
          <w:rFonts w:asciiTheme="minorHAnsi" w:hAnsiTheme="minorHAnsi" w:cstheme="minorHAnsi"/>
        </w:rPr>
        <w:t>-</w:t>
      </w:r>
      <w:r>
        <w:rPr>
          <w:rFonts w:asciiTheme="minorHAnsi" w:hAnsiTheme="minorHAnsi" w:cstheme="minorHAnsi"/>
        </w:rPr>
        <w:t xml:space="preserve"> June 2021) used in relation</w:t>
      </w:r>
      <w:r w:rsidR="003F39F0">
        <w:rPr>
          <w:rFonts w:asciiTheme="minorHAnsi" w:hAnsiTheme="minorHAnsi" w:cstheme="minorHAnsi"/>
        </w:rPr>
        <w:t xml:space="preserve"> to a relatively small number of participants (570</w:t>
      </w:r>
      <w:r>
        <w:rPr>
          <w:rFonts w:asciiTheme="minorHAnsi" w:hAnsiTheme="minorHAnsi" w:cstheme="minorHAnsi"/>
        </w:rPr>
        <w:t xml:space="preserve"> or 10% of participants subject to URPs</w:t>
      </w:r>
      <w:r w:rsidR="003F39F0">
        <w:rPr>
          <w:rFonts w:asciiTheme="minorHAnsi" w:hAnsiTheme="minorHAnsi" w:cstheme="minorHAnsi"/>
        </w:rPr>
        <w:t xml:space="preserve">) suggests that only a relative small number of participants are subject to high numbers of ongoing URPs. It is to these </w:t>
      </w:r>
      <w:r w:rsidR="00491E7D">
        <w:rPr>
          <w:rFonts w:asciiTheme="minorHAnsi" w:hAnsiTheme="minorHAnsi" w:cstheme="minorHAnsi"/>
        </w:rPr>
        <w:t xml:space="preserve">participants </w:t>
      </w:r>
      <w:r w:rsidR="006A15D5" w:rsidRPr="006A15D5">
        <w:rPr>
          <w:rFonts w:asciiTheme="minorHAnsi" w:hAnsiTheme="minorHAnsi" w:cstheme="minorHAnsi"/>
        </w:rPr>
        <w:t xml:space="preserve">that </w:t>
      </w:r>
      <w:r w:rsidR="006A15D5">
        <w:rPr>
          <w:rFonts w:asciiTheme="minorHAnsi" w:hAnsiTheme="minorHAnsi" w:cstheme="minorHAnsi"/>
        </w:rPr>
        <w:t xml:space="preserve">the NDIS Commission’s attention is most appropriately directed to </w:t>
      </w:r>
      <w:r w:rsidR="00491E7D">
        <w:rPr>
          <w:rFonts w:asciiTheme="minorHAnsi" w:hAnsiTheme="minorHAnsi" w:cstheme="minorHAnsi"/>
        </w:rPr>
        <w:t xml:space="preserve">ensure that the </w:t>
      </w:r>
      <w:r w:rsidR="006A15D5">
        <w:rPr>
          <w:rFonts w:asciiTheme="minorHAnsi" w:hAnsiTheme="minorHAnsi" w:cstheme="minorHAnsi"/>
        </w:rPr>
        <w:t xml:space="preserve">providers </w:t>
      </w:r>
      <w:r w:rsidR="00491E7D">
        <w:rPr>
          <w:rFonts w:asciiTheme="minorHAnsi" w:hAnsiTheme="minorHAnsi" w:cstheme="minorHAnsi"/>
        </w:rPr>
        <w:t xml:space="preserve">who use URPs in relation to these participants, and the providers that provide specialist behaviour support to these participants, comply with their obligations to obtain authorisation, if required, and develop and implement behaviour support plans for these participants. </w:t>
      </w:r>
    </w:p>
    <w:p w14:paraId="4D0E1AD3" w14:textId="77777777" w:rsidR="00DD75B7" w:rsidRDefault="00DD75B7" w:rsidP="0063662E">
      <w:pPr>
        <w:pStyle w:val="Heading1"/>
      </w:pPr>
    </w:p>
    <w:p w14:paraId="3128004C" w14:textId="77777777" w:rsidR="00C832E6" w:rsidRDefault="00C832E6" w:rsidP="00C832E6"/>
    <w:p w14:paraId="66A02FCF" w14:textId="77777777" w:rsidR="00C832E6" w:rsidRDefault="00C832E6" w:rsidP="00C832E6"/>
    <w:p w14:paraId="2A570DFD" w14:textId="77777777" w:rsidR="00C832E6" w:rsidRPr="00C832E6" w:rsidRDefault="00C832E6" w:rsidP="00C832E6"/>
    <w:p w14:paraId="68C06B10" w14:textId="77777777" w:rsidR="00BF04DC" w:rsidRPr="000A45A4" w:rsidRDefault="00F60A54" w:rsidP="00C832E6">
      <w:pPr>
        <w:pStyle w:val="Heading1"/>
        <w:pBdr>
          <w:bottom w:val="single" w:sz="4" w:space="1" w:color="auto"/>
        </w:pBdr>
      </w:pPr>
      <w:r>
        <w:lastRenderedPageBreak/>
        <w:t>Some characteristics of p</w:t>
      </w:r>
      <w:r w:rsidR="00BF04DC" w:rsidRPr="000A45A4">
        <w:t xml:space="preserve">articipants subject to </w:t>
      </w:r>
      <w:r w:rsidR="0038325D">
        <w:t>URPs</w:t>
      </w:r>
    </w:p>
    <w:p w14:paraId="38D841F2" w14:textId="77777777" w:rsidR="00B66C95" w:rsidRPr="000B1FF7" w:rsidRDefault="00B66C95" w:rsidP="0063662E">
      <w:pPr>
        <w:rPr>
          <w:rFonts w:asciiTheme="minorHAnsi" w:hAnsiTheme="minorHAnsi" w:cstheme="minorHAnsi"/>
        </w:rPr>
      </w:pPr>
      <w:r w:rsidRPr="000B1FF7">
        <w:rPr>
          <w:rFonts w:asciiTheme="minorHAnsi" w:hAnsiTheme="minorHAnsi" w:cstheme="minorHAnsi"/>
        </w:rPr>
        <w:t xml:space="preserve">For the purposes of this report, the NDIS Commission sought the assistance of the NDIA to conduct further analyses of demographic and other characteristics of the participants subject to URPs in 2020-21. </w:t>
      </w:r>
    </w:p>
    <w:p w14:paraId="5B66A16D" w14:textId="77777777" w:rsidR="00B66C95" w:rsidRPr="00C6708F" w:rsidRDefault="00B66C95" w:rsidP="0063662E">
      <w:pPr>
        <w:rPr>
          <w:rFonts w:asciiTheme="minorHAnsi" w:hAnsiTheme="minorHAnsi" w:cstheme="minorHAnsi"/>
        </w:rPr>
      </w:pPr>
      <w:r w:rsidRPr="00C6708F">
        <w:rPr>
          <w:rFonts w:asciiTheme="minorHAnsi" w:hAnsiTheme="minorHAnsi" w:cstheme="minorHAnsi"/>
        </w:rPr>
        <w:t>The data set out below analyses</w:t>
      </w:r>
      <w:r w:rsidR="00C6708F">
        <w:rPr>
          <w:rFonts w:asciiTheme="minorHAnsi" w:hAnsiTheme="minorHAnsi" w:cstheme="minorHAnsi"/>
        </w:rPr>
        <w:t xml:space="preserve"> </w:t>
      </w:r>
      <w:r w:rsidR="00C6708F" w:rsidRPr="00C6708F">
        <w:rPr>
          <w:rFonts w:asciiTheme="minorHAnsi" w:hAnsiTheme="minorHAnsi" w:cstheme="minorHAnsi"/>
        </w:rPr>
        <w:t>the number of participants subject to URPs in 2020-21</w:t>
      </w:r>
      <w:r w:rsidR="00C6708F">
        <w:rPr>
          <w:rFonts w:asciiTheme="minorHAnsi" w:hAnsiTheme="minorHAnsi" w:cstheme="minorHAnsi"/>
        </w:rPr>
        <w:t xml:space="preserve"> by</w:t>
      </w:r>
      <w:r w:rsidRPr="00C6708F">
        <w:rPr>
          <w:rFonts w:asciiTheme="minorHAnsi" w:hAnsiTheme="minorHAnsi" w:cstheme="minorHAnsi"/>
        </w:rPr>
        <w:t>:</w:t>
      </w:r>
    </w:p>
    <w:p w14:paraId="0B4BBB80" w14:textId="6891F4C7" w:rsidR="00B66C95" w:rsidRPr="00C6708F" w:rsidRDefault="00B66C95" w:rsidP="003A1DA0">
      <w:pPr>
        <w:pStyle w:val="ListParagraph"/>
        <w:numPr>
          <w:ilvl w:val="0"/>
          <w:numId w:val="1"/>
        </w:numPr>
        <w:ind w:left="714" w:hanging="357"/>
        <w:contextualSpacing w:val="0"/>
        <w:rPr>
          <w:rFonts w:asciiTheme="minorHAnsi" w:hAnsiTheme="minorHAnsi" w:cstheme="minorHAnsi"/>
        </w:rPr>
      </w:pPr>
      <w:r w:rsidRPr="00C6708F">
        <w:rPr>
          <w:rFonts w:asciiTheme="minorHAnsi" w:hAnsiTheme="minorHAnsi" w:cstheme="minorHAnsi"/>
        </w:rPr>
        <w:t>State</w:t>
      </w:r>
      <w:r w:rsidR="00867212">
        <w:rPr>
          <w:rFonts w:asciiTheme="minorHAnsi" w:hAnsiTheme="minorHAnsi" w:cstheme="minorHAnsi"/>
        </w:rPr>
        <w:t xml:space="preserve"> and t</w:t>
      </w:r>
      <w:r w:rsidRPr="00C6708F">
        <w:rPr>
          <w:rFonts w:asciiTheme="minorHAnsi" w:hAnsiTheme="minorHAnsi" w:cstheme="minorHAnsi"/>
        </w:rPr>
        <w:t>erritory and as a percentage of the total number of ‘active’ participants</w:t>
      </w:r>
      <w:r w:rsidRPr="00C6708F">
        <w:rPr>
          <w:rStyle w:val="FootnoteReference"/>
          <w:rFonts w:asciiTheme="minorHAnsi" w:hAnsiTheme="minorHAnsi" w:cstheme="minorHAnsi"/>
        </w:rPr>
        <w:footnoteReference w:id="5"/>
      </w:r>
      <w:r w:rsidRPr="00C6708F">
        <w:rPr>
          <w:rFonts w:asciiTheme="minorHAnsi" w:hAnsiTheme="minorHAnsi" w:cstheme="minorHAnsi"/>
        </w:rPr>
        <w:t xml:space="preserve"> in the </w:t>
      </w:r>
      <w:r w:rsidR="00867212">
        <w:rPr>
          <w:rFonts w:asciiTheme="minorHAnsi" w:hAnsiTheme="minorHAnsi" w:cstheme="minorHAnsi"/>
        </w:rPr>
        <w:t>state or t</w:t>
      </w:r>
      <w:r w:rsidRPr="00C6708F">
        <w:rPr>
          <w:rFonts w:asciiTheme="minorHAnsi" w:hAnsiTheme="minorHAnsi" w:cstheme="minorHAnsi"/>
        </w:rPr>
        <w:t>erritory</w:t>
      </w:r>
      <w:r w:rsidR="00A40863">
        <w:rPr>
          <w:rFonts w:asciiTheme="minorHAnsi" w:hAnsiTheme="minorHAnsi" w:cstheme="minorHAnsi"/>
        </w:rPr>
        <w:t>;</w:t>
      </w:r>
    </w:p>
    <w:p w14:paraId="7364DC5D" w14:textId="7F2F0C27" w:rsidR="00B66C95" w:rsidRPr="00C6708F" w:rsidRDefault="00B66C95" w:rsidP="003A1DA0">
      <w:pPr>
        <w:pStyle w:val="ListParagraph"/>
        <w:numPr>
          <w:ilvl w:val="0"/>
          <w:numId w:val="1"/>
        </w:numPr>
        <w:ind w:left="714" w:hanging="357"/>
        <w:contextualSpacing w:val="0"/>
        <w:rPr>
          <w:rFonts w:asciiTheme="minorHAnsi" w:hAnsiTheme="minorHAnsi" w:cstheme="minorHAnsi"/>
        </w:rPr>
      </w:pPr>
      <w:r w:rsidRPr="00C6708F">
        <w:rPr>
          <w:rFonts w:asciiTheme="minorHAnsi" w:hAnsiTheme="minorHAnsi" w:cstheme="minorHAnsi"/>
        </w:rPr>
        <w:t>age band and as a percentage of the total number of active participants in the relevant age band</w:t>
      </w:r>
      <w:r w:rsidR="00A40863">
        <w:rPr>
          <w:rFonts w:asciiTheme="minorHAnsi" w:hAnsiTheme="minorHAnsi" w:cstheme="minorHAnsi"/>
        </w:rPr>
        <w:t>;</w:t>
      </w:r>
    </w:p>
    <w:p w14:paraId="7F66C4D5" w14:textId="2A1C2FEA" w:rsidR="00B66C95" w:rsidRPr="00C6708F" w:rsidRDefault="00B66C95" w:rsidP="003A1DA0">
      <w:pPr>
        <w:pStyle w:val="ListParagraph"/>
        <w:numPr>
          <w:ilvl w:val="0"/>
          <w:numId w:val="1"/>
        </w:numPr>
        <w:ind w:left="714" w:hanging="357"/>
        <w:contextualSpacing w:val="0"/>
        <w:rPr>
          <w:rFonts w:asciiTheme="minorHAnsi" w:hAnsiTheme="minorHAnsi" w:cstheme="minorHAnsi"/>
        </w:rPr>
      </w:pPr>
      <w:r w:rsidRPr="00C6708F">
        <w:rPr>
          <w:rFonts w:asciiTheme="minorHAnsi" w:hAnsiTheme="minorHAnsi" w:cstheme="minorHAnsi"/>
        </w:rPr>
        <w:t xml:space="preserve">primary disability and as a percentage of the total number of active participants with </w:t>
      </w:r>
      <w:r w:rsidR="00A40863">
        <w:rPr>
          <w:rFonts w:asciiTheme="minorHAnsi" w:hAnsiTheme="minorHAnsi" w:cstheme="minorHAnsi"/>
        </w:rPr>
        <w:t>the relevant primary disability;</w:t>
      </w:r>
    </w:p>
    <w:p w14:paraId="249A12B2" w14:textId="77777777" w:rsidR="00B66C95" w:rsidRPr="00C6708F" w:rsidRDefault="00B66C95" w:rsidP="003A1DA0">
      <w:pPr>
        <w:pStyle w:val="ListParagraph"/>
        <w:numPr>
          <w:ilvl w:val="0"/>
          <w:numId w:val="1"/>
        </w:numPr>
        <w:ind w:left="714" w:hanging="357"/>
        <w:contextualSpacing w:val="0"/>
        <w:rPr>
          <w:rFonts w:asciiTheme="minorHAnsi" w:hAnsiTheme="minorHAnsi" w:cstheme="minorHAnsi"/>
        </w:rPr>
      </w:pPr>
      <w:r w:rsidRPr="00C6708F">
        <w:rPr>
          <w:rFonts w:asciiTheme="minorHAnsi" w:hAnsiTheme="minorHAnsi" w:cstheme="minorHAnsi"/>
        </w:rPr>
        <w:t>whether they receive funding for supported independent living (SIL) supports and as a percentage of the total number of active participants who do or do not receive funding for SIL supports.</w:t>
      </w:r>
    </w:p>
    <w:p w14:paraId="45CBFF1F" w14:textId="77777777" w:rsidR="00F60A54" w:rsidRPr="000B1FF7" w:rsidRDefault="00B66C95" w:rsidP="0063662E">
      <w:pPr>
        <w:rPr>
          <w:rFonts w:asciiTheme="minorHAnsi" w:hAnsiTheme="minorHAnsi" w:cstheme="minorHAnsi"/>
        </w:rPr>
      </w:pPr>
      <w:r w:rsidRPr="000B1FF7">
        <w:rPr>
          <w:rFonts w:asciiTheme="minorHAnsi" w:hAnsiTheme="minorHAnsi" w:cstheme="minorHAnsi"/>
        </w:rPr>
        <w:t xml:space="preserve">Because these analyses rely on matching NDIS Commission URP notifications with NDIA participant </w:t>
      </w:r>
      <w:r w:rsidR="00D51316" w:rsidRPr="000B1FF7">
        <w:rPr>
          <w:rFonts w:asciiTheme="minorHAnsi" w:hAnsiTheme="minorHAnsi" w:cstheme="minorHAnsi"/>
        </w:rPr>
        <w:t>records</w:t>
      </w:r>
      <w:r w:rsidRPr="000B1FF7">
        <w:rPr>
          <w:rFonts w:asciiTheme="minorHAnsi" w:hAnsiTheme="minorHAnsi" w:cstheme="minorHAnsi"/>
        </w:rPr>
        <w:t xml:space="preserve">, they have been conducted only in relation to the participants subject to URPs in 2020-21 whose identities have been fully verified against NDIA participant </w:t>
      </w:r>
      <w:r w:rsidR="00D51316" w:rsidRPr="000B1FF7">
        <w:rPr>
          <w:rFonts w:asciiTheme="minorHAnsi" w:hAnsiTheme="minorHAnsi" w:cstheme="minorHAnsi"/>
        </w:rPr>
        <w:t>records</w:t>
      </w:r>
      <w:r w:rsidRPr="000B1FF7">
        <w:rPr>
          <w:rFonts w:asciiTheme="minorHAnsi" w:hAnsiTheme="minorHAnsi" w:cstheme="minorHAnsi"/>
        </w:rPr>
        <w:t xml:space="preserve">. The NDIS Commission’s operating system was enhanced in 2021 to enable </w:t>
      </w:r>
      <w:r w:rsidR="00D51316" w:rsidRPr="000B1FF7">
        <w:rPr>
          <w:rFonts w:asciiTheme="minorHAnsi" w:hAnsiTheme="minorHAnsi" w:cstheme="minorHAnsi"/>
        </w:rPr>
        <w:t xml:space="preserve">the NDIS Commission to verify </w:t>
      </w:r>
      <w:r w:rsidRPr="000B1FF7">
        <w:rPr>
          <w:rFonts w:asciiTheme="minorHAnsi" w:hAnsiTheme="minorHAnsi" w:cstheme="minorHAnsi"/>
        </w:rPr>
        <w:t xml:space="preserve">participant details in reportable incident notifications against NDIA participant </w:t>
      </w:r>
      <w:r w:rsidR="00D51316" w:rsidRPr="000B1FF7">
        <w:rPr>
          <w:rFonts w:asciiTheme="minorHAnsi" w:hAnsiTheme="minorHAnsi" w:cstheme="minorHAnsi"/>
        </w:rPr>
        <w:t>records</w:t>
      </w:r>
      <w:r w:rsidRPr="000B1FF7">
        <w:rPr>
          <w:rFonts w:asciiTheme="minorHAnsi" w:hAnsiTheme="minorHAnsi" w:cstheme="minorHAnsi"/>
        </w:rPr>
        <w:t xml:space="preserve">.  </w:t>
      </w:r>
      <w:r w:rsidR="00C6708F" w:rsidRPr="000B1FF7">
        <w:rPr>
          <w:rFonts w:asciiTheme="minorHAnsi" w:hAnsiTheme="minorHAnsi" w:cstheme="minorHAnsi"/>
        </w:rPr>
        <w:t>This verification process commenced during 2020-21</w:t>
      </w:r>
      <w:r w:rsidR="00D51316" w:rsidRPr="000B1FF7">
        <w:rPr>
          <w:rFonts w:asciiTheme="minorHAnsi" w:hAnsiTheme="minorHAnsi" w:cstheme="minorHAnsi"/>
        </w:rPr>
        <w:t xml:space="preserve">; however, </w:t>
      </w:r>
      <w:r w:rsidR="00C6708F" w:rsidRPr="000B1FF7">
        <w:rPr>
          <w:rFonts w:asciiTheme="minorHAnsi" w:hAnsiTheme="minorHAnsi" w:cstheme="minorHAnsi"/>
        </w:rPr>
        <w:t xml:space="preserve">not all URP notifications in 2020-21 </w:t>
      </w:r>
      <w:r w:rsidR="00D51316" w:rsidRPr="000B1FF7">
        <w:rPr>
          <w:rFonts w:asciiTheme="minorHAnsi" w:hAnsiTheme="minorHAnsi" w:cstheme="minorHAnsi"/>
        </w:rPr>
        <w:t xml:space="preserve">were </w:t>
      </w:r>
      <w:r w:rsidR="00C6708F" w:rsidRPr="000B1FF7">
        <w:rPr>
          <w:rFonts w:asciiTheme="minorHAnsi" w:hAnsiTheme="minorHAnsi" w:cstheme="minorHAnsi"/>
        </w:rPr>
        <w:t xml:space="preserve">fully verified. The data set out below analyses the demographic and other characteristics of the 6,622 participants subject to URPs in 2020-21 who have been fully verified against NDIA participant </w:t>
      </w:r>
      <w:r w:rsidR="00D51316" w:rsidRPr="000B1FF7">
        <w:rPr>
          <w:rFonts w:asciiTheme="minorHAnsi" w:hAnsiTheme="minorHAnsi" w:cstheme="minorHAnsi"/>
        </w:rPr>
        <w:t>records</w:t>
      </w:r>
      <w:r w:rsidR="00C6708F" w:rsidRPr="000B1FF7">
        <w:rPr>
          <w:rFonts w:asciiTheme="minorHAnsi" w:hAnsiTheme="minorHAnsi" w:cstheme="minorHAnsi"/>
        </w:rPr>
        <w:t xml:space="preserve">, and not all of the 7,862 participants who were subject to URPs in 2020-21. </w:t>
      </w:r>
    </w:p>
    <w:p w14:paraId="48C50564" w14:textId="77777777" w:rsidR="003268DE" w:rsidRDefault="003268DE" w:rsidP="00C6708F">
      <w:pPr>
        <w:pStyle w:val="Heading2"/>
      </w:pPr>
    </w:p>
    <w:p w14:paraId="3E07148A" w14:textId="10D557E9" w:rsidR="0063662E" w:rsidRDefault="00C6708F" w:rsidP="00C6708F">
      <w:pPr>
        <w:pStyle w:val="Heading2"/>
      </w:pPr>
      <w:r w:rsidRPr="00C6708F">
        <w:t xml:space="preserve">Participants subject to URPs by </w:t>
      </w:r>
      <w:r w:rsidR="00A40863">
        <w:t>s</w:t>
      </w:r>
      <w:r w:rsidRPr="00C6708F">
        <w:t xml:space="preserve">tate and </w:t>
      </w:r>
      <w:r w:rsidR="00A40863">
        <w:t>t</w:t>
      </w:r>
      <w:r w:rsidRPr="00C6708F">
        <w:t xml:space="preserve">erritory </w:t>
      </w:r>
    </w:p>
    <w:p w14:paraId="30ABC887" w14:textId="122FFEDF" w:rsidR="00B6546C" w:rsidRDefault="00132973" w:rsidP="00A46649">
      <w:pPr>
        <w:rPr>
          <w:rFonts w:asciiTheme="minorHAnsi" w:hAnsiTheme="minorHAnsi" w:cstheme="minorHAnsi"/>
        </w:rPr>
      </w:pPr>
      <w:r w:rsidRPr="00A46649">
        <w:rPr>
          <w:rFonts w:asciiTheme="minorHAnsi" w:hAnsiTheme="minorHAnsi" w:cstheme="minorHAnsi"/>
        </w:rPr>
        <w:fldChar w:fldCharType="begin"/>
      </w:r>
      <w:r w:rsidRPr="00A46649">
        <w:rPr>
          <w:rFonts w:asciiTheme="minorHAnsi" w:hAnsiTheme="minorHAnsi" w:cstheme="minorHAnsi"/>
        </w:rPr>
        <w:instrText xml:space="preserve"> REF _Ref92700647 \h </w:instrText>
      </w:r>
      <w:r>
        <w:rPr>
          <w:rFonts w:asciiTheme="minorHAnsi" w:hAnsiTheme="minorHAnsi" w:cstheme="minorHAnsi"/>
        </w:rPr>
        <w:instrText xml:space="preserve"> \* MERGEFORMAT </w:instrText>
      </w:r>
      <w:r w:rsidRPr="00A46649">
        <w:rPr>
          <w:rFonts w:asciiTheme="minorHAnsi" w:hAnsiTheme="minorHAnsi" w:cstheme="minorHAnsi"/>
        </w:rPr>
      </w:r>
      <w:r w:rsidRPr="00A46649">
        <w:rPr>
          <w:rFonts w:asciiTheme="minorHAnsi" w:hAnsiTheme="minorHAnsi" w:cstheme="minorHAnsi"/>
        </w:rPr>
        <w:fldChar w:fldCharType="separate"/>
      </w:r>
      <w:r w:rsidRPr="00A46649">
        <w:rPr>
          <w:rFonts w:asciiTheme="minorHAnsi" w:hAnsiTheme="minorHAnsi" w:cstheme="minorHAnsi"/>
        </w:rPr>
        <w:t>Table 1</w:t>
      </w:r>
      <w:r w:rsidRPr="00A46649">
        <w:rPr>
          <w:rFonts w:asciiTheme="minorHAnsi" w:hAnsiTheme="minorHAnsi" w:cstheme="minorHAnsi"/>
        </w:rPr>
        <w:fldChar w:fldCharType="end"/>
      </w:r>
      <w:r w:rsidR="00C6708F">
        <w:rPr>
          <w:rFonts w:asciiTheme="minorHAnsi" w:hAnsiTheme="minorHAnsi" w:cstheme="minorHAnsi"/>
        </w:rPr>
        <w:t xml:space="preserve"> below analyses the number of participants</w:t>
      </w:r>
      <w:r w:rsidR="00A40863">
        <w:rPr>
          <w:rFonts w:asciiTheme="minorHAnsi" w:hAnsiTheme="minorHAnsi" w:cstheme="minorHAnsi"/>
        </w:rPr>
        <w:t xml:space="preserve"> subject to URPs in 2020-21 by state and t</w:t>
      </w:r>
      <w:r w:rsidR="00C6708F">
        <w:rPr>
          <w:rFonts w:asciiTheme="minorHAnsi" w:hAnsiTheme="minorHAnsi" w:cstheme="minorHAnsi"/>
        </w:rPr>
        <w:t xml:space="preserve">erritory </w:t>
      </w:r>
      <w:r w:rsidR="00C6708F" w:rsidRPr="00C6708F">
        <w:rPr>
          <w:rFonts w:asciiTheme="minorHAnsi" w:hAnsiTheme="minorHAnsi" w:cstheme="minorHAnsi"/>
        </w:rPr>
        <w:t>and as a percentage of the total number o</w:t>
      </w:r>
      <w:r w:rsidR="00A40863">
        <w:rPr>
          <w:rFonts w:asciiTheme="minorHAnsi" w:hAnsiTheme="minorHAnsi" w:cstheme="minorHAnsi"/>
        </w:rPr>
        <w:t>f ‘active’ participants in the state or t</w:t>
      </w:r>
      <w:r w:rsidR="00C6708F" w:rsidRPr="00C6708F">
        <w:rPr>
          <w:rFonts w:asciiTheme="minorHAnsi" w:hAnsiTheme="minorHAnsi" w:cstheme="minorHAnsi"/>
        </w:rPr>
        <w:t>erritory</w:t>
      </w:r>
      <w:r w:rsidR="00C6708F">
        <w:rPr>
          <w:rFonts w:asciiTheme="minorHAnsi" w:hAnsiTheme="minorHAnsi" w:cstheme="minorHAnsi"/>
        </w:rPr>
        <w:t>.</w:t>
      </w:r>
    </w:p>
    <w:p w14:paraId="4938A714" w14:textId="77777777" w:rsidR="007871A9" w:rsidRPr="007871A9" w:rsidRDefault="007871A9" w:rsidP="007871A9">
      <w:pPr>
        <w:rPr>
          <w:rFonts w:asciiTheme="minorHAnsi" w:hAnsiTheme="minorHAnsi" w:cstheme="minorHAnsi"/>
          <w:shd w:val="clear" w:color="auto" w:fill="FFFFFF"/>
        </w:rPr>
      </w:pPr>
      <w:r w:rsidRPr="00C6708F">
        <w:rPr>
          <w:rFonts w:asciiTheme="minorHAnsi" w:hAnsiTheme="minorHAnsi" w:cstheme="minorHAnsi"/>
        </w:rPr>
        <w:t xml:space="preserve">The number of </w:t>
      </w:r>
      <w:r>
        <w:rPr>
          <w:rFonts w:asciiTheme="minorHAnsi" w:hAnsiTheme="minorHAnsi" w:cstheme="minorHAnsi"/>
        </w:rPr>
        <w:t xml:space="preserve">participants subject to URPs in Western Australia is likely to be an understatement as the NDIS Commission only commenced jurisdiction in Western Australia on 1 December 2020 and the transitional arrangements under the Restrictive Practices and Behaviour Support Rules applied in Western Australia following transition. </w:t>
      </w:r>
      <w:r>
        <w:rPr>
          <w:rFonts w:asciiTheme="minorHAnsi" w:hAnsiTheme="minorHAnsi" w:cstheme="minorHAnsi"/>
          <w:shd w:val="clear" w:color="auto" w:fill="FFFFFF"/>
        </w:rPr>
        <w:t xml:space="preserve">Some Western Australian providers are still transitioning to the full reporting requirements and so the number of reports of URPs and the number of participants subject to URPs in Western Australia may continue to grow in the 2021-21 reporting period. </w:t>
      </w:r>
    </w:p>
    <w:p w14:paraId="1D6E8169" w14:textId="77777777" w:rsidR="007871A9" w:rsidRDefault="007871A9" w:rsidP="007871A9">
      <w:pPr>
        <w:rPr>
          <w:rFonts w:asciiTheme="minorHAnsi" w:hAnsiTheme="minorHAnsi" w:cstheme="minorHAnsi"/>
        </w:rPr>
      </w:pPr>
      <w:r>
        <w:rPr>
          <w:rFonts w:asciiTheme="minorHAnsi" w:hAnsiTheme="minorHAnsi" w:cstheme="minorHAnsi"/>
        </w:rPr>
        <w:lastRenderedPageBreak/>
        <w:t xml:space="preserve">Excluding the data for Western Australia, the lowest rate of active participants subject to URPs in </w:t>
      </w:r>
      <w:r w:rsidRPr="00170569">
        <w:rPr>
          <w:rFonts w:asciiTheme="minorHAnsi" w:hAnsiTheme="minorHAnsi" w:cstheme="minorHAnsi"/>
        </w:rPr>
        <w:t xml:space="preserve">2020-21 was 1.0% in Victoria, followed by 1.2% in the Australian Capital Territory. The highest rate of active participants subject to URPs in 2020-21 was 4.4% in Tasmania. </w:t>
      </w:r>
      <w:r w:rsidRPr="00A46649">
        <w:rPr>
          <w:rFonts w:asciiTheme="minorHAnsi" w:hAnsiTheme="minorHAnsi" w:cstheme="minorHAnsi"/>
        </w:rPr>
        <w:t>The number of participants subject to URPs in Victoria may be affected by the fact that in-kind supported accommodation for around 2,300 NDIS participants in Victoria did not transition to the NDIS Commission until 2021.</w:t>
      </w:r>
      <w:r>
        <w:rPr>
          <w:rFonts w:asciiTheme="minorHAnsi" w:hAnsiTheme="minorHAnsi" w:cstheme="minorHAnsi"/>
        </w:rPr>
        <w:t xml:space="preserve"> </w:t>
      </w:r>
    </w:p>
    <w:p w14:paraId="33675623" w14:textId="77777777" w:rsidR="00132973" w:rsidRPr="00A40863" w:rsidRDefault="00132973" w:rsidP="00A46649">
      <w:pPr>
        <w:pStyle w:val="Caption"/>
        <w:keepNext/>
        <w:rPr>
          <w:sz w:val="18"/>
        </w:rPr>
      </w:pPr>
      <w:bookmarkStart w:id="10" w:name="_Ref92700647"/>
      <w:r w:rsidRPr="00A40863">
        <w:rPr>
          <w:caps w:val="0"/>
          <w:sz w:val="18"/>
        </w:rPr>
        <w:t xml:space="preserve">Table </w:t>
      </w:r>
      <w:r w:rsidR="00867212" w:rsidRPr="00A40863">
        <w:rPr>
          <w:sz w:val="18"/>
        </w:rPr>
        <w:fldChar w:fldCharType="begin"/>
      </w:r>
      <w:r w:rsidR="00867212" w:rsidRPr="00A40863">
        <w:rPr>
          <w:sz w:val="18"/>
        </w:rPr>
        <w:instrText xml:space="preserve"> SEQ Table \* ARABIC </w:instrText>
      </w:r>
      <w:r w:rsidR="00867212" w:rsidRPr="00A40863">
        <w:rPr>
          <w:sz w:val="18"/>
        </w:rPr>
        <w:fldChar w:fldCharType="separate"/>
      </w:r>
      <w:r w:rsidR="005E3174" w:rsidRPr="00A40863">
        <w:rPr>
          <w:noProof/>
          <w:sz w:val="18"/>
        </w:rPr>
        <w:t>1</w:t>
      </w:r>
      <w:r w:rsidR="00867212" w:rsidRPr="00A40863">
        <w:rPr>
          <w:noProof/>
          <w:sz w:val="18"/>
        </w:rPr>
        <w:fldChar w:fldCharType="end"/>
      </w:r>
      <w:bookmarkEnd w:id="10"/>
      <w:r w:rsidRPr="00A40863">
        <w:rPr>
          <w:sz w:val="18"/>
        </w:rPr>
        <w:t xml:space="preserve"> - </w:t>
      </w:r>
      <w:r w:rsidRPr="00A40863">
        <w:rPr>
          <w:caps w:val="0"/>
          <w:sz w:val="18"/>
        </w:rPr>
        <w:t>Participants subject to URPs in 2020-21 by state and territory</w:t>
      </w:r>
    </w:p>
    <w:tbl>
      <w:tblPr>
        <w:tblW w:w="3817" w:type="pct"/>
        <w:tblInd w:w="54" w:type="dxa"/>
        <w:tblLook w:val="04A0" w:firstRow="1" w:lastRow="0" w:firstColumn="1" w:lastColumn="0" w:noHBand="0" w:noVBand="1"/>
      </w:tblPr>
      <w:tblGrid>
        <w:gridCol w:w="1298"/>
        <w:gridCol w:w="1422"/>
        <w:gridCol w:w="1056"/>
        <w:gridCol w:w="1052"/>
        <w:gridCol w:w="1052"/>
        <w:gridCol w:w="1038"/>
      </w:tblGrid>
      <w:tr w:rsidR="0038325D" w:rsidRPr="009258C5" w14:paraId="2E12B932" w14:textId="77777777" w:rsidTr="00A46649">
        <w:trPr>
          <w:trHeight w:val="900"/>
        </w:trPr>
        <w:tc>
          <w:tcPr>
            <w:tcW w:w="939"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E605103"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Jurisdiction</w:t>
            </w:r>
          </w:p>
        </w:tc>
        <w:tc>
          <w:tcPr>
            <w:tcW w:w="1028" w:type="pct"/>
            <w:vMerge w:val="restart"/>
            <w:tcBorders>
              <w:top w:val="single" w:sz="4" w:space="0" w:color="auto"/>
              <w:left w:val="single" w:sz="4" w:space="0" w:color="auto"/>
              <w:bottom w:val="single" w:sz="4" w:space="0" w:color="000000"/>
              <w:right w:val="dotted" w:sz="4" w:space="0" w:color="auto"/>
            </w:tcBorders>
            <w:shd w:val="clear" w:color="000000" w:fill="D9D9D9"/>
            <w:vAlign w:val="center"/>
            <w:hideMark/>
          </w:tcPr>
          <w:p w14:paraId="7010A0D3"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Active participants</w:t>
            </w:r>
          </w:p>
        </w:tc>
        <w:tc>
          <w:tcPr>
            <w:tcW w:w="1523" w:type="pct"/>
            <w:gridSpan w:val="2"/>
            <w:tcBorders>
              <w:top w:val="single" w:sz="4" w:space="0" w:color="auto"/>
              <w:left w:val="nil"/>
              <w:bottom w:val="nil"/>
              <w:right w:val="dotted" w:sz="4" w:space="0" w:color="000000"/>
            </w:tcBorders>
            <w:shd w:val="clear" w:color="000000" w:fill="D9D9D9"/>
            <w:vAlign w:val="center"/>
            <w:hideMark/>
          </w:tcPr>
          <w:p w14:paraId="48F6BC75"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Number of p</w:t>
            </w:r>
            <w:r w:rsidRPr="009258C5">
              <w:rPr>
                <w:rFonts w:ascii="Calibri" w:eastAsia="Times New Roman" w:hAnsi="Calibri" w:cs="Calibri"/>
                <w:b/>
                <w:bCs/>
                <w:color w:val="000000"/>
                <w:lang w:eastAsia="en-AU"/>
              </w:rPr>
              <w:t xml:space="preserve">articipants subject to </w:t>
            </w:r>
            <w:r>
              <w:rPr>
                <w:rFonts w:ascii="Calibri" w:eastAsia="Times New Roman" w:hAnsi="Calibri" w:cs="Calibri"/>
                <w:b/>
                <w:bCs/>
                <w:color w:val="000000"/>
                <w:lang w:eastAsia="en-AU"/>
              </w:rPr>
              <w:t>URPs</w:t>
            </w:r>
          </w:p>
        </w:tc>
        <w:tc>
          <w:tcPr>
            <w:tcW w:w="1510" w:type="pct"/>
            <w:gridSpan w:val="2"/>
            <w:tcBorders>
              <w:top w:val="single" w:sz="4" w:space="0" w:color="auto"/>
              <w:left w:val="nil"/>
              <w:bottom w:val="nil"/>
              <w:right w:val="single" w:sz="4" w:space="0" w:color="auto"/>
            </w:tcBorders>
            <w:shd w:val="clear" w:color="000000" w:fill="D9D9D9"/>
            <w:vAlign w:val="center"/>
          </w:tcPr>
          <w:p w14:paraId="3CA8AD72"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Percentage of active participants subject to URPs</w:t>
            </w:r>
          </w:p>
        </w:tc>
      </w:tr>
      <w:tr w:rsidR="0038325D" w:rsidRPr="009258C5" w14:paraId="790A9E49" w14:textId="77777777" w:rsidTr="0038325D">
        <w:trPr>
          <w:trHeight w:val="288"/>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1F577148" w14:textId="77777777" w:rsidR="0038325D" w:rsidRPr="009258C5" w:rsidRDefault="0038325D" w:rsidP="0038325D">
            <w:pPr>
              <w:spacing w:after="0" w:line="240" w:lineRule="auto"/>
              <w:rPr>
                <w:rFonts w:ascii="Calibri" w:eastAsia="Times New Roman" w:hAnsi="Calibri" w:cs="Calibri"/>
                <w:b/>
                <w:bCs/>
                <w:color w:val="000000"/>
                <w:lang w:eastAsia="en-AU"/>
              </w:rPr>
            </w:pPr>
          </w:p>
        </w:tc>
        <w:tc>
          <w:tcPr>
            <w:tcW w:w="1028" w:type="pct"/>
            <w:vMerge/>
            <w:tcBorders>
              <w:top w:val="single" w:sz="4" w:space="0" w:color="auto"/>
              <w:left w:val="single" w:sz="4" w:space="0" w:color="auto"/>
              <w:bottom w:val="single" w:sz="4" w:space="0" w:color="000000"/>
              <w:right w:val="dotted" w:sz="4" w:space="0" w:color="auto"/>
            </w:tcBorders>
            <w:vAlign w:val="center"/>
            <w:hideMark/>
          </w:tcPr>
          <w:p w14:paraId="78A1A0E2" w14:textId="77777777" w:rsidR="0038325D" w:rsidRPr="009258C5" w:rsidRDefault="0038325D" w:rsidP="0038325D">
            <w:pPr>
              <w:spacing w:after="0" w:line="240" w:lineRule="auto"/>
              <w:rPr>
                <w:rFonts w:ascii="Calibri" w:eastAsia="Times New Roman" w:hAnsi="Calibri" w:cs="Calibri"/>
                <w:b/>
                <w:bCs/>
                <w:color w:val="000000"/>
                <w:lang w:eastAsia="en-AU"/>
              </w:rPr>
            </w:pPr>
          </w:p>
        </w:tc>
        <w:tc>
          <w:tcPr>
            <w:tcW w:w="763" w:type="pct"/>
            <w:tcBorders>
              <w:top w:val="nil"/>
              <w:left w:val="nil"/>
              <w:bottom w:val="single" w:sz="4" w:space="0" w:color="auto"/>
              <w:right w:val="nil"/>
            </w:tcBorders>
            <w:shd w:val="clear" w:color="000000" w:fill="D9D9D9"/>
            <w:noWrap/>
            <w:vAlign w:val="center"/>
            <w:hideMark/>
          </w:tcPr>
          <w:p w14:paraId="6BA5F41C"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p>
        </w:tc>
        <w:tc>
          <w:tcPr>
            <w:tcW w:w="760" w:type="pct"/>
            <w:tcBorders>
              <w:top w:val="nil"/>
              <w:left w:val="nil"/>
              <w:bottom w:val="single" w:sz="4" w:space="0" w:color="auto"/>
              <w:right w:val="dotted" w:sz="4" w:space="0" w:color="auto"/>
            </w:tcBorders>
            <w:shd w:val="clear" w:color="000000" w:fill="D9D9D9"/>
            <w:noWrap/>
            <w:vAlign w:val="center"/>
            <w:hideMark/>
          </w:tcPr>
          <w:p w14:paraId="5892D9AB"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p>
        </w:tc>
        <w:tc>
          <w:tcPr>
            <w:tcW w:w="760" w:type="pct"/>
            <w:tcBorders>
              <w:top w:val="nil"/>
              <w:left w:val="nil"/>
              <w:bottom w:val="single" w:sz="4" w:space="0" w:color="auto"/>
              <w:right w:val="nil"/>
            </w:tcBorders>
            <w:shd w:val="clear" w:color="000000" w:fill="D9D9D9"/>
            <w:noWrap/>
            <w:vAlign w:val="center"/>
          </w:tcPr>
          <w:p w14:paraId="14B56CEF"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p>
        </w:tc>
        <w:tc>
          <w:tcPr>
            <w:tcW w:w="750" w:type="pct"/>
            <w:tcBorders>
              <w:top w:val="nil"/>
              <w:left w:val="nil"/>
              <w:bottom w:val="single" w:sz="4" w:space="0" w:color="auto"/>
              <w:right w:val="single" w:sz="4" w:space="0" w:color="auto"/>
            </w:tcBorders>
            <w:shd w:val="clear" w:color="000000" w:fill="D9D9D9"/>
            <w:noWrap/>
            <w:vAlign w:val="center"/>
          </w:tcPr>
          <w:p w14:paraId="0F20D150"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p>
        </w:tc>
      </w:tr>
      <w:tr w:rsidR="0038325D" w:rsidRPr="009258C5" w14:paraId="29ABC2E7"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27674783"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NSW</w:t>
            </w:r>
          </w:p>
        </w:tc>
        <w:tc>
          <w:tcPr>
            <w:tcW w:w="1028" w:type="pct"/>
            <w:tcBorders>
              <w:top w:val="nil"/>
              <w:left w:val="nil"/>
              <w:bottom w:val="nil"/>
              <w:right w:val="dotted" w:sz="4" w:space="0" w:color="auto"/>
            </w:tcBorders>
            <w:shd w:val="clear" w:color="auto" w:fill="auto"/>
            <w:noWrap/>
            <w:vAlign w:val="bottom"/>
            <w:hideMark/>
          </w:tcPr>
          <w:p w14:paraId="402F4322"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144,890</w:t>
            </w:r>
          </w:p>
        </w:tc>
        <w:tc>
          <w:tcPr>
            <w:tcW w:w="1523" w:type="pct"/>
            <w:gridSpan w:val="2"/>
            <w:tcBorders>
              <w:top w:val="nil"/>
              <w:left w:val="nil"/>
              <w:bottom w:val="nil"/>
              <w:right w:val="dotted" w:sz="4" w:space="0" w:color="auto"/>
            </w:tcBorders>
            <w:shd w:val="clear" w:color="auto" w:fill="auto"/>
            <w:noWrap/>
            <w:vAlign w:val="bottom"/>
            <w:hideMark/>
          </w:tcPr>
          <w:p w14:paraId="702F4152"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2,604</w:t>
            </w:r>
          </w:p>
        </w:tc>
        <w:tc>
          <w:tcPr>
            <w:tcW w:w="1510" w:type="pct"/>
            <w:gridSpan w:val="2"/>
            <w:tcBorders>
              <w:top w:val="nil"/>
              <w:left w:val="nil"/>
              <w:bottom w:val="nil"/>
              <w:right w:val="single" w:sz="4" w:space="0" w:color="auto"/>
            </w:tcBorders>
            <w:shd w:val="clear" w:color="auto" w:fill="auto"/>
            <w:noWrap/>
            <w:vAlign w:val="bottom"/>
          </w:tcPr>
          <w:p w14:paraId="5FE9DC0D"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1.8%</w:t>
            </w:r>
          </w:p>
        </w:tc>
      </w:tr>
      <w:tr w:rsidR="0038325D" w:rsidRPr="009258C5" w14:paraId="15DFA37C"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3D60EC23"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VIC</w:t>
            </w:r>
          </w:p>
        </w:tc>
        <w:tc>
          <w:tcPr>
            <w:tcW w:w="1028" w:type="pct"/>
            <w:tcBorders>
              <w:top w:val="nil"/>
              <w:left w:val="nil"/>
              <w:bottom w:val="nil"/>
              <w:right w:val="dotted" w:sz="4" w:space="0" w:color="auto"/>
            </w:tcBorders>
            <w:shd w:val="clear" w:color="auto" w:fill="auto"/>
            <w:noWrap/>
            <w:vAlign w:val="bottom"/>
            <w:hideMark/>
          </w:tcPr>
          <w:p w14:paraId="4A4FDAD9"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124,501</w:t>
            </w:r>
          </w:p>
        </w:tc>
        <w:tc>
          <w:tcPr>
            <w:tcW w:w="1523" w:type="pct"/>
            <w:gridSpan w:val="2"/>
            <w:tcBorders>
              <w:top w:val="nil"/>
              <w:left w:val="nil"/>
              <w:bottom w:val="nil"/>
              <w:right w:val="dotted" w:sz="4" w:space="0" w:color="auto"/>
            </w:tcBorders>
            <w:shd w:val="clear" w:color="auto" w:fill="auto"/>
            <w:noWrap/>
            <w:vAlign w:val="bottom"/>
            <w:hideMark/>
          </w:tcPr>
          <w:p w14:paraId="748B9264"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1,246</w:t>
            </w:r>
          </w:p>
        </w:tc>
        <w:tc>
          <w:tcPr>
            <w:tcW w:w="1510" w:type="pct"/>
            <w:gridSpan w:val="2"/>
            <w:tcBorders>
              <w:top w:val="nil"/>
              <w:left w:val="nil"/>
              <w:bottom w:val="nil"/>
              <w:right w:val="single" w:sz="4" w:space="0" w:color="auto"/>
            </w:tcBorders>
            <w:shd w:val="clear" w:color="auto" w:fill="auto"/>
            <w:noWrap/>
            <w:vAlign w:val="bottom"/>
          </w:tcPr>
          <w:p w14:paraId="297C052F"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1.0%</w:t>
            </w:r>
          </w:p>
        </w:tc>
      </w:tr>
      <w:tr w:rsidR="0038325D" w:rsidRPr="009258C5" w14:paraId="63DCAB64"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3F8F837F"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QLD</w:t>
            </w:r>
          </w:p>
        </w:tc>
        <w:tc>
          <w:tcPr>
            <w:tcW w:w="1028" w:type="pct"/>
            <w:tcBorders>
              <w:top w:val="nil"/>
              <w:left w:val="nil"/>
              <w:bottom w:val="nil"/>
              <w:right w:val="dotted" w:sz="4" w:space="0" w:color="auto"/>
            </w:tcBorders>
            <w:shd w:val="clear" w:color="auto" w:fill="auto"/>
            <w:noWrap/>
            <w:vAlign w:val="bottom"/>
            <w:hideMark/>
          </w:tcPr>
          <w:p w14:paraId="7FB4627E"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92,742</w:t>
            </w:r>
          </w:p>
        </w:tc>
        <w:tc>
          <w:tcPr>
            <w:tcW w:w="1523" w:type="pct"/>
            <w:gridSpan w:val="2"/>
            <w:tcBorders>
              <w:top w:val="nil"/>
              <w:left w:val="nil"/>
              <w:bottom w:val="nil"/>
              <w:right w:val="dotted" w:sz="4" w:space="0" w:color="auto"/>
            </w:tcBorders>
            <w:shd w:val="clear" w:color="auto" w:fill="auto"/>
            <w:noWrap/>
            <w:vAlign w:val="bottom"/>
            <w:hideMark/>
          </w:tcPr>
          <w:p w14:paraId="4633874A"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1,175</w:t>
            </w:r>
          </w:p>
        </w:tc>
        <w:tc>
          <w:tcPr>
            <w:tcW w:w="1510" w:type="pct"/>
            <w:gridSpan w:val="2"/>
            <w:tcBorders>
              <w:top w:val="nil"/>
              <w:left w:val="nil"/>
              <w:bottom w:val="nil"/>
              <w:right w:val="single" w:sz="4" w:space="0" w:color="auto"/>
            </w:tcBorders>
            <w:shd w:val="clear" w:color="auto" w:fill="auto"/>
            <w:noWrap/>
            <w:vAlign w:val="bottom"/>
          </w:tcPr>
          <w:p w14:paraId="41DA041D"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1.3%</w:t>
            </w:r>
          </w:p>
        </w:tc>
      </w:tr>
      <w:tr w:rsidR="0038325D" w:rsidRPr="009258C5" w14:paraId="42D4159D"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23A819E2"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WA</w:t>
            </w:r>
          </w:p>
        </w:tc>
        <w:tc>
          <w:tcPr>
            <w:tcW w:w="1028" w:type="pct"/>
            <w:tcBorders>
              <w:top w:val="nil"/>
              <w:left w:val="nil"/>
              <w:bottom w:val="nil"/>
              <w:right w:val="dotted" w:sz="4" w:space="0" w:color="auto"/>
            </w:tcBorders>
            <w:shd w:val="clear" w:color="auto" w:fill="auto"/>
            <w:noWrap/>
            <w:vAlign w:val="bottom"/>
            <w:hideMark/>
          </w:tcPr>
          <w:p w14:paraId="02F5C4ED"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39,951</w:t>
            </w:r>
          </w:p>
        </w:tc>
        <w:tc>
          <w:tcPr>
            <w:tcW w:w="1523" w:type="pct"/>
            <w:gridSpan w:val="2"/>
            <w:tcBorders>
              <w:top w:val="nil"/>
              <w:left w:val="nil"/>
              <w:bottom w:val="nil"/>
              <w:right w:val="dotted" w:sz="4" w:space="0" w:color="auto"/>
            </w:tcBorders>
            <w:shd w:val="clear" w:color="auto" w:fill="auto"/>
            <w:noWrap/>
            <w:vAlign w:val="bottom"/>
            <w:hideMark/>
          </w:tcPr>
          <w:p w14:paraId="29907910"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89</w:t>
            </w:r>
          </w:p>
        </w:tc>
        <w:tc>
          <w:tcPr>
            <w:tcW w:w="1510" w:type="pct"/>
            <w:gridSpan w:val="2"/>
            <w:tcBorders>
              <w:top w:val="nil"/>
              <w:left w:val="nil"/>
              <w:bottom w:val="nil"/>
              <w:right w:val="single" w:sz="4" w:space="0" w:color="auto"/>
            </w:tcBorders>
            <w:shd w:val="clear" w:color="auto" w:fill="auto"/>
            <w:noWrap/>
            <w:vAlign w:val="bottom"/>
          </w:tcPr>
          <w:p w14:paraId="268120CD"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0.2%</w:t>
            </w:r>
          </w:p>
        </w:tc>
      </w:tr>
      <w:tr w:rsidR="0038325D" w:rsidRPr="009258C5" w14:paraId="42232FE7"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5D4E0A44"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SA</w:t>
            </w:r>
          </w:p>
        </w:tc>
        <w:tc>
          <w:tcPr>
            <w:tcW w:w="1028" w:type="pct"/>
            <w:tcBorders>
              <w:top w:val="nil"/>
              <w:left w:val="nil"/>
              <w:bottom w:val="nil"/>
              <w:right w:val="dotted" w:sz="4" w:space="0" w:color="auto"/>
            </w:tcBorders>
            <w:shd w:val="clear" w:color="auto" w:fill="auto"/>
            <w:noWrap/>
            <w:vAlign w:val="bottom"/>
            <w:hideMark/>
          </w:tcPr>
          <w:p w14:paraId="15ECB191"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41,034</w:t>
            </w:r>
          </w:p>
        </w:tc>
        <w:tc>
          <w:tcPr>
            <w:tcW w:w="1523" w:type="pct"/>
            <w:gridSpan w:val="2"/>
            <w:tcBorders>
              <w:top w:val="nil"/>
              <w:left w:val="nil"/>
              <w:bottom w:val="nil"/>
              <w:right w:val="dotted" w:sz="4" w:space="0" w:color="auto"/>
            </w:tcBorders>
            <w:shd w:val="clear" w:color="auto" w:fill="auto"/>
            <w:noWrap/>
            <w:vAlign w:val="bottom"/>
            <w:hideMark/>
          </w:tcPr>
          <w:p w14:paraId="3464B981"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786</w:t>
            </w:r>
          </w:p>
        </w:tc>
        <w:tc>
          <w:tcPr>
            <w:tcW w:w="1510" w:type="pct"/>
            <w:gridSpan w:val="2"/>
            <w:tcBorders>
              <w:top w:val="nil"/>
              <w:left w:val="nil"/>
              <w:bottom w:val="nil"/>
              <w:right w:val="single" w:sz="4" w:space="0" w:color="auto"/>
            </w:tcBorders>
            <w:shd w:val="clear" w:color="auto" w:fill="auto"/>
            <w:noWrap/>
            <w:vAlign w:val="bottom"/>
          </w:tcPr>
          <w:p w14:paraId="172D5BB0"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1.9%</w:t>
            </w:r>
          </w:p>
        </w:tc>
      </w:tr>
      <w:tr w:rsidR="0038325D" w:rsidRPr="009258C5" w14:paraId="1B1BB44D"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5AF176E6"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TAS</w:t>
            </w:r>
          </w:p>
        </w:tc>
        <w:tc>
          <w:tcPr>
            <w:tcW w:w="1028" w:type="pct"/>
            <w:tcBorders>
              <w:top w:val="nil"/>
              <w:left w:val="nil"/>
              <w:bottom w:val="nil"/>
              <w:right w:val="dotted" w:sz="4" w:space="0" w:color="auto"/>
            </w:tcBorders>
            <w:shd w:val="clear" w:color="auto" w:fill="auto"/>
            <w:noWrap/>
            <w:vAlign w:val="bottom"/>
            <w:hideMark/>
          </w:tcPr>
          <w:p w14:paraId="7C6B486B"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10,657</w:t>
            </w:r>
          </w:p>
        </w:tc>
        <w:tc>
          <w:tcPr>
            <w:tcW w:w="1523" w:type="pct"/>
            <w:gridSpan w:val="2"/>
            <w:tcBorders>
              <w:top w:val="nil"/>
              <w:left w:val="nil"/>
              <w:bottom w:val="nil"/>
              <w:right w:val="dotted" w:sz="4" w:space="0" w:color="auto"/>
            </w:tcBorders>
            <w:shd w:val="clear" w:color="auto" w:fill="auto"/>
            <w:noWrap/>
            <w:vAlign w:val="bottom"/>
            <w:hideMark/>
          </w:tcPr>
          <w:p w14:paraId="3AC61C2B"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465</w:t>
            </w:r>
          </w:p>
        </w:tc>
        <w:tc>
          <w:tcPr>
            <w:tcW w:w="1510" w:type="pct"/>
            <w:gridSpan w:val="2"/>
            <w:tcBorders>
              <w:top w:val="nil"/>
              <w:left w:val="nil"/>
              <w:bottom w:val="nil"/>
              <w:right w:val="single" w:sz="4" w:space="0" w:color="auto"/>
            </w:tcBorders>
            <w:shd w:val="clear" w:color="auto" w:fill="auto"/>
            <w:noWrap/>
            <w:vAlign w:val="bottom"/>
          </w:tcPr>
          <w:p w14:paraId="5D337BA8"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4.4%</w:t>
            </w:r>
          </w:p>
        </w:tc>
      </w:tr>
      <w:tr w:rsidR="0038325D" w:rsidRPr="009258C5" w14:paraId="1BC19B6C"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10E0A067"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ACT</w:t>
            </w:r>
          </w:p>
        </w:tc>
        <w:tc>
          <w:tcPr>
            <w:tcW w:w="1028" w:type="pct"/>
            <w:tcBorders>
              <w:top w:val="nil"/>
              <w:left w:val="nil"/>
              <w:bottom w:val="nil"/>
              <w:right w:val="dotted" w:sz="4" w:space="0" w:color="auto"/>
            </w:tcBorders>
            <w:shd w:val="clear" w:color="auto" w:fill="auto"/>
            <w:noWrap/>
            <w:vAlign w:val="bottom"/>
            <w:hideMark/>
          </w:tcPr>
          <w:p w14:paraId="14764C43"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8,586</w:t>
            </w:r>
          </w:p>
        </w:tc>
        <w:tc>
          <w:tcPr>
            <w:tcW w:w="1523" w:type="pct"/>
            <w:gridSpan w:val="2"/>
            <w:tcBorders>
              <w:top w:val="nil"/>
              <w:left w:val="nil"/>
              <w:bottom w:val="nil"/>
              <w:right w:val="dotted" w:sz="4" w:space="0" w:color="auto"/>
            </w:tcBorders>
            <w:shd w:val="clear" w:color="auto" w:fill="auto"/>
            <w:noWrap/>
            <w:vAlign w:val="bottom"/>
            <w:hideMark/>
          </w:tcPr>
          <w:p w14:paraId="19586CB3"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106</w:t>
            </w:r>
          </w:p>
        </w:tc>
        <w:tc>
          <w:tcPr>
            <w:tcW w:w="1510" w:type="pct"/>
            <w:gridSpan w:val="2"/>
            <w:tcBorders>
              <w:top w:val="nil"/>
              <w:left w:val="nil"/>
              <w:bottom w:val="nil"/>
              <w:right w:val="single" w:sz="4" w:space="0" w:color="auto"/>
            </w:tcBorders>
            <w:shd w:val="clear" w:color="auto" w:fill="auto"/>
            <w:noWrap/>
            <w:vAlign w:val="bottom"/>
          </w:tcPr>
          <w:p w14:paraId="704ED801"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1.2%</w:t>
            </w:r>
          </w:p>
        </w:tc>
      </w:tr>
      <w:tr w:rsidR="0038325D" w:rsidRPr="009258C5" w14:paraId="7D761A8A"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6D7437DA"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NT</w:t>
            </w:r>
          </w:p>
        </w:tc>
        <w:tc>
          <w:tcPr>
            <w:tcW w:w="1028" w:type="pct"/>
            <w:tcBorders>
              <w:top w:val="nil"/>
              <w:left w:val="nil"/>
              <w:bottom w:val="nil"/>
              <w:right w:val="dotted" w:sz="4" w:space="0" w:color="auto"/>
            </w:tcBorders>
            <w:shd w:val="clear" w:color="auto" w:fill="auto"/>
            <w:noWrap/>
            <w:vAlign w:val="bottom"/>
            <w:hideMark/>
          </w:tcPr>
          <w:p w14:paraId="1E8F9A30"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4,196</w:t>
            </w:r>
          </w:p>
        </w:tc>
        <w:tc>
          <w:tcPr>
            <w:tcW w:w="1523" w:type="pct"/>
            <w:gridSpan w:val="2"/>
            <w:tcBorders>
              <w:top w:val="nil"/>
              <w:left w:val="nil"/>
              <w:bottom w:val="nil"/>
              <w:right w:val="dotted" w:sz="4" w:space="0" w:color="auto"/>
            </w:tcBorders>
            <w:shd w:val="clear" w:color="auto" w:fill="auto"/>
            <w:noWrap/>
            <w:vAlign w:val="bottom"/>
            <w:hideMark/>
          </w:tcPr>
          <w:p w14:paraId="061ADDCF"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151</w:t>
            </w:r>
          </w:p>
        </w:tc>
        <w:tc>
          <w:tcPr>
            <w:tcW w:w="1510" w:type="pct"/>
            <w:gridSpan w:val="2"/>
            <w:tcBorders>
              <w:top w:val="nil"/>
              <w:left w:val="nil"/>
              <w:bottom w:val="nil"/>
              <w:right w:val="single" w:sz="4" w:space="0" w:color="auto"/>
            </w:tcBorders>
            <w:shd w:val="clear" w:color="auto" w:fill="auto"/>
            <w:noWrap/>
            <w:vAlign w:val="bottom"/>
          </w:tcPr>
          <w:p w14:paraId="4FBC14C8"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3.6%</w:t>
            </w:r>
          </w:p>
        </w:tc>
      </w:tr>
      <w:tr w:rsidR="0038325D" w:rsidRPr="009258C5" w14:paraId="0B182988"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36E510D3"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OT</w:t>
            </w:r>
          </w:p>
        </w:tc>
        <w:tc>
          <w:tcPr>
            <w:tcW w:w="1028" w:type="pct"/>
            <w:tcBorders>
              <w:top w:val="nil"/>
              <w:left w:val="nil"/>
              <w:bottom w:val="nil"/>
              <w:right w:val="dotted" w:sz="4" w:space="0" w:color="auto"/>
            </w:tcBorders>
            <w:shd w:val="clear" w:color="auto" w:fill="auto"/>
            <w:noWrap/>
            <w:vAlign w:val="bottom"/>
            <w:hideMark/>
          </w:tcPr>
          <w:p w14:paraId="0CC34FB0"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41</w:t>
            </w:r>
          </w:p>
        </w:tc>
        <w:tc>
          <w:tcPr>
            <w:tcW w:w="1523" w:type="pct"/>
            <w:gridSpan w:val="2"/>
            <w:tcBorders>
              <w:top w:val="nil"/>
              <w:left w:val="nil"/>
              <w:bottom w:val="nil"/>
              <w:right w:val="dotted" w:sz="4" w:space="0" w:color="auto"/>
            </w:tcBorders>
            <w:shd w:val="clear" w:color="auto" w:fill="auto"/>
            <w:noWrap/>
            <w:vAlign w:val="bottom"/>
            <w:hideMark/>
          </w:tcPr>
          <w:p w14:paraId="3BD4CF08"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510" w:type="pct"/>
            <w:gridSpan w:val="2"/>
            <w:tcBorders>
              <w:top w:val="nil"/>
              <w:left w:val="nil"/>
              <w:bottom w:val="nil"/>
              <w:right w:val="single" w:sz="4" w:space="0" w:color="auto"/>
            </w:tcBorders>
            <w:shd w:val="clear" w:color="auto" w:fill="auto"/>
            <w:noWrap/>
            <w:vAlign w:val="bottom"/>
          </w:tcPr>
          <w:p w14:paraId="6E17334E"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0.0%</w:t>
            </w:r>
          </w:p>
        </w:tc>
      </w:tr>
      <w:tr w:rsidR="0038325D" w:rsidRPr="009258C5" w14:paraId="2EB24A61" w14:textId="77777777" w:rsidTr="0038325D">
        <w:trPr>
          <w:trHeight w:val="288"/>
        </w:trPr>
        <w:tc>
          <w:tcPr>
            <w:tcW w:w="939" w:type="pct"/>
            <w:tcBorders>
              <w:top w:val="nil"/>
              <w:left w:val="single" w:sz="4" w:space="0" w:color="auto"/>
              <w:bottom w:val="nil"/>
              <w:right w:val="single" w:sz="4" w:space="0" w:color="auto"/>
            </w:tcBorders>
            <w:shd w:val="clear" w:color="auto" w:fill="auto"/>
            <w:noWrap/>
            <w:vAlign w:val="bottom"/>
            <w:hideMark/>
          </w:tcPr>
          <w:p w14:paraId="38FDF2FD"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Missing</w:t>
            </w:r>
          </w:p>
        </w:tc>
        <w:tc>
          <w:tcPr>
            <w:tcW w:w="1028" w:type="pct"/>
            <w:tcBorders>
              <w:top w:val="nil"/>
              <w:left w:val="nil"/>
              <w:bottom w:val="nil"/>
              <w:right w:val="dotted" w:sz="4" w:space="0" w:color="auto"/>
            </w:tcBorders>
            <w:shd w:val="clear" w:color="auto" w:fill="auto"/>
            <w:noWrap/>
            <w:vAlign w:val="bottom"/>
            <w:hideMark/>
          </w:tcPr>
          <w:p w14:paraId="015FB0AD" w14:textId="77777777" w:rsidR="0038325D" w:rsidRPr="009258C5" w:rsidRDefault="0038325D" w:rsidP="0038325D">
            <w:pPr>
              <w:spacing w:after="0" w:line="240" w:lineRule="auto"/>
              <w:jc w:val="center"/>
              <w:rPr>
                <w:rFonts w:ascii="Calibri" w:eastAsia="Times New Roman" w:hAnsi="Calibri" w:cs="Calibri"/>
                <w:color w:val="000000"/>
                <w:lang w:eastAsia="en-AU"/>
              </w:rPr>
            </w:pPr>
            <w:r w:rsidRPr="009258C5">
              <w:rPr>
                <w:rFonts w:ascii="Calibri" w:eastAsia="Times New Roman" w:hAnsi="Calibri" w:cs="Calibri"/>
                <w:color w:val="000000"/>
                <w:lang w:eastAsia="en-AU"/>
              </w:rPr>
              <w:t>12</w:t>
            </w:r>
          </w:p>
        </w:tc>
        <w:tc>
          <w:tcPr>
            <w:tcW w:w="763" w:type="pct"/>
            <w:tcBorders>
              <w:top w:val="nil"/>
              <w:left w:val="nil"/>
              <w:bottom w:val="nil"/>
              <w:right w:val="nil"/>
            </w:tcBorders>
            <w:shd w:val="clear" w:color="auto" w:fill="auto"/>
            <w:noWrap/>
            <w:vAlign w:val="bottom"/>
          </w:tcPr>
          <w:p w14:paraId="4F098B61" w14:textId="77777777" w:rsidR="0038325D" w:rsidRPr="009258C5" w:rsidRDefault="0038325D" w:rsidP="0038325D">
            <w:pPr>
              <w:spacing w:after="0" w:line="240" w:lineRule="auto"/>
              <w:jc w:val="center"/>
              <w:rPr>
                <w:rFonts w:ascii="Calibri" w:eastAsia="Times New Roman" w:hAnsi="Calibri" w:cs="Calibri"/>
                <w:color w:val="000000"/>
                <w:lang w:eastAsia="en-AU"/>
              </w:rPr>
            </w:pPr>
          </w:p>
        </w:tc>
        <w:tc>
          <w:tcPr>
            <w:tcW w:w="760" w:type="pct"/>
            <w:tcBorders>
              <w:top w:val="nil"/>
              <w:left w:val="nil"/>
              <w:bottom w:val="nil"/>
              <w:right w:val="dotted" w:sz="4" w:space="0" w:color="auto"/>
            </w:tcBorders>
            <w:shd w:val="clear" w:color="auto" w:fill="auto"/>
            <w:noWrap/>
            <w:vAlign w:val="bottom"/>
          </w:tcPr>
          <w:p w14:paraId="3C34DA5D" w14:textId="77777777" w:rsidR="0038325D" w:rsidRPr="009258C5" w:rsidRDefault="0038325D" w:rsidP="0038325D">
            <w:pPr>
              <w:spacing w:after="0" w:line="240" w:lineRule="auto"/>
              <w:jc w:val="center"/>
              <w:rPr>
                <w:rFonts w:ascii="Calibri" w:eastAsia="Times New Roman" w:hAnsi="Calibri" w:cs="Calibri"/>
                <w:color w:val="000000"/>
                <w:lang w:eastAsia="en-AU"/>
              </w:rPr>
            </w:pPr>
          </w:p>
        </w:tc>
        <w:tc>
          <w:tcPr>
            <w:tcW w:w="760" w:type="pct"/>
            <w:tcBorders>
              <w:top w:val="nil"/>
              <w:left w:val="nil"/>
              <w:bottom w:val="nil"/>
              <w:right w:val="nil"/>
            </w:tcBorders>
            <w:shd w:val="clear" w:color="auto" w:fill="auto"/>
            <w:noWrap/>
            <w:vAlign w:val="bottom"/>
          </w:tcPr>
          <w:p w14:paraId="52A9E3B9" w14:textId="77777777" w:rsidR="0038325D" w:rsidRPr="009258C5" w:rsidRDefault="0038325D" w:rsidP="0038325D">
            <w:pPr>
              <w:spacing w:after="0" w:line="240" w:lineRule="auto"/>
              <w:jc w:val="center"/>
              <w:rPr>
                <w:rFonts w:ascii="Calibri" w:eastAsia="Times New Roman" w:hAnsi="Calibri" w:cs="Calibri"/>
                <w:color w:val="000000"/>
                <w:lang w:eastAsia="en-AU"/>
              </w:rPr>
            </w:pPr>
          </w:p>
        </w:tc>
        <w:tc>
          <w:tcPr>
            <w:tcW w:w="750" w:type="pct"/>
            <w:tcBorders>
              <w:top w:val="nil"/>
              <w:left w:val="nil"/>
              <w:bottom w:val="nil"/>
              <w:right w:val="single" w:sz="4" w:space="0" w:color="auto"/>
            </w:tcBorders>
            <w:shd w:val="clear" w:color="auto" w:fill="auto"/>
            <w:noWrap/>
            <w:vAlign w:val="bottom"/>
          </w:tcPr>
          <w:p w14:paraId="5A92040D" w14:textId="77777777" w:rsidR="0038325D" w:rsidRPr="009258C5" w:rsidRDefault="0038325D" w:rsidP="0038325D">
            <w:pPr>
              <w:spacing w:after="0" w:line="240" w:lineRule="auto"/>
              <w:jc w:val="center"/>
              <w:rPr>
                <w:rFonts w:ascii="Calibri" w:eastAsia="Times New Roman" w:hAnsi="Calibri" w:cs="Calibri"/>
                <w:color w:val="000000"/>
                <w:lang w:eastAsia="en-AU"/>
              </w:rPr>
            </w:pPr>
          </w:p>
        </w:tc>
      </w:tr>
      <w:tr w:rsidR="0038325D" w:rsidRPr="009258C5" w14:paraId="7DFFCE0F" w14:textId="77777777" w:rsidTr="0038325D">
        <w:trPr>
          <w:trHeight w:val="288"/>
        </w:trPr>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C350C" w14:textId="77777777" w:rsidR="0038325D" w:rsidRPr="009258C5" w:rsidRDefault="0038325D" w:rsidP="0038325D">
            <w:pPr>
              <w:spacing w:after="0" w:line="240" w:lineRule="auto"/>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Total</w:t>
            </w:r>
          </w:p>
        </w:tc>
        <w:tc>
          <w:tcPr>
            <w:tcW w:w="1028" w:type="pct"/>
            <w:tcBorders>
              <w:top w:val="single" w:sz="4" w:space="0" w:color="auto"/>
              <w:left w:val="nil"/>
              <w:bottom w:val="single" w:sz="4" w:space="0" w:color="auto"/>
              <w:right w:val="dotted" w:sz="4" w:space="0" w:color="auto"/>
            </w:tcBorders>
            <w:shd w:val="clear" w:color="auto" w:fill="auto"/>
            <w:noWrap/>
            <w:vAlign w:val="bottom"/>
            <w:hideMark/>
          </w:tcPr>
          <w:p w14:paraId="02EBBD9E"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466,619</w:t>
            </w:r>
          </w:p>
        </w:tc>
        <w:tc>
          <w:tcPr>
            <w:tcW w:w="1523" w:type="pct"/>
            <w:gridSpan w:val="2"/>
            <w:tcBorders>
              <w:top w:val="single" w:sz="4" w:space="0" w:color="auto"/>
              <w:left w:val="nil"/>
              <w:bottom w:val="single" w:sz="4" w:space="0" w:color="auto"/>
              <w:right w:val="dotted" w:sz="4" w:space="0" w:color="auto"/>
            </w:tcBorders>
            <w:shd w:val="clear" w:color="auto" w:fill="auto"/>
            <w:noWrap/>
            <w:vAlign w:val="bottom"/>
            <w:hideMark/>
          </w:tcPr>
          <w:p w14:paraId="28D608FA"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6,622</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3623299A"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1.4%</w:t>
            </w:r>
          </w:p>
        </w:tc>
      </w:tr>
    </w:tbl>
    <w:p w14:paraId="6821887B" w14:textId="77777777" w:rsidR="003268DE" w:rsidRDefault="003268DE" w:rsidP="00D51316">
      <w:pPr>
        <w:pStyle w:val="Heading2"/>
      </w:pPr>
    </w:p>
    <w:p w14:paraId="599122D6" w14:textId="39C8D1B3" w:rsidR="00E7233A" w:rsidRPr="00D51316" w:rsidRDefault="00D51316" w:rsidP="00D51316">
      <w:pPr>
        <w:pStyle w:val="Heading2"/>
      </w:pPr>
      <w:r w:rsidRPr="00D51316">
        <w:t>Participants subject to URPs by age band</w:t>
      </w:r>
    </w:p>
    <w:p w14:paraId="2FF262A8" w14:textId="77777777" w:rsidR="00D51316" w:rsidRPr="00D51316" w:rsidRDefault="0073482D" w:rsidP="00D51316">
      <w:pPr>
        <w:rPr>
          <w:rFonts w:asciiTheme="minorHAnsi" w:hAnsiTheme="minorHAnsi" w:cstheme="minorHAnsi"/>
        </w:rPr>
      </w:pPr>
      <w:r w:rsidRPr="00A46649">
        <w:rPr>
          <w:rFonts w:asciiTheme="minorHAnsi" w:hAnsiTheme="minorHAnsi" w:cstheme="minorHAnsi"/>
        </w:rPr>
        <w:fldChar w:fldCharType="begin"/>
      </w:r>
      <w:r w:rsidRPr="00A46649">
        <w:rPr>
          <w:rFonts w:asciiTheme="minorHAnsi" w:hAnsiTheme="minorHAnsi" w:cstheme="minorHAnsi"/>
        </w:rPr>
        <w:instrText xml:space="preserve"> REF _Ref92701426 \h </w:instrText>
      </w:r>
      <w:r>
        <w:rPr>
          <w:rFonts w:asciiTheme="minorHAnsi" w:hAnsiTheme="minorHAnsi" w:cstheme="minorHAnsi"/>
        </w:rPr>
        <w:instrText xml:space="preserve"> \* MERGEFORMAT </w:instrText>
      </w:r>
      <w:r w:rsidRPr="00A46649">
        <w:rPr>
          <w:rFonts w:asciiTheme="minorHAnsi" w:hAnsiTheme="minorHAnsi" w:cstheme="minorHAnsi"/>
        </w:rPr>
      </w:r>
      <w:r w:rsidRPr="00A46649">
        <w:rPr>
          <w:rFonts w:asciiTheme="minorHAnsi" w:hAnsiTheme="minorHAnsi" w:cstheme="minorHAnsi"/>
        </w:rPr>
        <w:fldChar w:fldCharType="separate"/>
      </w:r>
      <w:r w:rsidRPr="00A46649">
        <w:rPr>
          <w:rFonts w:asciiTheme="minorHAnsi" w:hAnsiTheme="minorHAnsi" w:cstheme="minorHAnsi"/>
        </w:rPr>
        <w:t>Table 2</w:t>
      </w:r>
      <w:r w:rsidRPr="00A46649">
        <w:rPr>
          <w:rFonts w:asciiTheme="minorHAnsi" w:hAnsiTheme="minorHAnsi" w:cstheme="minorHAnsi"/>
        </w:rPr>
        <w:fldChar w:fldCharType="end"/>
      </w:r>
      <w:r w:rsidRPr="00A46649">
        <w:rPr>
          <w:rFonts w:asciiTheme="minorHAnsi" w:hAnsiTheme="minorHAnsi" w:cstheme="minorHAnsi"/>
        </w:rPr>
        <w:t xml:space="preserve"> </w:t>
      </w:r>
      <w:r w:rsidR="00D51316">
        <w:rPr>
          <w:rFonts w:asciiTheme="minorHAnsi" w:hAnsiTheme="minorHAnsi" w:cstheme="minorHAnsi"/>
        </w:rPr>
        <w:t xml:space="preserve">below analyses the number of participants subject to URPs in 2020-21 by age band </w:t>
      </w:r>
      <w:r w:rsidR="00D51316" w:rsidRPr="00C6708F">
        <w:rPr>
          <w:rFonts w:asciiTheme="minorHAnsi" w:hAnsiTheme="minorHAnsi" w:cstheme="minorHAnsi"/>
        </w:rPr>
        <w:t xml:space="preserve">and as a percentage of the total number </w:t>
      </w:r>
      <w:r w:rsidR="00D51316">
        <w:rPr>
          <w:rFonts w:asciiTheme="minorHAnsi" w:hAnsiTheme="minorHAnsi" w:cstheme="minorHAnsi"/>
        </w:rPr>
        <w:t xml:space="preserve">of </w:t>
      </w:r>
      <w:r w:rsidR="00D51316" w:rsidRPr="00C6708F">
        <w:rPr>
          <w:rFonts w:asciiTheme="minorHAnsi" w:hAnsiTheme="minorHAnsi" w:cstheme="minorHAnsi"/>
        </w:rPr>
        <w:t>active participants in the relevant age band</w:t>
      </w:r>
      <w:r w:rsidR="00D51316">
        <w:rPr>
          <w:rFonts w:asciiTheme="minorHAnsi" w:hAnsiTheme="minorHAnsi" w:cstheme="minorHAnsi"/>
        </w:rPr>
        <w:t>.</w:t>
      </w:r>
    </w:p>
    <w:p w14:paraId="00BF84A0" w14:textId="77777777" w:rsidR="00C36901" w:rsidRPr="00A40863" w:rsidRDefault="00C36901" w:rsidP="00C36901">
      <w:pPr>
        <w:pStyle w:val="Caption"/>
        <w:keepNext/>
        <w:rPr>
          <w:rFonts w:cs="Arial"/>
          <w:caps w:val="0"/>
          <w:sz w:val="18"/>
        </w:rPr>
      </w:pPr>
      <w:bookmarkStart w:id="11" w:name="_Ref92701426"/>
      <w:r w:rsidRPr="00A40863">
        <w:rPr>
          <w:rFonts w:cs="Arial"/>
          <w:caps w:val="0"/>
          <w:sz w:val="18"/>
        </w:rPr>
        <w:t xml:space="preserve">Table </w:t>
      </w:r>
      <w:r w:rsidRPr="00A40863">
        <w:rPr>
          <w:rFonts w:cs="Arial"/>
          <w:caps w:val="0"/>
          <w:sz w:val="18"/>
        </w:rPr>
        <w:fldChar w:fldCharType="begin"/>
      </w:r>
      <w:r w:rsidRPr="00A40863">
        <w:rPr>
          <w:rFonts w:cs="Arial"/>
          <w:caps w:val="0"/>
          <w:sz w:val="18"/>
        </w:rPr>
        <w:instrText xml:space="preserve"> SEQ Table \* ARABIC </w:instrText>
      </w:r>
      <w:r w:rsidRPr="00A40863">
        <w:rPr>
          <w:rFonts w:cs="Arial"/>
          <w:caps w:val="0"/>
          <w:sz w:val="18"/>
        </w:rPr>
        <w:fldChar w:fldCharType="separate"/>
      </w:r>
      <w:r w:rsidR="00A46649" w:rsidRPr="00A40863">
        <w:rPr>
          <w:rFonts w:cs="Arial"/>
          <w:caps w:val="0"/>
          <w:noProof/>
          <w:sz w:val="18"/>
        </w:rPr>
        <w:t>2</w:t>
      </w:r>
      <w:r w:rsidRPr="00A40863">
        <w:rPr>
          <w:rFonts w:cs="Arial"/>
          <w:caps w:val="0"/>
          <w:sz w:val="18"/>
        </w:rPr>
        <w:fldChar w:fldCharType="end"/>
      </w:r>
      <w:bookmarkEnd w:id="11"/>
      <w:r w:rsidRPr="00A40863">
        <w:rPr>
          <w:rFonts w:cs="Arial"/>
          <w:caps w:val="0"/>
          <w:sz w:val="18"/>
        </w:rPr>
        <w:t xml:space="preserve"> </w:t>
      </w:r>
      <w:r w:rsidR="0073482D" w:rsidRPr="00A40863">
        <w:rPr>
          <w:rFonts w:cs="Arial"/>
          <w:caps w:val="0"/>
          <w:sz w:val="18"/>
        </w:rPr>
        <w:t xml:space="preserve">- </w:t>
      </w:r>
      <w:r w:rsidRPr="00A40863">
        <w:rPr>
          <w:rFonts w:cs="Arial"/>
          <w:caps w:val="0"/>
          <w:sz w:val="18"/>
        </w:rPr>
        <w:t xml:space="preserve">Participants subject to restrictive practices </w:t>
      </w:r>
      <w:r w:rsidR="00D51316" w:rsidRPr="00A40863">
        <w:rPr>
          <w:rFonts w:cs="Arial"/>
          <w:caps w:val="0"/>
          <w:sz w:val="18"/>
        </w:rPr>
        <w:t xml:space="preserve">in 2020-21 </w:t>
      </w:r>
      <w:r w:rsidRPr="00A40863">
        <w:rPr>
          <w:rFonts w:cs="Arial"/>
          <w:caps w:val="0"/>
          <w:sz w:val="18"/>
        </w:rPr>
        <w:t>by age band</w:t>
      </w:r>
    </w:p>
    <w:tbl>
      <w:tblPr>
        <w:tblW w:w="3854" w:type="pct"/>
        <w:tblInd w:w="32" w:type="dxa"/>
        <w:tblLook w:val="04A0" w:firstRow="1" w:lastRow="0" w:firstColumn="1" w:lastColumn="0" w:noHBand="0" w:noVBand="1"/>
      </w:tblPr>
      <w:tblGrid>
        <w:gridCol w:w="1259"/>
        <w:gridCol w:w="1629"/>
        <w:gridCol w:w="2049"/>
        <w:gridCol w:w="2048"/>
      </w:tblGrid>
      <w:tr w:rsidR="0038325D" w:rsidRPr="009258C5" w14:paraId="08F66900" w14:textId="77777777" w:rsidTr="00A46649">
        <w:trPr>
          <w:trHeight w:val="1008"/>
        </w:trPr>
        <w:tc>
          <w:tcPr>
            <w:tcW w:w="90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4FAD70"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Participant Age</w:t>
            </w:r>
          </w:p>
        </w:tc>
        <w:tc>
          <w:tcPr>
            <w:tcW w:w="1166" w:type="pct"/>
            <w:tcBorders>
              <w:top w:val="single" w:sz="4" w:space="0" w:color="auto"/>
              <w:left w:val="single" w:sz="4" w:space="0" w:color="auto"/>
              <w:bottom w:val="single" w:sz="4" w:space="0" w:color="auto"/>
              <w:right w:val="dotted" w:sz="4" w:space="0" w:color="auto"/>
            </w:tcBorders>
            <w:shd w:val="clear" w:color="000000" w:fill="D9D9D9"/>
            <w:vAlign w:val="center"/>
            <w:hideMark/>
          </w:tcPr>
          <w:p w14:paraId="61BD8E2F"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Active participants</w:t>
            </w:r>
          </w:p>
        </w:tc>
        <w:tc>
          <w:tcPr>
            <w:tcW w:w="1467" w:type="pct"/>
            <w:tcBorders>
              <w:top w:val="single" w:sz="4" w:space="0" w:color="auto"/>
              <w:left w:val="nil"/>
              <w:bottom w:val="single" w:sz="4" w:space="0" w:color="auto"/>
            </w:tcBorders>
            <w:shd w:val="clear" w:color="000000" w:fill="D9D9D9"/>
            <w:vAlign w:val="center"/>
            <w:hideMark/>
          </w:tcPr>
          <w:p w14:paraId="400486FA" w14:textId="77777777" w:rsidR="0038325D" w:rsidRPr="009258C5" w:rsidRDefault="0038325D" w:rsidP="0038325D">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Number of p</w:t>
            </w:r>
            <w:r w:rsidRPr="009258C5">
              <w:rPr>
                <w:rFonts w:ascii="Calibri" w:eastAsia="Times New Roman" w:hAnsi="Calibri" w:cs="Calibri"/>
                <w:b/>
                <w:bCs/>
                <w:color w:val="000000"/>
                <w:lang w:eastAsia="en-AU"/>
              </w:rPr>
              <w:t xml:space="preserve">articipants subject to </w:t>
            </w:r>
            <w:r>
              <w:rPr>
                <w:rFonts w:ascii="Calibri" w:eastAsia="Times New Roman" w:hAnsi="Calibri" w:cs="Calibri"/>
                <w:b/>
                <w:bCs/>
                <w:color w:val="000000"/>
                <w:lang w:eastAsia="en-AU"/>
              </w:rPr>
              <w:t>URPs</w:t>
            </w:r>
          </w:p>
        </w:tc>
        <w:tc>
          <w:tcPr>
            <w:tcW w:w="1466" w:type="pct"/>
            <w:tcBorders>
              <w:top w:val="single" w:sz="4" w:space="0" w:color="auto"/>
              <w:left w:val="nil"/>
              <w:bottom w:val="single" w:sz="4" w:space="0" w:color="auto"/>
              <w:right w:val="single" w:sz="4" w:space="0" w:color="auto"/>
            </w:tcBorders>
            <w:shd w:val="clear" w:color="000000" w:fill="D9D9D9"/>
            <w:vAlign w:val="center"/>
          </w:tcPr>
          <w:p w14:paraId="08BAFFDD" w14:textId="77777777" w:rsidR="0038325D" w:rsidRPr="009258C5" w:rsidRDefault="0038325D" w:rsidP="00C36901">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Percentage of active participants subject to URPs</w:t>
            </w:r>
          </w:p>
        </w:tc>
      </w:tr>
      <w:tr w:rsidR="0038325D" w:rsidRPr="009258C5" w14:paraId="20183939" w14:textId="77777777" w:rsidTr="00A46649">
        <w:trPr>
          <w:trHeight w:val="288"/>
        </w:trPr>
        <w:tc>
          <w:tcPr>
            <w:tcW w:w="901" w:type="pct"/>
            <w:tcBorders>
              <w:top w:val="single" w:sz="4" w:space="0" w:color="auto"/>
              <w:left w:val="single" w:sz="4" w:space="0" w:color="auto"/>
              <w:bottom w:val="nil"/>
              <w:right w:val="single" w:sz="4" w:space="0" w:color="auto"/>
            </w:tcBorders>
            <w:shd w:val="clear" w:color="auto" w:fill="auto"/>
            <w:noWrap/>
            <w:vAlign w:val="bottom"/>
            <w:hideMark/>
          </w:tcPr>
          <w:p w14:paraId="7026E2D0"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0 to 6</w:t>
            </w:r>
          </w:p>
        </w:tc>
        <w:tc>
          <w:tcPr>
            <w:tcW w:w="1166" w:type="pct"/>
            <w:tcBorders>
              <w:top w:val="single" w:sz="4" w:space="0" w:color="auto"/>
              <w:left w:val="nil"/>
              <w:bottom w:val="nil"/>
              <w:right w:val="dotted" w:sz="4" w:space="0" w:color="auto"/>
            </w:tcBorders>
            <w:shd w:val="clear" w:color="auto" w:fill="auto"/>
            <w:noWrap/>
            <w:vAlign w:val="bottom"/>
            <w:hideMark/>
          </w:tcPr>
          <w:p w14:paraId="1ED84026"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72,258</w:t>
            </w:r>
          </w:p>
        </w:tc>
        <w:tc>
          <w:tcPr>
            <w:tcW w:w="1467" w:type="pct"/>
            <w:tcBorders>
              <w:top w:val="single" w:sz="4" w:space="0" w:color="auto"/>
              <w:left w:val="nil"/>
              <w:bottom w:val="nil"/>
              <w:right w:val="nil"/>
            </w:tcBorders>
            <w:shd w:val="clear" w:color="auto" w:fill="auto"/>
            <w:noWrap/>
            <w:vAlign w:val="bottom"/>
            <w:hideMark/>
          </w:tcPr>
          <w:p w14:paraId="6921AB92"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50</w:t>
            </w:r>
          </w:p>
        </w:tc>
        <w:tc>
          <w:tcPr>
            <w:tcW w:w="1466" w:type="pct"/>
            <w:tcBorders>
              <w:top w:val="single" w:sz="4" w:space="0" w:color="auto"/>
              <w:left w:val="nil"/>
              <w:bottom w:val="nil"/>
              <w:right w:val="single" w:sz="4" w:space="0" w:color="auto"/>
            </w:tcBorders>
            <w:shd w:val="clear" w:color="auto" w:fill="auto"/>
            <w:noWrap/>
            <w:vAlign w:val="bottom"/>
            <w:hideMark/>
          </w:tcPr>
          <w:p w14:paraId="4BC001F7"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0.1%</w:t>
            </w:r>
          </w:p>
        </w:tc>
      </w:tr>
      <w:tr w:rsidR="0038325D" w:rsidRPr="009258C5" w14:paraId="28D8B1DB"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5C58070A"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7 to 14</w:t>
            </w:r>
          </w:p>
        </w:tc>
        <w:tc>
          <w:tcPr>
            <w:tcW w:w="1166" w:type="pct"/>
            <w:tcBorders>
              <w:top w:val="nil"/>
              <w:left w:val="nil"/>
              <w:bottom w:val="nil"/>
              <w:right w:val="dotted" w:sz="4" w:space="0" w:color="auto"/>
            </w:tcBorders>
            <w:shd w:val="clear" w:color="auto" w:fill="auto"/>
            <w:noWrap/>
            <w:vAlign w:val="bottom"/>
            <w:hideMark/>
          </w:tcPr>
          <w:p w14:paraId="3812E17A"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120,612</w:t>
            </w:r>
          </w:p>
        </w:tc>
        <w:tc>
          <w:tcPr>
            <w:tcW w:w="1467" w:type="pct"/>
            <w:tcBorders>
              <w:top w:val="nil"/>
              <w:left w:val="nil"/>
              <w:bottom w:val="nil"/>
              <w:right w:val="nil"/>
            </w:tcBorders>
            <w:shd w:val="clear" w:color="auto" w:fill="auto"/>
            <w:noWrap/>
            <w:vAlign w:val="bottom"/>
            <w:hideMark/>
          </w:tcPr>
          <w:p w14:paraId="4760CCCD"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511</w:t>
            </w:r>
          </w:p>
        </w:tc>
        <w:tc>
          <w:tcPr>
            <w:tcW w:w="1466" w:type="pct"/>
            <w:tcBorders>
              <w:top w:val="nil"/>
              <w:left w:val="nil"/>
              <w:bottom w:val="nil"/>
              <w:right w:val="single" w:sz="4" w:space="0" w:color="auto"/>
            </w:tcBorders>
            <w:shd w:val="clear" w:color="auto" w:fill="auto"/>
            <w:noWrap/>
            <w:vAlign w:val="bottom"/>
            <w:hideMark/>
          </w:tcPr>
          <w:p w14:paraId="679DB940"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0.4%</w:t>
            </w:r>
          </w:p>
        </w:tc>
      </w:tr>
      <w:tr w:rsidR="0038325D" w:rsidRPr="009258C5" w14:paraId="693FA49B"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1C2BDDBA"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15 to 18</w:t>
            </w:r>
          </w:p>
        </w:tc>
        <w:tc>
          <w:tcPr>
            <w:tcW w:w="1166" w:type="pct"/>
            <w:tcBorders>
              <w:top w:val="nil"/>
              <w:left w:val="nil"/>
              <w:bottom w:val="nil"/>
              <w:right w:val="dotted" w:sz="4" w:space="0" w:color="auto"/>
            </w:tcBorders>
            <w:shd w:val="clear" w:color="auto" w:fill="auto"/>
            <w:noWrap/>
            <w:vAlign w:val="bottom"/>
            <w:hideMark/>
          </w:tcPr>
          <w:p w14:paraId="59E5E0C4"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35,821</w:t>
            </w:r>
          </w:p>
        </w:tc>
        <w:tc>
          <w:tcPr>
            <w:tcW w:w="1467" w:type="pct"/>
            <w:tcBorders>
              <w:top w:val="nil"/>
              <w:left w:val="nil"/>
              <w:bottom w:val="nil"/>
              <w:right w:val="nil"/>
            </w:tcBorders>
            <w:shd w:val="clear" w:color="auto" w:fill="auto"/>
            <w:noWrap/>
            <w:vAlign w:val="bottom"/>
            <w:hideMark/>
          </w:tcPr>
          <w:p w14:paraId="62ECA1E2"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496</w:t>
            </w:r>
          </w:p>
        </w:tc>
        <w:tc>
          <w:tcPr>
            <w:tcW w:w="1466" w:type="pct"/>
            <w:tcBorders>
              <w:top w:val="nil"/>
              <w:left w:val="nil"/>
              <w:bottom w:val="nil"/>
              <w:right w:val="single" w:sz="4" w:space="0" w:color="auto"/>
            </w:tcBorders>
            <w:shd w:val="clear" w:color="auto" w:fill="auto"/>
            <w:noWrap/>
            <w:vAlign w:val="bottom"/>
            <w:hideMark/>
          </w:tcPr>
          <w:p w14:paraId="2B0B3D69"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1.4%</w:t>
            </w:r>
          </w:p>
        </w:tc>
      </w:tr>
      <w:tr w:rsidR="0038325D" w:rsidRPr="009258C5" w14:paraId="5C4CD53C"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499AC8BE"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19 to 24</w:t>
            </w:r>
          </w:p>
        </w:tc>
        <w:tc>
          <w:tcPr>
            <w:tcW w:w="1166" w:type="pct"/>
            <w:tcBorders>
              <w:top w:val="nil"/>
              <w:left w:val="nil"/>
              <w:bottom w:val="nil"/>
              <w:right w:val="dotted" w:sz="4" w:space="0" w:color="auto"/>
            </w:tcBorders>
            <w:shd w:val="clear" w:color="auto" w:fill="auto"/>
            <w:noWrap/>
            <w:vAlign w:val="bottom"/>
            <w:hideMark/>
          </w:tcPr>
          <w:p w14:paraId="5213F338"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38,392</w:t>
            </w:r>
          </w:p>
        </w:tc>
        <w:tc>
          <w:tcPr>
            <w:tcW w:w="1467" w:type="pct"/>
            <w:tcBorders>
              <w:top w:val="nil"/>
              <w:left w:val="nil"/>
              <w:bottom w:val="nil"/>
              <w:right w:val="nil"/>
            </w:tcBorders>
            <w:shd w:val="clear" w:color="auto" w:fill="auto"/>
            <w:noWrap/>
            <w:vAlign w:val="bottom"/>
            <w:hideMark/>
          </w:tcPr>
          <w:p w14:paraId="62668F25"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1,008</w:t>
            </w:r>
          </w:p>
        </w:tc>
        <w:tc>
          <w:tcPr>
            <w:tcW w:w="1466" w:type="pct"/>
            <w:tcBorders>
              <w:top w:val="nil"/>
              <w:left w:val="nil"/>
              <w:bottom w:val="nil"/>
              <w:right w:val="single" w:sz="4" w:space="0" w:color="auto"/>
            </w:tcBorders>
            <w:shd w:val="clear" w:color="auto" w:fill="auto"/>
            <w:noWrap/>
            <w:vAlign w:val="bottom"/>
            <w:hideMark/>
          </w:tcPr>
          <w:p w14:paraId="138E7C8C"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2.6%</w:t>
            </w:r>
          </w:p>
        </w:tc>
      </w:tr>
      <w:tr w:rsidR="0038325D" w:rsidRPr="009258C5" w14:paraId="2D177209"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0A9D387D"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25 to 34</w:t>
            </w:r>
          </w:p>
        </w:tc>
        <w:tc>
          <w:tcPr>
            <w:tcW w:w="1166" w:type="pct"/>
            <w:tcBorders>
              <w:top w:val="nil"/>
              <w:left w:val="nil"/>
              <w:bottom w:val="nil"/>
              <w:right w:val="dotted" w:sz="4" w:space="0" w:color="auto"/>
            </w:tcBorders>
            <w:shd w:val="clear" w:color="auto" w:fill="auto"/>
            <w:noWrap/>
            <w:vAlign w:val="bottom"/>
            <w:hideMark/>
          </w:tcPr>
          <w:p w14:paraId="4C8CD725"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41,565</w:t>
            </w:r>
          </w:p>
        </w:tc>
        <w:tc>
          <w:tcPr>
            <w:tcW w:w="1467" w:type="pct"/>
            <w:tcBorders>
              <w:top w:val="nil"/>
              <w:left w:val="nil"/>
              <w:bottom w:val="nil"/>
              <w:right w:val="nil"/>
            </w:tcBorders>
            <w:shd w:val="clear" w:color="auto" w:fill="auto"/>
            <w:noWrap/>
            <w:vAlign w:val="bottom"/>
            <w:hideMark/>
          </w:tcPr>
          <w:p w14:paraId="52268812"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1,216</w:t>
            </w:r>
          </w:p>
        </w:tc>
        <w:tc>
          <w:tcPr>
            <w:tcW w:w="1466" w:type="pct"/>
            <w:tcBorders>
              <w:top w:val="nil"/>
              <w:left w:val="nil"/>
              <w:bottom w:val="nil"/>
              <w:right w:val="single" w:sz="4" w:space="0" w:color="auto"/>
            </w:tcBorders>
            <w:shd w:val="clear" w:color="auto" w:fill="auto"/>
            <w:noWrap/>
            <w:vAlign w:val="bottom"/>
            <w:hideMark/>
          </w:tcPr>
          <w:p w14:paraId="2B3F0E61"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2.9%</w:t>
            </w:r>
          </w:p>
        </w:tc>
      </w:tr>
      <w:tr w:rsidR="0038325D" w:rsidRPr="009258C5" w14:paraId="11539535"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777E9217"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35 to 44</w:t>
            </w:r>
          </w:p>
        </w:tc>
        <w:tc>
          <w:tcPr>
            <w:tcW w:w="1166" w:type="pct"/>
            <w:tcBorders>
              <w:top w:val="nil"/>
              <w:left w:val="nil"/>
              <w:bottom w:val="nil"/>
              <w:right w:val="dotted" w:sz="4" w:space="0" w:color="auto"/>
            </w:tcBorders>
            <w:shd w:val="clear" w:color="auto" w:fill="auto"/>
            <w:noWrap/>
            <w:vAlign w:val="bottom"/>
            <w:hideMark/>
          </w:tcPr>
          <w:p w14:paraId="4DB77FDB"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38,558</w:t>
            </w:r>
          </w:p>
        </w:tc>
        <w:tc>
          <w:tcPr>
            <w:tcW w:w="1467" w:type="pct"/>
            <w:tcBorders>
              <w:top w:val="nil"/>
              <w:left w:val="nil"/>
              <w:bottom w:val="nil"/>
              <w:right w:val="nil"/>
            </w:tcBorders>
            <w:shd w:val="clear" w:color="auto" w:fill="auto"/>
            <w:noWrap/>
            <w:vAlign w:val="bottom"/>
            <w:hideMark/>
          </w:tcPr>
          <w:p w14:paraId="13B0C602"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902</w:t>
            </w:r>
          </w:p>
        </w:tc>
        <w:tc>
          <w:tcPr>
            <w:tcW w:w="1466" w:type="pct"/>
            <w:tcBorders>
              <w:top w:val="nil"/>
              <w:left w:val="nil"/>
              <w:bottom w:val="nil"/>
              <w:right w:val="single" w:sz="4" w:space="0" w:color="auto"/>
            </w:tcBorders>
            <w:shd w:val="clear" w:color="auto" w:fill="auto"/>
            <w:noWrap/>
            <w:vAlign w:val="bottom"/>
            <w:hideMark/>
          </w:tcPr>
          <w:p w14:paraId="7FA8FF35"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2.3%</w:t>
            </w:r>
          </w:p>
        </w:tc>
      </w:tr>
      <w:tr w:rsidR="0038325D" w:rsidRPr="009258C5" w14:paraId="3FE7D424"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4E8FDCF5"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45 to 54</w:t>
            </w:r>
          </w:p>
        </w:tc>
        <w:tc>
          <w:tcPr>
            <w:tcW w:w="1166" w:type="pct"/>
            <w:tcBorders>
              <w:top w:val="nil"/>
              <w:left w:val="nil"/>
              <w:bottom w:val="nil"/>
              <w:right w:val="dotted" w:sz="4" w:space="0" w:color="auto"/>
            </w:tcBorders>
            <w:shd w:val="clear" w:color="auto" w:fill="auto"/>
            <w:noWrap/>
            <w:vAlign w:val="bottom"/>
            <w:hideMark/>
          </w:tcPr>
          <w:p w14:paraId="001C8085"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47,263</w:t>
            </w:r>
          </w:p>
        </w:tc>
        <w:tc>
          <w:tcPr>
            <w:tcW w:w="1467" w:type="pct"/>
            <w:tcBorders>
              <w:top w:val="nil"/>
              <w:left w:val="nil"/>
              <w:bottom w:val="nil"/>
              <w:right w:val="nil"/>
            </w:tcBorders>
            <w:shd w:val="clear" w:color="auto" w:fill="auto"/>
            <w:noWrap/>
            <w:vAlign w:val="bottom"/>
            <w:hideMark/>
          </w:tcPr>
          <w:p w14:paraId="607B15CD"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1,078</w:t>
            </w:r>
          </w:p>
        </w:tc>
        <w:tc>
          <w:tcPr>
            <w:tcW w:w="1466" w:type="pct"/>
            <w:tcBorders>
              <w:top w:val="nil"/>
              <w:left w:val="nil"/>
              <w:bottom w:val="nil"/>
              <w:right w:val="single" w:sz="4" w:space="0" w:color="auto"/>
            </w:tcBorders>
            <w:shd w:val="clear" w:color="auto" w:fill="auto"/>
            <w:noWrap/>
            <w:vAlign w:val="bottom"/>
            <w:hideMark/>
          </w:tcPr>
          <w:p w14:paraId="6D004F1C"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2.3%</w:t>
            </w:r>
          </w:p>
        </w:tc>
      </w:tr>
      <w:tr w:rsidR="0038325D" w:rsidRPr="009258C5" w14:paraId="157E89C5"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3BC2435E"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55 to 64</w:t>
            </w:r>
          </w:p>
        </w:tc>
        <w:tc>
          <w:tcPr>
            <w:tcW w:w="1166" w:type="pct"/>
            <w:tcBorders>
              <w:top w:val="nil"/>
              <w:left w:val="nil"/>
              <w:bottom w:val="nil"/>
              <w:right w:val="dotted" w:sz="4" w:space="0" w:color="auto"/>
            </w:tcBorders>
            <w:shd w:val="clear" w:color="auto" w:fill="auto"/>
            <w:noWrap/>
            <w:vAlign w:val="bottom"/>
            <w:hideMark/>
          </w:tcPr>
          <w:p w14:paraId="269F4245"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55,569</w:t>
            </w:r>
          </w:p>
        </w:tc>
        <w:tc>
          <w:tcPr>
            <w:tcW w:w="1467" w:type="pct"/>
            <w:tcBorders>
              <w:top w:val="nil"/>
              <w:left w:val="nil"/>
              <w:bottom w:val="nil"/>
              <w:right w:val="nil"/>
            </w:tcBorders>
            <w:shd w:val="clear" w:color="auto" w:fill="auto"/>
            <w:noWrap/>
            <w:vAlign w:val="bottom"/>
            <w:hideMark/>
          </w:tcPr>
          <w:p w14:paraId="46BE11BB"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1,028</w:t>
            </w:r>
          </w:p>
        </w:tc>
        <w:tc>
          <w:tcPr>
            <w:tcW w:w="1466" w:type="pct"/>
            <w:tcBorders>
              <w:top w:val="nil"/>
              <w:left w:val="nil"/>
              <w:bottom w:val="nil"/>
              <w:right w:val="single" w:sz="4" w:space="0" w:color="auto"/>
            </w:tcBorders>
            <w:shd w:val="clear" w:color="auto" w:fill="auto"/>
            <w:noWrap/>
            <w:vAlign w:val="bottom"/>
            <w:hideMark/>
          </w:tcPr>
          <w:p w14:paraId="04BB0369"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1.8%</w:t>
            </w:r>
          </w:p>
        </w:tc>
      </w:tr>
      <w:tr w:rsidR="0038325D" w:rsidRPr="009258C5" w14:paraId="6E345446" w14:textId="77777777" w:rsidTr="00A46649">
        <w:trPr>
          <w:trHeight w:val="288"/>
        </w:trPr>
        <w:tc>
          <w:tcPr>
            <w:tcW w:w="901" w:type="pct"/>
            <w:tcBorders>
              <w:top w:val="nil"/>
              <w:left w:val="single" w:sz="4" w:space="0" w:color="auto"/>
              <w:bottom w:val="nil"/>
              <w:right w:val="single" w:sz="4" w:space="0" w:color="auto"/>
            </w:tcBorders>
            <w:shd w:val="clear" w:color="auto" w:fill="auto"/>
            <w:noWrap/>
            <w:vAlign w:val="bottom"/>
            <w:hideMark/>
          </w:tcPr>
          <w:p w14:paraId="32780E01" w14:textId="77777777" w:rsidR="0038325D" w:rsidRPr="009258C5" w:rsidRDefault="0038325D"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65+</w:t>
            </w:r>
          </w:p>
        </w:tc>
        <w:tc>
          <w:tcPr>
            <w:tcW w:w="1166" w:type="pct"/>
            <w:tcBorders>
              <w:top w:val="nil"/>
              <w:left w:val="nil"/>
              <w:bottom w:val="nil"/>
              <w:right w:val="dotted" w:sz="4" w:space="0" w:color="auto"/>
            </w:tcBorders>
            <w:shd w:val="clear" w:color="auto" w:fill="auto"/>
            <w:noWrap/>
            <w:vAlign w:val="bottom"/>
            <w:hideMark/>
          </w:tcPr>
          <w:p w14:paraId="42BE021F"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16,581</w:t>
            </w:r>
          </w:p>
        </w:tc>
        <w:tc>
          <w:tcPr>
            <w:tcW w:w="1467" w:type="pct"/>
            <w:tcBorders>
              <w:top w:val="nil"/>
              <w:left w:val="nil"/>
              <w:bottom w:val="nil"/>
              <w:right w:val="nil"/>
            </w:tcBorders>
            <w:shd w:val="clear" w:color="auto" w:fill="auto"/>
            <w:noWrap/>
            <w:vAlign w:val="bottom"/>
            <w:hideMark/>
          </w:tcPr>
          <w:p w14:paraId="0E643D3A"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333</w:t>
            </w:r>
          </w:p>
        </w:tc>
        <w:tc>
          <w:tcPr>
            <w:tcW w:w="1466" w:type="pct"/>
            <w:tcBorders>
              <w:top w:val="nil"/>
              <w:left w:val="nil"/>
              <w:bottom w:val="nil"/>
              <w:right w:val="single" w:sz="4" w:space="0" w:color="auto"/>
            </w:tcBorders>
            <w:shd w:val="clear" w:color="auto" w:fill="auto"/>
            <w:noWrap/>
            <w:vAlign w:val="bottom"/>
            <w:hideMark/>
          </w:tcPr>
          <w:p w14:paraId="368D8501"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2.0%</w:t>
            </w:r>
          </w:p>
        </w:tc>
      </w:tr>
      <w:tr w:rsidR="0038325D" w:rsidRPr="009258C5" w14:paraId="50725983" w14:textId="77777777" w:rsidTr="00A46649">
        <w:trPr>
          <w:trHeight w:val="288"/>
        </w:trPr>
        <w:tc>
          <w:tcPr>
            <w:tcW w:w="9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E442" w14:textId="77777777" w:rsidR="0038325D" w:rsidRPr="009258C5" w:rsidRDefault="0038325D" w:rsidP="0038325D">
            <w:pPr>
              <w:spacing w:after="0" w:line="240" w:lineRule="auto"/>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Total</w:t>
            </w:r>
          </w:p>
        </w:tc>
        <w:tc>
          <w:tcPr>
            <w:tcW w:w="1166" w:type="pct"/>
            <w:tcBorders>
              <w:top w:val="single" w:sz="4" w:space="0" w:color="auto"/>
              <w:left w:val="nil"/>
              <w:bottom w:val="single" w:sz="4" w:space="0" w:color="auto"/>
              <w:right w:val="dotted" w:sz="4" w:space="0" w:color="auto"/>
            </w:tcBorders>
            <w:shd w:val="clear" w:color="auto" w:fill="auto"/>
            <w:noWrap/>
            <w:vAlign w:val="bottom"/>
            <w:hideMark/>
          </w:tcPr>
          <w:p w14:paraId="3FEEA84B"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466,619</w:t>
            </w:r>
          </w:p>
        </w:tc>
        <w:tc>
          <w:tcPr>
            <w:tcW w:w="1467" w:type="pct"/>
            <w:tcBorders>
              <w:top w:val="single" w:sz="4" w:space="0" w:color="auto"/>
              <w:left w:val="nil"/>
              <w:bottom w:val="single" w:sz="4" w:space="0" w:color="auto"/>
              <w:right w:val="nil"/>
            </w:tcBorders>
            <w:shd w:val="clear" w:color="auto" w:fill="auto"/>
            <w:noWrap/>
            <w:vAlign w:val="bottom"/>
            <w:hideMark/>
          </w:tcPr>
          <w:p w14:paraId="41BB29CD"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6,622</w:t>
            </w:r>
          </w:p>
        </w:tc>
        <w:tc>
          <w:tcPr>
            <w:tcW w:w="1466" w:type="pct"/>
            <w:tcBorders>
              <w:top w:val="single" w:sz="4" w:space="0" w:color="auto"/>
              <w:left w:val="nil"/>
              <w:bottom w:val="single" w:sz="4" w:space="0" w:color="auto"/>
              <w:right w:val="single" w:sz="4" w:space="0" w:color="auto"/>
            </w:tcBorders>
            <w:shd w:val="clear" w:color="auto" w:fill="auto"/>
            <w:noWrap/>
            <w:vAlign w:val="bottom"/>
            <w:hideMark/>
          </w:tcPr>
          <w:p w14:paraId="443F6E2C" w14:textId="77777777" w:rsidR="0038325D" w:rsidRPr="009258C5" w:rsidRDefault="0038325D"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1.4%</w:t>
            </w:r>
          </w:p>
        </w:tc>
      </w:tr>
    </w:tbl>
    <w:p w14:paraId="4DE0D406" w14:textId="77777777" w:rsidR="00C36901" w:rsidRDefault="00C36901" w:rsidP="00C36901"/>
    <w:p w14:paraId="4532D76D" w14:textId="77777777" w:rsidR="00D51316" w:rsidRDefault="00D51316" w:rsidP="00D51316">
      <w:pPr>
        <w:rPr>
          <w:rFonts w:asciiTheme="minorHAnsi" w:hAnsiTheme="minorHAnsi" w:cstheme="minorHAnsi"/>
        </w:rPr>
      </w:pPr>
      <w:r>
        <w:rPr>
          <w:rFonts w:asciiTheme="minorHAnsi" w:hAnsiTheme="minorHAnsi" w:cstheme="minorHAnsi"/>
        </w:rPr>
        <w:lastRenderedPageBreak/>
        <w:t>T</w:t>
      </w:r>
      <w:r w:rsidRPr="00D51316">
        <w:rPr>
          <w:rFonts w:asciiTheme="minorHAnsi" w:hAnsiTheme="minorHAnsi" w:cstheme="minorHAnsi"/>
        </w:rPr>
        <w:t>he lowest rate</w:t>
      </w:r>
      <w:r>
        <w:rPr>
          <w:rFonts w:asciiTheme="minorHAnsi" w:hAnsiTheme="minorHAnsi" w:cstheme="minorHAnsi"/>
        </w:rPr>
        <w:t>s</w:t>
      </w:r>
      <w:r w:rsidRPr="00D51316">
        <w:rPr>
          <w:rFonts w:asciiTheme="minorHAnsi" w:hAnsiTheme="minorHAnsi" w:cstheme="minorHAnsi"/>
        </w:rPr>
        <w:t xml:space="preserve"> of active participants subject to URPs in 2020-21 </w:t>
      </w:r>
      <w:r>
        <w:rPr>
          <w:rFonts w:asciiTheme="minorHAnsi" w:hAnsiTheme="minorHAnsi" w:cstheme="minorHAnsi"/>
        </w:rPr>
        <w:t>were for participants who were 14 years of age or younger (0.1% for 0 to 6 years of age and 0.4% for 7 to 14 years of age)</w:t>
      </w:r>
      <w:r w:rsidRPr="00D51316">
        <w:rPr>
          <w:rFonts w:asciiTheme="minorHAnsi" w:hAnsiTheme="minorHAnsi" w:cstheme="minorHAnsi"/>
        </w:rPr>
        <w:t xml:space="preserve">. The highest rate of active participants subject to URPs in 2020-21 was </w:t>
      </w:r>
      <w:r w:rsidR="00193444">
        <w:rPr>
          <w:rFonts w:asciiTheme="minorHAnsi" w:hAnsiTheme="minorHAnsi" w:cstheme="minorHAnsi"/>
        </w:rPr>
        <w:t xml:space="preserve">for participants who were 25 to 34 years of age. </w:t>
      </w:r>
    </w:p>
    <w:p w14:paraId="4A7F43FE" w14:textId="77777777" w:rsidR="007871A9" w:rsidRPr="00D51316" w:rsidRDefault="007871A9" w:rsidP="00D51316">
      <w:pPr>
        <w:rPr>
          <w:rFonts w:asciiTheme="minorHAnsi" w:hAnsiTheme="minorHAnsi" w:cstheme="minorHAnsi"/>
        </w:rPr>
      </w:pPr>
    </w:p>
    <w:p w14:paraId="0F60477C" w14:textId="77777777" w:rsidR="00D51316" w:rsidRDefault="00D51316" w:rsidP="00D51316">
      <w:pPr>
        <w:pStyle w:val="Heading2"/>
      </w:pPr>
      <w:r>
        <w:t>Participants subject to URPs by primary disability</w:t>
      </w:r>
    </w:p>
    <w:p w14:paraId="7BA31C36" w14:textId="77777777" w:rsidR="00113BBB" w:rsidRPr="002041AF" w:rsidRDefault="0073482D" w:rsidP="005B3540">
      <w:r w:rsidRPr="005B3540">
        <w:rPr>
          <w:rFonts w:asciiTheme="minorHAnsi" w:hAnsiTheme="minorHAnsi" w:cstheme="minorHAnsi"/>
        </w:rPr>
        <w:fldChar w:fldCharType="begin"/>
      </w:r>
      <w:r w:rsidRPr="005B3540">
        <w:rPr>
          <w:rFonts w:asciiTheme="minorHAnsi" w:hAnsiTheme="minorHAnsi" w:cstheme="minorHAnsi"/>
        </w:rPr>
        <w:instrText xml:space="preserve"> REF _Ref92701578 \h </w:instrText>
      </w:r>
      <w:r w:rsidRPr="00EF3E5B">
        <w:rPr>
          <w:rFonts w:asciiTheme="minorHAnsi" w:hAnsiTheme="minorHAnsi" w:cstheme="minorHAnsi"/>
        </w:rPr>
        <w:instrText xml:space="preserve"> \* MERGEFORMAT </w:instrText>
      </w:r>
      <w:r w:rsidRPr="005B3540">
        <w:rPr>
          <w:rFonts w:asciiTheme="minorHAnsi" w:hAnsiTheme="minorHAnsi" w:cstheme="minorHAnsi"/>
        </w:rPr>
      </w:r>
      <w:r w:rsidRPr="005B3540">
        <w:rPr>
          <w:rFonts w:asciiTheme="minorHAnsi" w:hAnsiTheme="minorHAnsi" w:cstheme="minorHAnsi"/>
        </w:rPr>
        <w:fldChar w:fldCharType="separate"/>
      </w:r>
      <w:r w:rsidRPr="005B3540">
        <w:rPr>
          <w:rFonts w:asciiTheme="minorHAnsi" w:hAnsiTheme="minorHAnsi" w:cstheme="minorHAnsi"/>
        </w:rPr>
        <w:t>Table 3</w:t>
      </w:r>
      <w:r w:rsidRPr="005B3540">
        <w:rPr>
          <w:rFonts w:asciiTheme="minorHAnsi" w:hAnsiTheme="minorHAnsi" w:cstheme="minorHAnsi"/>
        </w:rPr>
        <w:fldChar w:fldCharType="end"/>
      </w:r>
      <w:r w:rsidRPr="005B3540">
        <w:rPr>
          <w:rFonts w:asciiTheme="minorHAnsi" w:hAnsiTheme="minorHAnsi" w:cstheme="minorHAnsi"/>
        </w:rPr>
        <w:t xml:space="preserve"> </w:t>
      </w:r>
      <w:r w:rsidR="00193444" w:rsidRPr="00EF3E5B">
        <w:rPr>
          <w:rFonts w:asciiTheme="minorHAnsi" w:hAnsiTheme="minorHAnsi" w:cstheme="minorHAnsi"/>
        </w:rPr>
        <w:t>below</w:t>
      </w:r>
      <w:r w:rsidR="00193444">
        <w:rPr>
          <w:rFonts w:asciiTheme="minorHAnsi" w:hAnsiTheme="minorHAnsi" w:cstheme="minorHAnsi"/>
        </w:rPr>
        <w:t xml:space="preserve"> analyses the number of participants subject to URPs in 2020-21 by primary disability </w:t>
      </w:r>
      <w:r w:rsidR="00193444" w:rsidRPr="00C6708F">
        <w:rPr>
          <w:rFonts w:asciiTheme="minorHAnsi" w:hAnsiTheme="minorHAnsi" w:cstheme="minorHAnsi"/>
        </w:rPr>
        <w:t xml:space="preserve">and as a percentage of the total number </w:t>
      </w:r>
      <w:r w:rsidR="00193444">
        <w:rPr>
          <w:rFonts w:asciiTheme="minorHAnsi" w:hAnsiTheme="minorHAnsi" w:cstheme="minorHAnsi"/>
        </w:rPr>
        <w:t xml:space="preserve">of </w:t>
      </w:r>
      <w:r w:rsidR="00193444" w:rsidRPr="00C6708F">
        <w:rPr>
          <w:rFonts w:asciiTheme="minorHAnsi" w:hAnsiTheme="minorHAnsi" w:cstheme="minorHAnsi"/>
        </w:rPr>
        <w:t xml:space="preserve">active participants </w:t>
      </w:r>
      <w:r w:rsidR="00193444">
        <w:rPr>
          <w:rFonts w:asciiTheme="minorHAnsi" w:hAnsiTheme="minorHAnsi" w:cstheme="minorHAnsi"/>
        </w:rPr>
        <w:t>with the relevant primary disability.</w:t>
      </w:r>
    </w:p>
    <w:p w14:paraId="3B7E3E5A" w14:textId="77777777" w:rsidR="0073482D" w:rsidRPr="00A40863" w:rsidRDefault="0073482D" w:rsidP="005B3540">
      <w:pPr>
        <w:pStyle w:val="Caption"/>
        <w:keepNext/>
        <w:rPr>
          <w:rFonts w:cs="Arial"/>
        </w:rPr>
      </w:pPr>
      <w:bookmarkStart w:id="12" w:name="_Ref92701578"/>
      <w:r w:rsidRPr="00A40863">
        <w:rPr>
          <w:rFonts w:cs="Arial"/>
          <w:caps w:val="0"/>
          <w:sz w:val="18"/>
        </w:rPr>
        <w:t xml:space="preserve">Table </w:t>
      </w:r>
      <w:r w:rsidRPr="00A40863">
        <w:rPr>
          <w:rFonts w:cs="Arial"/>
          <w:sz w:val="18"/>
        </w:rPr>
        <w:fldChar w:fldCharType="begin"/>
      </w:r>
      <w:r w:rsidRPr="00A40863">
        <w:rPr>
          <w:rFonts w:cs="Arial"/>
          <w:sz w:val="18"/>
        </w:rPr>
        <w:instrText xml:space="preserve"> SEQ Table \* ARABIC </w:instrText>
      </w:r>
      <w:r w:rsidRPr="00A40863">
        <w:rPr>
          <w:rFonts w:cs="Arial"/>
          <w:sz w:val="18"/>
        </w:rPr>
        <w:fldChar w:fldCharType="separate"/>
      </w:r>
      <w:r w:rsidR="005E3174" w:rsidRPr="00A40863">
        <w:rPr>
          <w:rFonts w:cs="Arial"/>
          <w:noProof/>
          <w:sz w:val="18"/>
        </w:rPr>
        <w:t>3</w:t>
      </w:r>
      <w:r w:rsidRPr="00A40863">
        <w:rPr>
          <w:rFonts w:cs="Arial"/>
          <w:sz w:val="18"/>
        </w:rPr>
        <w:fldChar w:fldCharType="end"/>
      </w:r>
      <w:bookmarkEnd w:id="12"/>
      <w:r w:rsidRPr="00A40863">
        <w:rPr>
          <w:rFonts w:cs="Arial"/>
          <w:sz w:val="18"/>
        </w:rPr>
        <w:t xml:space="preserve"> - </w:t>
      </w:r>
      <w:r w:rsidRPr="00A40863">
        <w:rPr>
          <w:rFonts w:cs="Arial"/>
          <w:caps w:val="0"/>
          <w:sz w:val="18"/>
        </w:rPr>
        <w:t>Participants subject to URPs in 2020-21 by primary disability</w:t>
      </w:r>
    </w:p>
    <w:tbl>
      <w:tblPr>
        <w:tblW w:w="4276" w:type="pct"/>
        <w:tblLook w:val="04A0" w:firstRow="1" w:lastRow="0" w:firstColumn="1" w:lastColumn="0" w:noHBand="0" w:noVBand="1"/>
      </w:tblPr>
      <w:tblGrid>
        <w:gridCol w:w="2807"/>
        <w:gridCol w:w="1350"/>
        <w:gridCol w:w="981"/>
        <w:gridCol w:w="2612"/>
      </w:tblGrid>
      <w:tr w:rsidR="00293EF2" w:rsidRPr="009258C5" w14:paraId="35B4215B" w14:textId="77777777" w:rsidTr="005B3540">
        <w:trPr>
          <w:trHeight w:val="900"/>
        </w:trPr>
        <w:tc>
          <w:tcPr>
            <w:tcW w:w="1811"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52ACA8C" w14:textId="77777777" w:rsidR="00293EF2" w:rsidRPr="009258C5" w:rsidRDefault="00293EF2"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Primary Disability</w:t>
            </w:r>
          </w:p>
        </w:tc>
        <w:tc>
          <w:tcPr>
            <w:tcW w:w="871" w:type="pct"/>
            <w:vMerge w:val="restart"/>
            <w:tcBorders>
              <w:top w:val="single" w:sz="4" w:space="0" w:color="auto"/>
              <w:left w:val="single" w:sz="4" w:space="0" w:color="auto"/>
              <w:bottom w:val="single" w:sz="4" w:space="0" w:color="000000"/>
              <w:right w:val="dotted" w:sz="4" w:space="0" w:color="auto"/>
            </w:tcBorders>
            <w:shd w:val="clear" w:color="000000" w:fill="D9D9D9"/>
            <w:vAlign w:val="center"/>
            <w:hideMark/>
          </w:tcPr>
          <w:p w14:paraId="05A9647C" w14:textId="77777777" w:rsidR="00293EF2" w:rsidRPr="009258C5" w:rsidRDefault="00293EF2"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Active participants</w:t>
            </w:r>
          </w:p>
        </w:tc>
        <w:tc>
          <w:tcPr>
            <w:tcW w:w="2318" w:type="pct"/>
            <w:gridSpan w:val="2"/>
            <w:tcBorders>
              <w:top w:val="single" w:sz="4" w:space="0" w:color="auto"/>
              <w:left w:val="nil"/>
              <w:bottom w:val="nil"/>
              <w:right w:val="dotted" w:sz="4" w:space="0" w:color="000000"/>
            </w:tcBorders>
            <w:shd w:val="clear" w:color="000000" w:fill="D9D9D9"/>
            <w:vAlign w:val="center"/>
            <w:hideMark/>
          </w:tcPr>
          <w:p w14:paraId="4E8093D5" w14:textId="77777777" w:rsidR="00293EF2" w:rsidRPr="009258C5" w:rsidRDefault="00293EF2" w:rsidP="00E7233A">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Participants subject</w:t>
            </w:r>
            <w:r w:rsidRPr="009258C5">
              <w:rPr>
                <w:rFonts w:ascii="Calibri" w:eastAsia="Times New Roman" w:hAnsi="Calibri" w:cs="Calibri"/>
                <w:b/>
                <w:bCs/>
                <w:color w:val="000000"/>
                <w:lang w:eastAsia="en-AU"/>
              </w:rPr>
              <w:t xml:space="preserve"> to </w:t>
            </w:r>
            <w:r>
              <w:rPr>
                <w:rFonts w:ascii="Calibri" w:eastAsia="Times New Roman" w:hAnsi="Calibri" w:cs="Calibri"/>
                <w:b/>
                <w:bCs/>
                <w:color w:val="000000"/>
                <w:lang w:eastAsia="en-AU"/>
              </w:rPr>
              <w:t>URPs</w:t>
            </w:r>
          </w:p>
        </w:tc>
      </w:tr>
      <w:tr w:rsidR="00293EF2" w:rsidRPr="009258C5" w14:paraId="29C61F6B" w14:textId="77777777" w:rsidTr="005B3540">
        <w:trPr>
          <w:trHeight w:val="288"/>
        </w:trPr>
        <w:tc>
          <w:tcPr>
            <w:tcW w:w="1811" w:type="pct"/>
            <w:vMerge/>
            <w:tcBorders>
              <w:top w:val="single" w:sz="4" w:space="0" w:color="auto"/>
              <w:left w:val="single" w:sz="4" w:space="0" w:color="auto"/>
              <w:bottom w:val="single" w:sz="4" w:space="0" w:color="000000"/>
              <w:right w:val="single" w:sz="4" w:space="0" w:color="auto"/>
            </w:tcBorders>
            <w:vAlign w:val="center"/>
            <w:hideMark/>
          </w:tcPr>
          <w:p w14:paraId="5A7064C4" w14:textId="77777777" w:rsidR="00293EF2" w:rsidRPr="009258C5" w:rsidRDefault="00293EF2" w:rsidP="0038325D">
            <w:pPr>
              <w:spacing w:after="0" w:line="240" w:lineRule="auto"/>
              <w:rPr>
                <w:rFonts w:ascii="Calibri" w:eastAsia="Times New Roman" w:hAnsi="Calibri" w:cs="Calibri"/>
                <w:b/>
                <w:bCs/>
                <w:color w:val="000000"/>
                <w:lang w:eastAsia="en-AU"/>
              </w:rPr>
            </w:pPr>
          </w:p>
        </w:tc>
        <w:tc>
          <w:tcPr>
            <w:tcW w:w="871" w:type="pct"/>
            <w:vMerge/>
            <w:tcBorders>
              <w:top w:val="single" w:sz="4" w:space="0" w:color="auto"/>
              <w:left w:val="single" w:sz="4" w:space="0" w:color="auto"/>
              <w:bottom w:val="single" w:sz="4" w:space="0" w:color="000000"/>
              <w:right w:val="dotted" w:sz="4" w:space="0" w:color="auto"/>
            </w:tcBorders>
            <w:vAlign w:val="center"/>
            <w:hideMark/>
          </w:tcPr>
          <w:p w14:paraId="24D6A2B3" w14:textId="77777777" w:rsidR="00293EF2" w:rsidRPr="009258C5" w:rsidRDefault="00293EF2" w:rsidP="0038325D">
            <w:pPr>
              <w:spacing w:after="0" w:line="240" w:lineRule="auto"/>
              <w:rPr>
                <w:rFonts w:ascii="Calibri" w:eastAsia="Times New Roman" w:hAnsi="Calibri" w:cs="Calibri"/>
                <w:b/>
                <w:bCs/>
                <w:color w:val="000000"/>
                <w:lang w:eastAsia="en-AU"/>
              </w:rPr>
            </w:pPr>
          </w:p>
        </w:tc>
        <w:tc>
          <w:tcPr>
            <w:tcW w:w="633" w:type="pct"/>
            <w:tcBorders>
              <w:top w:val="nil"/>
              <w:left w:val="nil"/>
              <w:bottom w:val="single" w:sz="4" w:space="0" w:color="auto"/>
              <w:right w:val="nil"/>
            </w:tcBorders>
            <w:shd w:val="clear" w:color="000000" w:fill="D9D9D9"/>
            <w:noWrap/>
            <w:vAlign w:val="center"/>
            <w:hideMark/>
          </w:tcPr>
          <w:p w14:paraId="592C6B4B" w14:textId="77777777" w:rsidR="00293EF2" w:rsidRPr="009258C5" w:rsidRDefault="00293EF2"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w:t>
            </w:r>
          </w:p>
        </w:tc>
        <w:tc>
          <w:tcPr>
            <w:tcW w:w="1684" w:type="pct"/>
            <w:tcBorders>
              <w:top w:val="nil"/>
              <w:left w:val="nil"/>
              <w:bottom w:val="single" w:sz="4" w:space="0" w:color="auto"/>
              <w:right w:val="dotted" w:sz="4" w:space="0" w:color="auto"/>
            </w:tcBorders>
            <w:shd w:val="clear" w:color="000000" w:fill="D9D9D9"/>
            <w:noWrap/>
            <w:vAlign w:val="center"/>
            <w:hideMark/>
          </w:tcPr>
          <w:p w14:paraId="181CF3EA" w14:textId="77777777" w:rsidR="00293EF2" w:rsidRPr="009258C5" w:rsidRDefault="00293EF2" w:rsidP="0038325D">
            <w:pPr>
              <w:spacing w:after="0" w:line="240" w:lineRule="auto"/>
              <w:jc w:val="center"/>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w:t>
            </w:r>
          </w:p>
        </w:tc>
      </w:tr>
      <w:tr w:rsidR="00293EF2" w:rsidRPr="009258C5" w14:paraId="7EB2EBA7"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30B00352" w14:textId="77777777" w:rsidR="00293EF2" w:rsidRPr="009258C5" w:rsidRDefault="00293EF2" w:rsidP="00E7233A">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A</w:t>
            </w:r>
            <w:r>
              <w:rPr>
                <w:rFonts w:ascii="Calibri" w:eastAsia="Times New Roman" w:hAnsi="Calibri" w:cs="Calibri"/>
                <w:color w:val="000000"/>
                <w:lang w:eastAsia="en-AU"/>
              </w:rPr>
              <w:t xml:space="preserve">cquired brain injury </w:t>
            </w:r>
          </w:p>
        </w:tc>
        <w:tc>
          <w:tcPr>
            <w:tcW w:w="871" w:type="pct"/>
            <w:tcBorders>
              <w:top w:val="nil"/>
              <w:left w:val="nil"/>
              <w:bottom w:val="nil"/>
              <w:right w:val="dotted" w:sz="4" w:space="0" w:color="auto"/>
            </w:tcBorders>
            <w:shd w:val="clear" w:color="auto" w:fill="auto"/>
            <w:noWrap/>
            <w:vAlign w:val="bottom"/>
            <w:hideMark/>
          </w:tcPr>
          <w:p w14:paraId="6B7C2426"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14,920</w:t>
            </w:r>
          </w:p>
        </w:tc>
        <w:tc>
          <w:tcPr>
            <w:tcW w:w="633" w:type="pct"/>
            <w:tcBorders>
              <w:top w:val="nil"/>
              <w:left w:val="nil"/>
              <w:bottom w:val="nil"/>
              <w:right w:val="nil"/>
            </w:tcBorders>
            <w:shd w:val="clear" w:color="auto" w:fill="auto"/>
            <w:noWrap/>
            <w:vAlign w:val="bottom"/>
            <w:hideMark/>
          </w:tcPr>
          <w:p w14:paraId="1483AAF6"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387</w:t>
            </w:r>
          </w:p>
        </w:tc>
        <w:tc>
          <w:tcPr>
            <w:tcW w:w="1684" w:type="pct"/>
            <w:tcBorders>
              <w:top w:val="nil"/>
              <w:left w:val="nil"/>
              <w:bottom w:val="nil"/>
              <w:right w:val="dotted" w:sz="4" w:space="0" w:color="auto"/>
            </w:tcBorders>
            <w:shd w:val="clear" w:color="auto" w:fill="auto"/>
            <w:noWrap/>
            <w:vAlign w:val="bottom"/>
            <w:hideMark/>
          </w:tcPr>
          <w:p w14:paraId="1A425B3D"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2.6%</w:t>
            </w:r>
          </w:p>
        </w:tc>
      </w:tr>
      <w:tr w:rsidR="00293EF2" w:rsidRPr="009258C5" w14:paraId="263500D8"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31076439"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Autism</w:t>
            </w:r>
          </w:p>
        </w:tc>
        <w:tc>
          <w:tcPr>
            <w:tcW w:w="871" w:type="pct"/>
            <w:tcBorders>
              <w:top w:val="nil"/>
              <w:left w:val="nil"/>
              <w:bottom w:val="nil"/>
              <w:right w:val="dotted" w:sz="4" w:space="0" w:color="auto"/>
            </w:tcBorders>
            <w:shd w:val="clear" w:color="auto" w:fill="auto"/>
            <w:noWrap/>
            <w:vAlign w:val="bottom"/>
            <w:hideMark/>
          </w:tcPr>
          <w:p w14:paraId="039CB09C"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151,433</w:t>
            </w:r>
          </w:p>
        </w:tc>
        <w:tc>
          <w:tcPr>
            <w:tcW w:w="633" w:type="pct"/>
            <w:tcBorders>
              <w:top w:val="nil"/>
              <w:left w:val="nil"/>
              <w:bottom w:val="nil"/>
              <w:right w:val="nil"/>
            </w:tcBorders>
            <w:shd w:val="clear" w:color="auto" w:fill="auto"/>
            <w:noWrap/>
            <w:vAlign w:val="bottom"/>
            <w:hideMark/>
          </w:tcPr>
          <w:p w14:paraId="2D2FF23E"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1,777</w:t>
            </w:r>
          </w:p>
        </w:tc>
        <w:tc>
          <w:tcPr>
            <w:tcW w:w="1684" w:type="pct"/>
            <w:tcBorders>
              <w:top w:val="nil"/>
              <w:left w:val="nil"/>
              <w:bottom w:val="nil"/>
              <w:right w:val="dotted" w:sz="4" w:space="0" w:color="auto"/>
            </w:tcBorders>
            <w:shd w:val="clear" w:color="auto" w:fill="auto"/>
            <w:noWrap/>
            <w:vAlign w:val="bottom"/>
            <w:hideMark/>
          </w:tcPr>
          <w:p w14:paraId="236CF663"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1.2%</w:t>
            </w:r>
          </w:p>
        </w:tc>
      </w:tr>
      <w:tr w:rsidR="00293EF2" w:rsidRPr="009258C5" w14:paraId="7585CDE6"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5A6E1FE1"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Cerebral Palsy</w:t>
            </w:r>
          </w:p>
        </w:tc>
        <w:tc>
          <w:tcPr>
            <w:tcW w:w="871" w:type="pct"/>
            <w:tcBorders>
              <w:top w:val="nil"/>
              <w:left w:val="nil"/>
              <w:bottom w:val="nil"/>
              <w:right w:val="dotted" w:sz="4" w:space="0" w:color="auto"/>
            </w:tcBorders>
            <w:shd w:val="clear" w:color="auto" w:fill="auto"/>
            <w:noWrap/>
            <w:vAlign w:val="bottom"/>
            <w:hideMark/>
          </w:tcPr>
          <w:p w14:paraId="4DC9EA88"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16,572</w:t>
            </w:r>
          </w:p>
        </w:tc>
        <w:tc>
          <w:tcPr>
            <w:tcW w:w="633" w:type="pct"/>
            <w:tcBorders>
              <w:top w:val="nil"/>
              <w:left w:val="nil"/>
              <w:bottom w:val="nil"/>
              <w:right w:val="nil"/>
            </w:tcBorders>
            <w:shd w:val="clear" w:color="auto" w:fill="auto"/>
            <w:noWrap/>
            <w:vAlign w:val="bottom"/>
            <w:hideMark/>
          </w:tcPr>
          <w:p w14:paraId="56373D8B"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360</w:t>
            </w:r>
          </w:p>
        </w:tc>
        <w:tc>
          <w:tcPr>
            <w:tcW w:w="1684" w:type="pct"/>
            <w:tcBorders>
              <w:top w:val="nil"/>
              <w:left w:val="nil"/>
              <w:bottom w:val="nil"/>
              <w:right w:val="dotted" w:sz="4" w:space="0" w:color="auto"/>
            </w:tcBorders>
            <w:shd w:val="clear" w:color="auto" w:fill="auto"/>
            <w:noWrap/>
            <w:vAlign w:val="bottom"/>
            <w:hideMark/>
          </w:tcPr>
          <w:p w14:paraId="2040EB0B"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2.2%</w:t>
            </w:r>
          </w:p>
        </w:tc>
      </w:tr>
      <w:tr w:rsidR="00293EF2" w:rsidRPr="009258C5" w14:paraId="5B1D5844"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2938E6A5"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Developmental delay</w:t>
            </w:r>
          </w:p>
        </w:tc>
        <w:tc>
          <w:tcPr>
            <w:tcW w:w="871" w:type="pct"/>
            <w:tcBorders>
              <w:top w:val="nil"/>
              <w:left w:val="nil"/>
              <w:bottom w:val="nil"/>
              <w:right w:val="dotted" w:sz="4" w:space="0" w:color="auto"/>
            </w:tcBorders>
            <w:shd w:val="clear" w:color="auto" w:fill="auto"/>
            <w:noWrap/>
            <w:vAlign w:val="bottom"/>
            <w:hideMark/>
          </w:tcPr>
          <w:p w14:paraId="06F5059C"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37,677</w:t>
            </w:r>
          </w:p>
        </w:tc>
        <w:tc>
          <w:tcPr>
            <w:tcW w:w="633" w:type="pct"/>
            <w:tcBorders>
              <w:top w:val="nil"/>
              <w:left w:val="nil"/>
              <w:bottom w:val="nil"/>
              <w:right w:val="nil"/>
            </w:tcBorders>
            <w:shd w:val="clear" w:color="auto" w:fill="auto"/>
            <w:noWrap/>
            <w:vAlign w:val="bottom"/>
            <w:hideMark/>
          </w:tcPr>
          <w:p w14:paraId="00E4F7F5"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8</w:t>
            </w:r>
          </w:p>
        </w:tc>
        <w:tc>
          <w:tcPr>
            <w:tcW w:w="1684" w:type="pct"/>
            <w:tcBorders>
              <w:top w:val="nil"/>
              <w:left w:val="nil"/>
              <w:bottom w:val="nil"/>
              <w:right w:val="dotted" w:sz="4" w:space="0" w:color="auto"/>
            </w:tcBorders>
            <w:shd w:val="clear" w:color="auto" w:fill="auto"/>
            <w:noWrap/>
            <w:vAlign w:val="bottom"/>
            <w:hideMark/>
          </w:tcPr>
          <w:p w14:paraId="6B093403"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0.0%</w:t>
            </w:r>
          </w:p>
        </w:tc>
      </w:tr>
      <w:tr w:rsidR="00293EF2" w:rsidRPr="009258C5" w14:paraId="4D8DCE0D"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0FD013C7"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Global developmental delay</w:t>
            </w:r>
          </w:p>
        </w:tc>
        <w:tc>
          <w:tcPr>
            <w:tcW w:w="871" w:type="pct"/>
            <w:tcBorders>
              <w:top w:val="nil"/>
              <w:left w:val="nil"/>
              <w:bottom w:val="nil"/>
              <w:right w:val="dotted" w:sz="4" w:space="0" w:color="auto"/>
            </w:tcBorders>
            <w:shd w:val="clear" w:color="auto" w:fill="auto"/>
            <w:noWrap/>
            <w:vAlign w:val="bottom"/>
            <w:hideMark/>
          </w:tcPr>
          <w:p w14:paraId="3C93826C"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9,556</w:t>
            </w:r>
          </w:p>
        </w:tc>
        <w:tc>
          <w:tcPr>
            <w:tcW w:w="633" w:type="pct"/>
            <w:tcBorders>
              <w:top w:val="nil"/>
              <w:left w:val="nil"/>
              <w:bottom w:val="nil"/>
              <w:right w:val="nil"/>
            </w:tcBorders>
            <w:shd w:val="clear" w:color="auto" w:fill="auto"/>
            <w:noWrap/>
            <w:vAlign w:val="bottom"/>
            <w:hideMark/>
          </w:tcPr>
          <w:p w14:paraId="01FF4DDE"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w:t>
            </w:r>
          </w:p>
        </w:tc>
        <w:tc>
          <w:tcPr>
            <w:tcW w:w="1684" w:type="pct"/>
            <w:tcBorders>
              <w:top w:val="nil"/>
              <w:left w:val="nil"/>
              <w:bottom w:val="nil"/>
              <w:right w:val="dotted" w:sz="4" w:space="0" w:color="auto"/>
            </w:tcBorders>
            <w:shd w:val="clear" w:color="auto" w:fill="auto"/>
            <w:noWrap/>
            <w:vAlign w:val="bottom"/>
            <w:hideMark/>
          </w:tcPr>
          <w:p w14:paraId="3A5AEEF4"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0.0%</w:t>
            </w:r>
          </w:p>
        </w:tc>
      </w:tr>
      <w:tr w:rsidR="00293EF2" w:rsidRPr="009258C5" w14:paraId="09C7162D"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5426972C"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Hearing Impairment</w:t>
            </w:r>
          </w:p>
        </w:tc>
        <w:tc>
          <w:tcPr>
            <w:tcW w:w="871" w:type="pct"/>
            <w:tcBorders>
              <w:top w:val="nil"/>
              <w:left w:val="nil"/>
              <w:bottom w:val="nil"/>
              <w:right w:val="dotted" w:sz="4" w:space="0" w:color="auto"/>
            </w:tcBorders>
            <w:shd w:val="clear" w:color="auto" w:fill="auto"/>
            <w:noWrap/>
            <w:vAlign w:val="bottom"/>
            <w:hideMark/>
          </w:tcPr>
          <w:p w14:paraId="678253A4"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22,363</w:t>
            </w:r>
          </w:p>
        </w:tc>
        <w:tc>
          <w:tcPr>
            <w:tcW w:w="633" w:type="pct"/>
            <w:tcBorders>
              <w:top w:val="nil"/>
              <w:left w:val="nil"/>
              <w:bottom w:val="nil"/>
              <w:right w:val="nil"/>
            </w:tcBorders>
            <w:shd w:val="clear" w:color="auto" w:fill="auto"/>
            <w:noWrap/>
            <w:vAlign w:val="bottom"/>
            <w:hideMark/>
          </w:tcPr>
          <w:p w14:paraId="0DCFA08F"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684" w:type="pct"/>
            <w:tcBorders>
              <w:top w:val="nil"/>
              <w:left w:val="nil"/>
              <w:bottom w:val="nil"/>
              <w:right w:val="dotted" w:sz="4" w:space="0" w:color="auto"/>
            </w:tcBorders>
            <w:shd w:val="clear" w:color="auto" w:fill="auto"/>
            <w:noWrap/>
            <w:vAlign w:val="bottom"/>
            <w:hideMark/>
          </w:tcPr>
          <w:p w14:paraId="714F4997"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0.0%</w:t>
            </w:r>
          </w:p>
        </w:tc>
      </w:tr>
      <w:tr w:rsidR="00293EF2" w:rsidRPr="009258C5" w14:paraId="69D0A418"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35AA7A9D"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Intellectual Disability</w:t>
            </w:r>
          </w:p>
        </w:tc>
        <w:tc>
          <w:tcPr>
            <w:tcW w:w="871" w:type="pct"/>
            <w:tcBorders>
              <w:top w:val="nil"/>
              <w:left w:val="nil"/>
              <w:bottom w:val="nil"/>
              <w:right w:val="dotted" w:sz="4" w:space="0" w:color="auto"/>
            </w:tcBorders>
            <w:shd w:val="clear" w:color="auto" w:fill="auto"/>
            <w:noWrap/>
            <w:vAlign w:val="bottom"/>
            <w:hideMark/>
          </w:tcPr>
          <w:p w14:paraId="682EB0B3"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91,311</w:t>
            </w:r>
          </w:p>
        </w:tc>
        <w:tc>
          <w:tcPr>
            <w:tcW w:w="633" w:type="pct"/>
            <w:tcBorders>
              <w:top w:val="nil"/>
              <w:left w:val="nil"/>
              <w:bottom w:val="nil"/>
              <w:right w:val="nil"/>
            </w:tcBorders>
            <w:shd w:val="clear" w:color="auto" w:fill="auto"/>
            <w:noWrap/>
            <w:vAlign w:val="bottom"/>
            <w:hideMark/>
          </w:tcPr>
          <w:p w14:paraId="623DB0CC"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3,166</w:t>
            </w:r>
          </w:p>
        </w:tc>
        <w:tc>
          <w:tcPr>
            <w:tcW w:w="1684" w:type="pct"/>
            <w:tcBorders>
              <w:top w:val="nil"/>
              <w:left w:val="nil"/>
              <w:bottom w:val="nil"/>
              <w:right w:val="dotted" w:sz="4" w:space="0" w:color="auto"/>
            </w:tcBorders>
            <w:shd w:val="clear" w:color="auto" w:fill="auto"/>
            <w:noWrap/>
            <w:vAlign w:val="bottom"/>
            <w:hideMark/>
          </w:tcPr>
          <w:p w14:paraId="73B45FEB"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3.5%</w:t>
            </w:r>
          </w:p>
        </w:tc>
      </w:tr>
      <w:tr w:rsidR="00293EF2" w:rsidRPr="009258C5" w14:paraId="6E511287"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043411F3"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Multiple Sclerosis</w:t>
            </w:r>
          </w:p>
        </w:tc>
        <w:tc>
          <w:tcPr>
            <w:tcW w:w="871" w:type="pct"/>
            <w:tcBorders>
              <w:top w:val="nil"/>
              <w:left w:val="nil"/>
              <w:bottom w:val="nil"/>
              <w:right w:val="dotted" w:sz="4" w:space="0" w:color="auto"/>
            </w:tcBorders>
            <w:shd w:val="clear" w:color="auto" w:fill="auto"/>
            <w:noWrap/>
            <w:vAlign w:val="bottom"/>
            <w:hideMark/>
          </w:tcPr>
          <w:p w14:paraId="5CA159F6"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8,528</w:t>
            </w:r>
          </w:p>
        </w:tc>
        <w:tc>
          <w:tcPr>
            <w:tcW w:w="633" w:type="pct"/>
            <w:tcBorders>
              <w:top w:val="nil"/>
              <w:left w:val="nil"/>
              <w:bottom w:val="nil"/>
              <w:right w:val="nil"/>
            </w:tcBorders>
            <w:shd w:val="clear" w:color="auto" w:fill="auto"/>
            <w:noWrap/>
            <w:vAlign w:val="bottom"/>
            <w:hideMark/>
          </w:tcPr>
          <w:p w14:paraId="35052588"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23</w:t>
            </w:r>
          </w:p>
        </w:tc>
        <w:tc>
          <w:tcPr>
            <w:tcW w:w="1684" w:type="pct"/>
            <w:tcBorders>
              <w:top w:val="nil"/>
              <w:left w:val="nil"/>
              <w:bottom w:val="nil"/>
              <w:right w:val="dotted" w:sz="4" w:space="0" w:color="auto"/>
            </w:tcBorders>
            <w:shd w:val="clear" w:color="auto" w:fill="auto"/>
            <w:noWrap/>
            <w:vAlign w:val="bottom"/>
            <w:hideMark/>
          </w:tcPr>
          <w:p w14:paraId="217DB337"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0.3%</w:t>
            </w:r>
          </w:p>
        </w:tc>
      </w:tr>
      <w:tr w:rsidR="00293EF2" w:rsidRPr="009258C5" w14:paraId="7AE9792B"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3740C52C"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Other</w:t>
            </w:r>
          </w:p>
        </w:tc>
        <w:tc>
          <w:tcPr>
            <w:tcW w:w="871" w:type="pct"/>
            <w:tcBorders>
              <w:top w:val="nil"/>
              <w:left w:val="nil"/>
              <w:bottom w:val="nil"/>
              <w:right w:val="dotted" w:sz="4" w:space="0" w:color="auto"/>
            </w:tcBorders>
            <w:shd w:val="clear" w:color="auto" w:fill="auto"/>
            <w:noWrap/>
            <w:vAlign w:val="bottom"/>
            <w:hideMark/>
          </w:tcPr>
          <w:p w14:paraId="4AD8F3D6"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3,760</w:t>
            </w:r>
          </w:p>
        </w:tc>
        <w:tc>
          <w:tcPr>
            <w:tcW w:w="633" w:type="pct"/>
            <w:tcBorders>
              <w:top w:val="nil"/>
              <w:left w:val="nil"/>
              <w:bottom w:val="nil"/>
              <w:right w:val="nil"/>
            </w:tcBorders>
            <w:shd w:val="clear" w:color="auto" w:fill="auto"/>
            <w:noWrap/>
            <w:vAlign w:val="bottom"/>
            <w:hideMark/>
          </w:tcPr>
          <w:p w14:paraId="000F4432"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21</w:t>
            </w:r>
          </w:p>
        </w:tc>
        <w:tc>
          <w:tcPr>
            <w:tcW w:w="1684" w:type="pct"/>
            <w:tcBorders>
              <w:top w:val="nil"/>
              <w:left w:val="nil"/>
              <w:bottom w:val="nil"/>
              <w:right w:val="dotted" w:sz="4" w:space="0" w:color="auto"/>
            </w:tcBorders>
            <w:shd w:val="clear" w:color="auto" w:fill="auto"/>
            <w:noWrap/>
            <w:vAlign w:val="bottom"/>
            <w:hideMark/>
          </w:tcPr>
          <w:p w14:paraId="64B7D168"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0.6%</w:t>
            </w:r>
          </w:p>
        </w:tc>
      </w:tr>
      <w:tr w:rsidR="00293EF2" w:rsidRPr="009258C5" w14:paraId="545478EB"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69DA4DCC"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Other Neurological</w:t>
            </w:r>
          </w:p>
        </w:tc>
        <w:tc>
          <w:tcPr>
            <w:tcW w:w="871" w:type="pct"/>
            <w:tcBorders>
              <w:top w:val="nil"/>
              <w:left w:val="nil"/>
              <w:bottom w:val="nil"/>
              <w:right w:val="dotted" w:sz="4" w:space="0" w:color="auto"/>
            </w:tcBorders>
            <w:shd w:val="clear" w:color="auto" w:fill="auto"/>
            <w:noWrap/>
            <w:vAlign w:val="bottom"/>
            <w:hideMark/>
          </w:tcPr>
          <w:p w14:paraId="76E76997"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19,498</w:t>
            </w:r>
          </w:p>
        </w:tc>
        <w:tc>
          <w:tcPr>
            <w:tcW w:w="633" w:type="pct"/>
            <w:tcBorders>
              <w:top w:val="nil"/>
              <w:left w:val="nil"/>
              <w:bottom w:val="nil"/>
              <w:right w:val="nil"/>
            </w:tcBorders>
            <w:shd w:val="clear" w:color="auto" w:fill="auto"/>
            <w:noWrap/>
            <w:vAlign w:val="bottom"/>
            <w:hideMark/>
          </w:tcPr>
          <w:p w14:paraId="26CAC7EF"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302</w:t>
            </w:r>
          </w:p>
        </w:tc>
        <w:tc>
          <w:tcPr>
            <w:tcW w:w="1684" w:type="pct"/>
            <w:tcBorders>
              <w:top w:val="nil"/>
              <w:left w:val="nil"/>
              <w:bottom w:val="nil"/>
              <w:right w:val="dotted" w:sz="4" w:space="0" w:color="auto"/>
            </w:tcBorders>
            <w:shd w:val="clear" w:color="auto" w:fill="auto"/>
            <w:noWrap/>
            <w:vAlign w:val="bottom"/>
            <w:hideMark/>
          </w:tcPr>
          <w:p w14:paraId="4C64DBE3"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1.5%</w:t>
            </w:r>
          </w:p>
        </w:tc>
      </w:tr>
      <w:tr w:rsidR="00293EF2" w:rsidRPr="009258C5" w14:paraId="5EB8F0B6"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47AFA6F6"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Other Physical</w:t>
            </w:r>
          </w:p>
        </w:tc>
        <w:tc>
          <w:tcPr>
            <w:tcW w:w="871" w:type="pct"/>
            <w:tcBorders>
              <w:top w:val="nil"/>
              <w:left w:val="nil"/>
              <w:bottom w:val="nil"/>
              <w:right w:val="dotted" w:sz="4" w:space="0" w:color="auto"/>
            </w:tcBorders>
            <w:shd w:val="clear" w:color="auto" w:fill="auto"/>
            <w:noWrap/>
            <w:vAlign w:val="bottom"/>
            <w:hideMark/>
          </w:tcPr>
          <w:p w14:paraId="38A5122B"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18,617</w:t>
            </w:r>
          </w:p>
        </w:tc>
        <w:tc>
          <w:tcPr>
            <w:tcW w:w="633" w:type="pct"/>
            <w:tcBorders>
              <w:top w:val="nil"/>
              <w:left w:val="nil"/>
              <w:bottom w:val="nil"/>
              <w:right w:val="nil"/>
            </w:tcBorders>
            <w:shd w:val="clear" w:color="auto" w:fill="auto"/>
            <w:noWrap/>
            <w:vAlign w:val="bottom"/>
            <w:hideMark/>
          </w:tcPr>
          <w:p w14:paraId="2FB6DD8E"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38</w:t>
            </w:r>
          </w:p>
        </w:tc>
        <w:tc>
          <w:tcPr>
            <w:tcW w:w="1684" w:type="pct"/>
            <w:tcBorders>
              <w:top w:val="nil"/>
              <w:left w:val="nil"/>
              <w:bottom w:val="nil"/>
              <w:right w:val="dotted" w:sz="4" w:space="0" w:color="auto"/>
            </w:tcBorders>
            <w:shd w:val="clear" w:color="auto" w:fill="auto"/>
            <w:noWrap/>
            <w:vAlign w:val="bottom"/>
            <w:hideMark/>
          </w:tcPr>
          <w:p w14:paraId="155E5393"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0.2%</w:t>
            </w:r>
          </w:p>
        </w:tc>
      </w:tr>
      <w:tr w:rsidR="00293EF2" w:rsidRPr="009258C5" w14:paraId="69B277AB"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77F76CCD"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Other Sensory/Speech</w:t>
            </w:r>
          </w:p>
        </w:tc>
        <w:tc>
          <w:tcPr>
            <w:tcW w:w="871" w:type="pct"/>
            <w:tcBorders>
              <w:top w:val="nil"/>
              <w:left w:val="nil"/>
              <w:bottom w:val="nil"/>
              <w:right w:val="dotted" w:sz="4" w:space="0" w:color="auto"/>
            </w:tcBorders>
            <w:shd w:val="clear" w:color="auto" w:fill="auto"/>
            <w:noWrap/>
            <w:vAlign w:val="bottom"/>
            <w:hideMark/>
          </w:tcPr>
          <w:p w14:paraId="6A15E9E2"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2,778</w:t>
            </w:r>
          </w:p>
        </w:tc>
        <w:tc>
          <w:tcPr>
            <w:tcW w:w="633" w:type="pct"/>
            <w:tcBorders>
              <w:top w:val="nil"/>
              <w:left w:val="nil"/>
              <w:bottom w:val="nil"/>
              <w:right w:val="nil"/>
            </w:tcBorders>
            <w:shd w:val="clear" w:color="auto" w:fill="auto"/>
            <w:noWrap/>
            <w:vAlign w:val="bottom"/>
            <w:hideMark/>
          </w:tcPr>
          <w:p w14:paraId="65BA7537"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684" w:type="pct"/>
            <w:tcBorders>
              <w:top w:val="nil"/>
              <w:left w:val="nil"/>
              <w:bottom w:val="nil"/>
              <w:right w:val="dotted" w:sz="4" w:space="0" w:color="auto"/>
            </w:tcBorders>
            <w:shd w:val="clear" w:color="auto" w:fill="auto"/>
            <w:noWrap/>
            <w:vAlign w:val="bottom"/>
            <w:hideMark/>
          </w:tcPr>
          <w:p w14:paraId="3D2FB152"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0.0%</w:t>
            </w:r>
          </w:p>
        </w:tc>
      </w:tr>
      <w:tr w:rsidR="00293EF2" w:rsidRPr="009258C5" w14:paraId="34857127"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7EA5D600"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Psychosocial disability</w:t>
            </w:r>
          </w:p>
        </w:tc>
        <w:tc>
          <w:tcPr>
            <w:tcW w:w="871" w:type="pct"/>
            <w:tcBorders>
              <w:top w:val="nil"/>
              <w:left w:val="nil"/>
              <w:bottom w:val="nil"/>
              <w:right w:val="dotted" w:sz="4" w:space="0" w:color="auto"/>
            </w:tcBorders>
            <w:shd w:val="clear" w:color="auto" w:fill="auto"/>
            <w:noWrap/>
            <w:vAlign w:val="bottom"/>
            <w:hideMark/>
          </w:tcPr>
          <w:p w14:paraId="3B0FBA02"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48,460</w:t>
            </w:r>
          </w:p>
        </w:tc>
        <w:tc>
          <w:tcPr>
            <w:tcW w:w="633" w:type="pct"/>
            <w:tcBorders>
              <w:top w:val="nil"/>
              <w:left w:val="nil"/>
              <w:bottom w:val="nil"/>
              <w:right w:val="nil"/>
            </w:tcBorders>
            <w:shd w:val="clear" w:color="auto" w:fill="auto"/>
            <w:noWrap/>
            <w:vAlign w:val="bottom"/>
            <w:hideMark/>
          </w:tcPr>
          <w:p w14:paraId="655FA9E1"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444</w:t>
            </w:r>
          </w:p>
        </w:tc>
        <w:tc>
          <w:tcPr>
            <w:tcW w:w="1684" w:type="pct"/>
            <w:tcBorders>
              <w:top w:val="nil"/>
              <w:left w:val="nil"/>
              <w:bottom w:val="nil"/>
              <w:right w:val="dotted" w:sz="4" w:space="0" w:color="auto"/>
            </w:tcBorders>
            <w:shd w:val="clear" w:color="auto" w:fill="auto"/>
            <w:noWrap/>
            <w:vAlign w:val="bottom"/>
            <w:hideMark/>
          </w:tcPr>
          <w:p w14:paraId="2204FDB3"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0.9%</w:t>
            </w:r>
          </w:p>
        </w:tc>
      </w:tr>
      <w:tr w:rsidR="00293EF2" w:rsidRPr="009258C5" w14:paraId="2C851544"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7E52B6B0"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Spinal Cord Injury</w:t>
            </w:r>
          </w:p>
        </w:tc>
        <w:tc>
          <w:tcPr>
            <w:tcW w:w="871" w:type="pct"/>
            <w:tcBorders>
              <w:top w:val="nil"/>
              <w:left w:val="nil"/>
              <w:bottom w:val="nil"/>
              <w:right w:val="dotted" w:sz="4" w:space="0" w:color="auto"/>
            </w:tcBorders>
            <w:shd w:val="clear" w:color="auto" w:fill="auto"/>
            <w:noWrap/>
            <w:vAlign w:val="bottom"/>
            <w:hideMark/>
          </w:tcPr>
          <w:p w14:paraId="46376FC1"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5,134</w:t>
            </w:r>
          </w:p>
        </w:tc>
        <w:tc>
          <w:tcPr>
            <w:tcW w:w="633" w:type="pct"/>
            <w:tcBorders>
              <w:top w:val="nil"/>
              <w:left w:val="nil"/>
              <w:bottom w:val="nil"/>
              <w:right w:val="nil"/>
            </w:tcBorders>
            <w:shd w:val="clear" w:color="auto" w:fill="auto"/>
            <w:noWrap/>
            <w:vAlign w:val="bottom"/>
            <w:hideMark/>
          </w:tcPr>
          <w:p w14:paraId="57C715A8"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26</w:t>
            </w:r>
          </w:p>
        </w:tc>
        <w:tc>
          <w:tcPr>
            <w:tcW w:w="1684" w:type="pct"/>
            <w:tcBorders>
              <w:top w:val="nil"/>
              <w:left w:val="nil"/>
              <w:bottom w:val="nil"/>
              <w:right w:val="dotted" w:sz="4" w:space="0" w:color="auto"/>
            </w:tcBorders>
            <w:shd w:val="clear" w:color="auto" w:fill="auto"/>
            <w:noWrap/>
            <w:vAlign w:val="bottom"/>
            <w:hideMark/>
          </w:tcPr>
          <w:p w14:paraId="0B96A002"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0.5%</w:t>
            </w:r>
          </w:p>
        </w:tc>
      </w:tr>
      <w:tr w:rsidR="00293EF2" w:rsidRPr="009258C5" w14:paraId="2546CCCF"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088D8F73"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Stroke</w:t>
            </w:r>
          </w:p>
        </w:tc>
        <w:tc>
          <w:tcPr>
            <w:tcW w:w="871" w:type="pct"/>
            <w:tcBorders>
              <w:top w:val="nil"/>
              <w:left w:val="nil"/>
              <w:bottom w:val="nil"/>
              <w:right w:val="dotted" w:sz="4" w:space="0" w:color="auto"/>
            </w:tcBorders>
            <w:shd w:val="clear" w:color="auto" w:fill="auto"/>
            <w:noWrap/>
            <w:vAlign w:val="bottom"/>
            <w:hideMark/>
          </w:tcPr>
          <w:p w14:paraId="39C4D5AA"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6,955</w:t>
            </w:r>
          </w:p>
        </w:tc>
        <w:tc>
          <w:tcPr>
            <w:tcW w:w="633" w:type="pct"/>
            <w:tcBorders>
              <w:top w:val="nil"/>
              <w:left w:val="nil"/>
              <w:bottom w:val="nil"/>
              <w:right w:val="nil"/>
            </w:tcBorders>
            <w:shd w:val="clear" w:color="auto" w:fill="auto"/>
            <w:noWrap/>
            <w:vAlign w:val="bottom"/>
            <w:hideMark/>
          </w:tcPr>
          <w:p w14:paraId="4F45BF03"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55</w:t>
            </w:r>
          </w:p>
        </w:tc>
        <w:tc>
          <w:tcPr>
            <w:tcW w:w="1684" w:type="pct"/>
            <w:tcBorders>
              <w:top w:val="nil"/>
              <w:left w:val="nil"/>
              <w:bottom w:val="nil"/>
              <w:right w:val="dotted" w:sz="4" w:space="0" w:color="auto"/>
            </w:tcBorders>
            <w:shd w:val="clear" w:color="auto" w:fill="auto"/>
            <w:noWrap/>
            <w:vAlign w:val="bottom"/>
            <w:hideMark/>
          </w:tcPr>
          <w:p w14:paraId="41BDB147"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0.8%</w:t>
            </w:r>
          </w:p>
        </w:tc>
      </w:tr>
      <w:tr w:rsidR="00293EF2" w:rsidRPr="009258C5" w14:paraId="6C661944" w14:textId="77777777" w:rsidTr="005B3540">
        <w:trPr>
          <w:trHeight w:val="288"/>
        </w:trPr>
        <w:tc>
          <w:tcPr>
            <w:tcW w:w="1811" w:type="pct"/>
            <w:tcBorders>
              <w:top w:val="nil"/>
              <w:left w:val="single" w:sz="4" w:space="0" w:color="auto"/>
              <w:bottom w:val="nil"/>
              <w:right w:val="single" w:sz="4" w:space="0" w:color="auto"/>
            </w:tcBorders>
            <w:shd w:val="clear" w:color="auto" w:fill="auto"/>
            <w:noWrap/>
            <w:vAlign w:val="bottom"/>
            <w:hideMark/>
          </w:tcPr>
          <w:p w14:paraId="282BD6C6" w14:textId="77777777" w:rsidR="00293EF2" w:rsidRPr="009258C5" w:rsidRDefault="00293EF2" w:rsidP="0038325D">
            <w:pPr>
              <w:spacing w:after="0" w:line="240" w:lineRule="auto"/>
              <w:rPr>
                <w:rFonts w:ascii="Calibri" w:eastAsia="Times New Roman" w:hAnsi="Calibri" w:cs="Calibri"/>
                <w:color w:val="000000"/>
                <w:lang w:eastAsia="en-AU"/>
              </w:rPr>
            </w:pPr>
            <w:r w:rsidRPr="009258C5">
              <w:rPr>
                <w:rFonts w:ascii="Calibri" w:eastAsia="Times New Roman" w:hAnsi="Calibri" w:cs="Calibri"/>
                <w:color w:val="000000"/>
                <w:lang w:eastAsia="en-AU"/>
              </w:rPr>
              <w:t>Visual Impairment</w:t>
            </w:r>
          </w:p>
        </w:tc>
        <w:tc>
          <w:tcPr>
            <w:tcW w:w="871" w:type="pct"/>
            <w:tcBorders>
              <w:top w:val="nil"/>
              <w:left w:val="nil"/>
              <w:bottom w:val="nil"/>
              <w:right w:val="dotted" w:sz="4" w:space="0" w:color="auto"/>
            </w:tcBorders>
            <w:shd w:val="clear" w:color="auto" w:fill="auto"/>
            <w:noWrap/>
            <w:vAlign w:val="bottom"/>
            <w:hideMark/>
          </w:tcPr>
          <w:p w14:paraId="34DB3EE6"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9,057</w:t>
            </w:r>
          </w:p>
        </w:tc>
        <w:tc>
          <w:tcPr>
            <w:tcW w:w="633" w:type="pct"/>
            <w:tcBorders>
              <w:top w:val="nil"/>
              <w:left w:val="nil"/>
              <w:bottom w:val="nil"/>
              <w:right w:val="nil"/>
            </w:tcBorders>
            <w:shd w:val="clear" w:color="auto" w:fill="auto"/>
            <w:noWrap/>
            <w:vAlign w:val="bottom"/>
            <w:hideMark/>
          </w:tcPr>
          <w:p w14:paraId="5A08D6A5"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11</w:t>
            </w:r>
          </w:p>
        </w:tc>
        <w:tc>
          <w:tcPr>
            <w:tcW w:w="1684" w:type="pct"/>
            <w:tcBorders>
              <w:top w:val="nil"/>
              <w:left w:val="nil"/>
              <w:bottom w:val="nil"/>
              <w:right w:val="dotted" w:sz="4" w:space="0" w:color="auto"/>
            </w:tcBorders>
            <w:shd w:val="clear" w:color="auto" w:fill="auto"/>
            <w:noWrap/>
            <w:vAlign w:val="bottom"/>
            <w:hideMark/>
          </w:tcPr>
          <w:p w14:paraId="201F50A9"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0.1%</w:t>
            </w:r>
          </w:p>
        </w:tc>
      </w:tr>
      <w:tr w:rsidR="00293EF2" w:rsidRPr="009258C5" w14:paraId="6E9DE2F0" w14:textId="77777777" w:rsidTr="005B3540">
        <w:trPr>
          <w:trHeight w:val="288"/>
        </w:trPr>
        <w:tc>
          <w:tcPr>
            <w:tcW w:w="18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368C" w14:textId="77777777" w:rsidR="00293EF2" w:rsidRPr="009258C5" w:rsidRDefault="00293EF2" w:rsidP="0038325D">
            <w:pPr>
              <w:spacing w:after="0" w:line="240" w:lineRule="auto"/>
              <w:rPr>
                <w:rFonts w:ascii="Calibri" w:eastAsia="Times New Roman" w:hAnsi="Calibri" w:cs="Calibri"/>
                <w:b/>
                <w:bCs/>
                <w:color w:val="000000"/>
                <w:lang w:eastAsia="en-AU"/>
              </w:rPr>
            </w:pPr>
            <w:r w:rsidRPr="009258C5">
              <w:rPr>
                <w:rFonts w:ascii="Calibri" w:eastAsia="Times New Roman" w:hAnsi="Calibri" w:cs="Calibri"/>
                <w:b/>
                <w:bCs/>
                <w:color w:val="000000"/>
                <w:lang w:eastAsia="en-AU"/>
              </w:rPr>
              <w:t>Total</w:t>
            </w:r>
          </w:p>
        </w:tc>
        <w:tc>
          <w:tcPr>
            <w:tcW w:w="871" w:type="pct"/>
            <w:tcBorders>
              <w:top w:val="single" w:sz="4" w:space="0" w:color="auto"/>
              <w:left w:val="nil"/>
              <w:bottom w:val="single" w:sz="4" w:space="0" w:color="auto"/>
              <w:right w:val="dotted" w:sz="4" w:space="0" w:color="auto"/>
            </w:tcBorders>
            <w:shd w:val="clear" w:color="auto" w:fill="auto"/>
            <w:noWrap/>
            <w:vAlign w:val="bottom"/>
            <w:hideMark/>
          </w:tcPr>
          <w:p w14:paraId="050D619E"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466,619</w:t>
            </w:r>
          </w:p>
        </w:tc>
        <w:tc>
          <w:tcPr>
            <w:tcW w:w="633" w:type="pct"/>
            <w:tcBorders>
              <w:top w:val="single" w:sz="4" w:space="0" w:color="auto"/>
              <w:left w:val="nil"/>
              <w:bottom w:val="single" w:sz="4" w:space="0" w:color="auto"/>
              <w:right w:val="nil"/>
            </w:tcBorders>
            <w:shd w:val="clear" w:color="auto" w:fill="auto"/>
            <w:noWrap/>
            <w:vAlign w:val="bottom"/>
            <w:hideMark/>
          </w:tcPr>
          <w:p w14:paraId="6D66AC2F"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6,622</w:t>
            </w:r>
          </w:p>
        </w:tc>
        <w:tc>
          <w:tcPr>
            <w:tcW w:w="1684" w:type="pct"/>
            <w:tcBorders>
              <w:top w:val="single" w:sz="4" w:space="0" w:color="auto"/>
              <w:left w:val="nil"/>
              <w:bottom w:val="single" w:sz="4" w:space="0" w:color="auto"/>
              <w:right w:val="dotted" w:sz="4" w:space="0" w:color="auto"/>
            </w:tcBorders>
            <w:shd w:val="clear" w:color="auto" w:fill="auto"/>
            <w:noWrap/>
            <w:vAlign w:val="bottom"/>
            <w:hideMark/>
          </w:tcPr>
          <w:p w14:paraId="16E87359" w14:textId="77777777" w:rsidR="00293EF2" w:rsidRPr="009258C5" w:rsidRDefault="00293EF2" w:rsidP="0038325D">
            <w:pPr>
              <w:spacing w:after="0" w:line="240" w:lineRule="auto"/>
              <w:jc w:val="center"/>
              <w:rPr>
                <w:rFonts w:ascii="Calibri" w:eastAsia="Times New Roman" w:hAnsi="Calibri" w:cs="Calibri"/>
                <w:color w:val="000000"/>
                <w:lang w:eastAsia="en-AU"/>
              </w:rPr>
            </w:pPr>
            <w:r>
              <w:rPr>
                <w:rFonts w:ascii="Calibri" w:hAnsi="Calibri" w:cs="Calibri"/>
                <w:color w:val="000000"/>
              </w:rPr>
              <w:t>1.4%</w:t>
            </w:r>
          </w:p>
        </w:tc>
      </w:tr>
    </w:tbl>
    <w:p w14:paraId="3A180793" w14:textId="77777777" w:rsidR="00E7233A" w:rsidRDefault="00E7233A" w:rsidP="00A47A9F">
      <w:pPr>
        <w:rPr>
          <w:rFonts w:asciiTheme="minorHAnsi" w:hAnsiTheme="minorHAnsi" w:cstheme="minorHAnsi"/>
        </w:rPr>
      </w:pPr>
    </w:p>
    <w:p w14:paraId="46E76BF1" w14:textId="77777777" w:rsidR="00193444" w:rsidRDefault="00193444" w:rsidP="00193444">
      <w:pPr>
        <w:rPr>
          <w:rFonts w:asciiTheme="minorHAnsi" w:hAnsiTheme="minorHAnsi" w:cstheme="minorHAnsi"/>
        </w:rPr>
      </w:pPr>
      <w:r>
        <w:rPr>
          <w:rFonts w:asciiTheme="minorHAnsi" w:hAnsiTheme="minorHAnsi" w:cstheme="minorHAnsi"/>
        </w:rPr>
        <w:t xml:space="preserve">The majority of participants subject to URPs are those with the primary disability of intellectual disability or autism, representing 75% of participants subject to URPs. </w:t>
      </w:r>
    </w:p>
    <w:p w14:paraId="3724D8B7" w14:textId="77777777" w:rsidR="00193444" w:rsidRDefault="00193444" w:rsidP="00193444">
      <w:pPr>
        <w:rPr>
          <w:rFonts w:asciiTheme="minorHAnsi" w:hAnsiTheme="minorHAnsi" w:cstheme="minorHAnsi"/>
        </w:rPr>
      </w:pPr>
      <w:r>
        <w:rPr>
          <w:rFonts w:asciiTheme="minorHAnsi" w:hAnsiTheme="minorHAnsi" w:cstheme="minorHAnsi"/>
        </w:rPr>
        <w:t xml:space="preserve">Of the 6,620 participants subject to URPs in 2020-2021, 47% had a primary disability of intellectual disability and 27% had a primary disability of autism. However, it should also be noted that only 3.4% of active participants who had a primary disability of intellectual disability were subject to URPs, and only 1.1% of active participants who had a primary disability of autism were subject to URPs. </w:t>
      </w:r>
    </w:p>
    <w:p w14:paraId="1B9AA7FE" w14:textId="77777777" w:rsidR="00193444" w:rsidRPr="00764BE0" w:rsidRDefault="00193444" w:rsidP="00193444">
      <w:pPr>
        <w:rPr>
          <w:rFonts w:asciiTheme="minorHAnsi" w:hAnsiTheme="minorHAnsi" w:cstheme="minorHAnsi"/>
        </w:rPr>
      </w:pPr>
      <w:r>
        <w:rPr>
          <w:rFonts w:asciiTheme="minorHAnsi" w:hAnsiTheme="minorHAnsi" w:cstheme="minorHAnsi"/>
        </w:rPr>
        <w:t xml:space="preserve">A higher percentage of active participants who had a primary disability of acquired brain injury or cerebral palsy were subject to URPs (2.5% for acquired brain injury and 2.1% for cerebral palsy) than the percentage of active participants who had a primary disability of autism (1.1%). However, there are considerably fewer participants with a primary disability of acquired brain injury or cerebral palsy </w:t>
      </w:r>
      <w:r>
        <w:rPr>
          <w:rFonts w:asciiTheme="minorHAnsi" w:hAnsiTheme="minorHAnsi" w:cstheme="minorHAnsi"/>
        </w:rPr>
        <w:lastRenderedPageBreak/>
        <w:t>subject to URPs (384 with acquired brain injury and 356 with cerebral palsy) than participants with a primary disability of autism (1,777).</w:t>
      </w:r>
    </w:p>
    <w:p w14:paraId="0887A389" w14:textId="77777777" w:rsidR="003268DE" w:rsidRDefault="003268DE" w:rsidP="00193444">
      <w:pPr>
        <w:pStyle w:val="Heading2"/>
      </w:pPr>
    </w:p>
    <w:p w14:paraId="172B8801" w14:textId="197DC1FC" w:rsidR="00193444" w:rsidRDefault="00193444" w:rsidP="00193444">
      <w:pPr>
        <w:pStyle w:val="Heading2"/>
      </w:pPr>
      <w:r>
        <w:t>Participants subject to URPs by receipt of SIL funding</w:t>
      </w:r>
    </w:p>
    <w:p w14:paraId="7C0D41D6" w14:textId="77777777" w:rsidR="00193444" w:rsidRPr="00D51316" w:rsidRDefault="00096245" w:rsidP="00193444">
      <w:pPr>
        <w:rPr>
          <w:rFonts w:asciiTheme="minorHAnsi" w:hAnsiTheme="minorHAnsi" w:cstheme="minorHAnsi"/>
        </w:rPr>
      </w:pPr>
      <w:r w:rsidRPr="005B3540">
        <w:rPr>
          <w:rFonts w:asciiTheme="minorHAnsi" w:hAnsiTheme="minorHAnsi" w:cstheme="minorHAnsi"/>
        </w:rPr>
        <w:fldChar w:fldCharType="begin"/>
      </w:r>
      <w:r w:rsidRPr="005B3540">
        <w:rPr>
          <w:rFonts w:asciiTheme="minorHAnsi" w:hAnsiTheme="minorHAnsi" w:cstheme="minorHAnsi"/>
        </w:rPr>
        <w:instrText xml:space="preserve"> REF _Ref92702147 \h </w:instrText>
      </w:r>
      <w:r>
        <w:rPr>
          <w:rFonts w:asciiTheme="minorHAnsi" w:hAnsiTheme="minorHAnsi" w:cstheme="minorHAnsi"/>
        </w:rPr>
        <w:instrText xml:space="preserve"> \* MERGEFORMAT </w:instrText>
      </w:r>
      <w:r w:rsidRPr="005B3540">
        <w:rPr>
          <w:rFonts w:asciiTheme="minorHAnsi" w:hAnsiTheme="minorHAnsi" w:cstheme="minorHAnsi"/>
        </w:rPr>
      </w:r>
      <w:r w:rsidRPr="005B3540">
        <w:rPr>
          <w:rFonts w:asciiTheme="minorHAnsi" w:hAnsiTheme="minorHAnsi" w:cstheme="minorHAnsi"/>
        </w:rPr>
        <w:fldChar w:fldCharType="separate"/>
      </w:r>
      <w:r w:rsidRPr="005B3540">
        <w:rPr>
          <w:rFonts w:asciiTheme="minorHAnsi" w:hAnsiTheme="minorHAnsi" w:cstheme="minorHAnsi"/>
        </w:rPr>
        <w:t>Table 4</w:t>
      </w:r>
      <w:r w:rsidRPr="005B3540">
        <w:rPr>
          <w:rFonts w:asciiTheme="minorHAnsi" w:hAnsiTheme="minorHAnsi" w:cstheme="minorHAnsi"/>
        </w:rPr>
        <w:fldChar w:fldCharType="end"/>
      </w:r>
      <w:r w:rsidRPr="005B3540">
        <w:rPr>
          <w:rFonts w:asciiTheme="minorHAnsi" w:hAnsiTheme="minorHAnsi" w:cstheme="minorHAnsi"/>
        </w:rPr>
        <w:t xml:space="preserve"> </w:t>
      </w:r>
      <w:r w:rsidR="00193444">
        <w:rPr>
          <w:rFonts w:asciiTheme="minorHAnsi" w:hAnsiTheme="minorHAnsi" w:cstheme="minorHAnsi"/>
        </w:rPr>
        <w:t xml:space="preserve">below analyses the number of participants subject to URPs in 2020-21 by </w:t>
      </w:r>
      <w:r w:rsidR="00193444" w:rsidRPr="00C6708F">
        <w:rPr>
          <w:rFonts w:asciiTheme="minorHAnsi" w:hAnsiTheme="minorHAnsi" w:cstheme="minorHAnsi"/>
        </w:rPr>
        <w:t>whether they receive funding for SIL supports and as a percentage of the total number of active participants who do or do not receive funding for SIL supports</w:t>
      </w:r>
      <w:r w:rsidR="00193444">
        <w:rPr>
          <w:rFonts w:asciiTheme="minorHAnsi" w:hAnsiTheme="minorHAnsi" w:cstheme="minorHAnsi"/>
        </w:rPr>
        <w:t>.</w:t>
      </w:r>
    </w:p>
    <w:p w14:paraId="23A3A6C8" w14:textId="77777777" w:rsidR="00193444" w:rsidRPr="005B3540" w:rsidRDefault="00193444" w:rsidP="005B3540">
      <w:r>
        <w:rPr>
          <w:rFonts w:asciiTheme="minorHAnsi" w:hAnsiTheme="minorHAnsi" w:cstheme="minorHAnsi"/>
        </w:rPr>
        <w:t>Supported independent living (</w:t>
      </w:r>
      <w:r w:rsidRPr="00A47A9F">
        <w:rPr>
          <w:rFonts w:asciiTheme="minorHAnsi" w:hAnsiTheme="minorHAnsi" w:cstheme="minorHAnsi"/>
        </w:rPr>
        <w:t>SIL</w:t>
      </w:r>
      <w:r>
        <w:rPr>
          <w:rFonts w:asciiTheme="minorHAnsi" w:hAnsiTheme="minorHAnsi" w:cstheme="minorHAnsi"/>
        </w:rPr>
        <w:t xml:space="preserve">) is a type of support for participants with higher support needs who need some level of help at home all the time. SIL </w:t>
      </w:r>
      <w:r w:rsidRPr="00A47A9F">
        <w:rPr>
          <w:rFonts w:asciiTheme="minorHAnsi" w:hAnsiTheme="minorHAnsi" w:cstheme="minorHAnsi"/>
        </w:rPr>
        <w:t>includes help or supervision with daily tasks, like personal care or cooking meals</w:t>
      </w:r>
      <w:r>
        <w:rPr>
          <w:rFonts w:asciiTheme="minorHAnsi" w:hAnsiTheme="minorHAnsi" w:cstheme="minorHAnsi"/>
        </w:rPr>
        <w:t>, and i</w:t>
      </w:r>
      <w:r w:rsidRPr="00A47A9F">
        <w:rPr>
          <w:rFonts w:asciiTheme="minorHAnsi" w:hAnsiTheme="minorHAnsi" w:cstheme="minorHAnsi"/>
        </w:rPr>
        <w:t xml:space="preserve">t helps </w:t>
      </w:r>
      <w:r>
        <w:rPr>
          <w:rFonts w:asciiTheme="minorHAnsi" w:hAnsiTheme="minorHAnsi" w:cstheme="minorHAnsi"/>
        </w:rPr>
        <w:t xml:space="preserve">participants </w:t>
      </w:r>
      <w:r w:rsidRPr="00A47A9F">
        <w:rPr>
          <w:rFonts w:asciiTheme="minorHAnsi" w:hAnsiTheme="minorHAnsi" w:cstheme="minorHAnsi"/>
        </w:rPr>
        <w:t xml:space="preserve">live as independently as possible, while building </w:t>
      </w:r>
      <w:r>
        <w:rPr>
          <w:rFonts w:asciiTheme="minorHAnsi" w:hAnsiTheme="minorHAnsi" w:cstheme="minorHAnsi"/>
        </w:rPr>
        <w:t xml:space="preserve">their </w:t>
      </w:r>
      <w:r w:rsidRPr="00A47A9F">
        <w:rPr>
          <w:rFonts w:asciiTheme="minorHAnsi" w:hAnsiTheme="minorHAnsi" w:cstheme="minorHAnsi"/>
        </w:rPr>
        <w:t xml:space="preserve">skills. </w:t>
      </w:r>
      <w:r>
        <w:rPr>
          <w:rFonts w:asciiTheme="minorHAnsi" w:hAnsiTheme="minorHAnsi" w:cstheme="minorHAnsi"/>
        </w:rPr>
        <w:t xml:space="preserve">SIL supports </w:t>
      </w:r>
      <w:r w:rsidRPr="00A47A9F">
        <w:rPr>
          <w:rFonts w:asciiTheme="minorHAnsi" w:hAnsiTheme="minorHAnsi" w:cstheme="minorHAnsi"/>
        </w:rPr>
        <w:t xml:space="preserve">are commonly provided </w:t>
      </w:r>
      <w:r>
        <w:rPr>
          <w:rFonts w:asciiTheme="minorHAnsi" w:hAnsiTheme="minorHAnsi" w:cstheme="minorHAnsi"/>
        </w:rPr>
        <w:t xml:space="preserve">for participants who live in group </w:t>
      </w:r>
      <w:r w:rsidRPr="00A47A9F">
        <w:rPr>
          <w:rFonts w:asciiTheme="minorHAnsi" w:hAnsiTheme="minorHAnsi" w:cstheme="minorHAnsi"/>
        </w:rPr>
        <w:t>or shared living arrangement</w:t>
      </w:r>
      <w:r>
        <w:rPr>
          <w:rFonts w:asciiTheme="minorHAnsi" w:hAnsiTheme="minorHAnsi" w:cstheme="minorHAnsi"/>
        </w:rPr>
        <w:t>s.</w:t>
      </w:r>
    </w:p>
    <w:p w14:paraId="5841F9D5" w14:textId="77777777" w:rsidR="00096245" w:rsidRPr="00A40863" w:rsidRDefault="00096245" w:rsidP="005B3540">
      <w:pPr>
        <w:pStyle w:val="Caption"/>
        <w:keepNext/>
        <w:rPr>
          <w:rFonts w:cs="Arial"/>
        </w:rPr>
      </w:pPr>
      <w:bookmarkStart w:id="13" w:name="_Ref92702147"/>
      <w:r w:rsidRPr="00A40863">
        <w:rPr>
          <w:rFonts w:cs="Arial"/>
          <w:caps w:val="0"/>
          <w:sz w:val="18"/>
        </w:rPr>
        <w:t xml:space="preserve">Table </w:t>
      </w:r>
      <w:r w:rsidRPr="00A40863">
        <w:rPr>
          <w:rFonts w:cs="Arial"/>
          <w:sz w:val="18"/>
        </w:rPr>
        <w:fldChar w:fldCharType="begin"/>
      </w:r>
      <w:r w:rsidRPr="00A40863">
        <w:rPr>
          <w:rFonts w:cs="Arial"/>
          <w:sz w:val="18"/>
        </w:rPr>
        <w:instrText xml:space="preserve"> SEQ Table \* ARABIC </w:instrText>
      </w:r>
      <w:r w:rsidRPr="00A40863">
        <w:rPr>
          <w:rFonts w:cs="Arial"/>
          <w:sz w:val="18"/>
        </w:rPr>
        <w:fldChar w:fldCharType="separate"/>
      </w:r>
      <w:r w:rsidRPr="00A40863">
        <w:rPr>
          <w:rFonts w:cs="Arial"/>
          <w:noProof/>
          <w:sz w:val="18"/>
        </w:rPr>
        <w:t>4</w:t>
      </w:r>
      <w:r w:rsidRPr="00A40863">
        <w:rPr>
          <w:rFonts w:cs="Arial"/>
          <w:sz w:val="18"/>
        </w:rPr>
        <w:fldChar w:fldCharType="end"/>
      </w:r>
      <w:bookmarkEnd w:id="13"/>
      <w:r w:rsidRPr="00A40863">
        <w:rPr>
          <w:rFonts w:cs="Arial"/>
          <w:sz w:val="18"/>
        </w:rPr>
        <w:t xml:space="preserve"> - P</w:t>
      </w:r>
      <w:r w:rsidRPr="00A40863">
        <w:rPr>
          <w:rFonts w:cs="Arial"/>
          <w:caps w:val="0"/>
          <w:sz w:val="18"/>
        </w:rPr>
        <w:t>articipants subject to restrictive practices in 2020-21 by SIL funding</w:t>
      </w:r>
    </w:p>
    <w:tbl>
      <w:tblPr>
        <w:tblW w:w="3226" w:type="pct"/>
        <w:tblLook w:val="04A0" w:firstRow="1" w:lastRow="0" w:firstColumn="1" w:lastColumn="0" w:noHBand="0" w:noVBand="1"/>
      </w:tblPr>
      <w:tblGrid>
        <w:gridCol w:w="1103"/>
        <w:gridCol w:w="1472"/>
        <w:gridCol w:w="1082"/>
        <w:gridCol w:w="2190"/>
      </w:tblGrid>
      <w:tr w:rsidR="00193444" w:rsidRPr="00622788" w14:paraId="2494B4DA" w14:textId="77777777" w:rsidTr="005B3540">
        <w:trPr>
          <w:trHeight w:val="288"/>
        </w:trPr>
        <w:tc>
          <w:tcPr>
            <w:tcW w:w="94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61A3C8A" w14:textId="77777777" w:rsidR="00193444" w:rsidRPr="00622788" w:rsidRDefault="00193444" w:rsidP="004E6074">
            <w:pPr>
              <w:spacing w:after="0" w:line="240" w:lineRule="auto"/>
              <w:jc w:val="center"/>
              <w:rPr>
                <w:rFonts w:ascii="Calibri" w:eastAsia="Times New Roman" w:hAnsi="Calibri" w:cs="Calibri"/>
                <w:b/>
                <w:bCs/>
                <w:color w:val="000000"/>
                <w:lang w:eastAsia="en-AU"/>
              </w:rPr>
            </w:pPr>
            <w:r w:rsidRPr="00622788">
              <w:rPr>
                <w:rFonts w:ascii="Calibri" w:eastAsia="Times New Roman" w:hAnsi="Calibri" w:cs="Calibri"/>
                <w:b/>
                <w:bCs/>
                <w:color w:val="000000"/>
                <w:lang w:eastAsia="en-AU"/>
              </w:rPr>
              <w:t>SIL</w:t>
            </w:r>
            <w:r>
              <w:rPr>
                <w:rFonts w:ascii="Calibri" w:eastAsia="Times New Roman" w:hAnsi="Calibri" w:cs="Calibri"/>
                <w:b/>
                <w:bCs/>
                <w:color w:val="000000"/>
                <w:lang w:eastAsia="en-AU"/>
              </w:rPr>
              <w:t xml:space="preserve"> funding</w:t>
            </w:r>
          </w:p>
        </w:tc>
        <w:tc>
          <w:tcPr>
            <w:tcW w:w="1259" w:type="pct"/>
            <w:vMerge w:val="restart"/>
            <w:tcBorders>
              <w:top w:val="single" w:sz="4" w:space="0" w:color="auto"/>
              <w:left w:val="single" w:sz="4" w:space="0" w:color="auto"/>
              <w:bottom w:val="single" w:sz="4" w:space="0" w:color="000000"/>
              <w:right w:val="dotted" w:sz="4" w:space="0" w:color="auto"/>
            </w:tcBorders>
            <w:shd w:val="clear" w:color="000000" w:fill="D9D9D9"/>
            <w:vAlign w:val="center"/>
            <w:hideMark/>
          </w:tcPr>
          <w:p w14:paraId="67916401" w14:textId="77777777" w:rsidR="00193444" w:rsidRPr="00622788" w:rsidRDefault="00193444" w:rsidP="004E6074">
            <w:pPr>
              <w:spacing w:after="0" w:line="240" w:lineRule="auto"/>
              <w:jc w:val="center"/>
              <w:rPr>
                <w:rFonts w:ascii="Calibri" w:eastAsia="Times New Roman" w:hAnsi="Calibri" w:cs="Calibri"/>
                <w:b/>
                <w:bCs/>
                <w:color w:val="000000"/>
                <w:lang w:eastAsia="en-AU"/>
              </w:rPr>
            </w:pPr>
            <w:r w:rsidRPr="00622788">
              <w:rPr>
                <w:rFonts w:ascii="Calibri" w:eastAsia="Times New Roman" w:hAnsi="Calibri" w:cs="Calibri"/>
                <w:b/>
                <w:bCs/>
                <w:color w:val="000000"/>
                <w:lang w:eastAsia="en-AU"/>
              </w:rPr>
              <w:t>Active participants</w:t>
            </w:r>
          </w:p>
        </w:tc>
        <w:tc>
          <w:tcPr>
            <w:tcW w:w="2798" w:type="pct"/>
            <w:gridSpan w:val="2"/>
            <w:tcBorders>
              <w:top w:val="single" w:sz="4" w:space="0" w:color="auto"/>
              <w:left w:val="nil"/>
              <w:bottom w:val="nil"/>
              <w:right w:val="single" w:sz="4" w:space="0" w:color="auto"/>
            </w:tcBorders>
            <w:shd w:val="clear" w:color="000000" w:fill="D9D9D9"/>
            <w:vAlign w:val="center"/>
            <w:hideMark/>
          </w:tcPr>
          <w:p w14:paraId="4FB66D87" w14:textId="77777777" w:rsidR="00193444" w:rsidRPr="00622788" w:rsidRDefault="00193444" w:rsidP="004E6074">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Participants subject</w:t>
            </w:r>
            <w:r w:rsidRPr="00622788">
              <w:rPr>
                <w:rFonts w:ascii="Calibri" w:eastAsia="Times New Roman" w:hAnsi="Calibri" w:cs="Calibri"/>
                <w:b/>
                <w:bCs/>
                <w:color w:val="000000"/>
                <w:lang w:eastAsia="en-AU"/>
              </w:rPr>
              <w:t xml:space="preserve"> to </w:t>
            </w:r>
            <w:r>
              <w:rPr>
                <w:rFonts w:ascii="Calibri" w:eastAsia="Times New Roman" w:hAnsi="Calibri" w:cs="Calibri"/>
                <w:b/>
                <w:bCs/>
                <w:color w:val="000000"/>
                <w:lang w:eastAsia="en-AU"/>
              </w:rPr>
              <w:t>URPs</w:t>
            </w:r>
          </w:p>
        </w:tc>
      </w:tr>
      <w:tr w:rsidR="00193444" w:rsidRPr="00622788" w14:paraId="26020950" w14:textId="77777777" w:rsidTr="005B3540">
        <w:trPr>
          <w:trHeight w:val="288"/>
        </w:trPr>
        <w:tc>
          <w:tcPr>
            <w:tcW w:w="943" w:type="pct"/>
            <w:vMerge/>
            <w:tcBorders>
              <w:top w:val="single" w:sz="4" w:space="0" w:color="auto"/>
              <w:left w:val="single" w:sz="4" w:space="0" w:color="auto"/>
              <w:bottom w:val="single" w:sz="4" w:space="0" w:color="000000"/>
              <w:right w:val="single" w:sz="4" w:space="0" w:color="auto"/>
            </w:tcBorders>
            <w:vAlign w:val="center"/>
            <w:hideMark/>
          </w:tcPr>
          <w:p w14:paraId="77EADCBE" w14:textId="77777777" w:rsidR="00193444" w:rsidRPr="00622788" w:rsidRDefault="00193444" w:rsidP="004E6074">
            <w:pPr>
              <w:spacing w:after="0" w:line="240" w:lineRule="auto"/>
              <w:rPr>
                <w:rFonts w:ascii="Calibri" w:eastAsia="Times New Roman" w:hAnsi="Calibri" w:cs="Calibri"/>
                <w:b/>
                <w:bCs/>
                <w:color w:val="000000"/>
                <w:lang w:eastAsia="en-AU"/>
              </w:rPr>
            </w:pPr>
          </w:p>
        </w:tc>
        <w:tc>
          <w:tcPr>
            <w:tcW w:w="1259" w:type="pct"/>
            <w:vMerge/>
            <w:tcBorders>
              <w:top w:val="single" w:sz="4" w:space="0" w:color="auto"/>
              <w:left w:val="single" w:sz="4" w:space="0" w:color="auto"/>
              <w:bottom w:val="single" w:sz="4" w:space="0" w:color="000000"/>
              <w:right w:val="dotted" w:sz="4" w:space="0" w:color="auto"/>
            </w:tcBorders>
            <w:vAlign w:val="center"/>
            <w:hideMark/>
          </w:tcPr>
          <w:p w14:paraId="08236528" w14:textId="77777777" w:rsidR="00193444" w:rsidRPr="00622788" w:rsidRDefault="00193444" w:rsidP="004E6074">
            <w:pPr>
              <w:spacing w:after="0" w:line="240" w:lineRule="auto"/>
              <w:rPr>
                <w:rFonts w:ascii="Calibri" w:eastAsia="Times New Roman" w:hAnsi="Calibri" w:cs="Calibri"/>
                <w:b/>
                <w:bCs/>
                <w:color w:val="000000"/>
                <w:lang w:eastAsia="en-AU"/>
              </w:rPr>
            </w:pPr>
          </w:p>
        </w:tc>
        <w:tc>
          <w:tcPr>
            <w:tcW w:w="925" w:type="pct"/>
            <w:tcBorders>
              <w:top w:val="nil"/>
              <w:left w:val="nil"/>
              <w:bottom w:val="single" w:sz="4" w:space="0" w:color="auto"/>
              <w:right w:val="nil"/>
            </w:tcBorders>
            <w:shd w:val="clear" w:color="000000" w:fill="D9D9D9"/>
            <w:noWrap/>
            <w:vAlign w:val="center"/>
            <w:hideMark/>
          </w:tcPr>
          <w:p w14:paraId="50EC5405" w14:textId="77777777" w:rsidR="00193444" w:rsidRPr="00622788" w:rsidRDefault="00193444" w:rsidP="004E6074">
            <w:pPr>
              <w:spacing w:after="0" w:line="240" w:lineRule="auto"/>
              <w:jc w:val="center"/>
              <w:rPr>
                <w:rFonts w:ascii="Calibri" w:eastAsia="Times New Roman" w:hAnsi="Calibri" w:cs="Calibri"/>
                <w:b/>
                <w:bCs/>
                <w:color w:val="000000"/>
                <w:lang w:eastAsia="en-AU"/>
              </w:rPr>
            </w:pPr>
            <w:r w:rsidRPr="00622788">
              <w:rPr>
                <w:rFonts w:ascii="Calibri" w:eastAsia="Times New Roman" w:hAnsi="Calibri" w:cs="Calibri"/>
                <w:b/>
                <w:bCs/>
                <w:color w:val="000000"/>
                <w:lang w:eastAsia="en-AU"/>
              </w:rPr>
              <w:t>#</w:t>
            </w:r>
          </w:p>
        </w:tc>
        <w:tc>
          <w:tcPr>
            <w:tcW w:w="1873" w:type="pct"/>
            <w:tcBorders>
              <w:top w:val="nil"/>
              <w:left w:val="nil"/>
              <w:bottom w:val="single" w:sz="4" w:space="0" w:color="auto"/>
              <w:right w:val="single" w:sz="4" w:space="0" w:color="auto"/>
            </w:tcBorders>
            <w:shd w:val="clear" w:color="000000" w:fill="D9D9D9"/>
            <w:noWrap/>
            <w:vAlign w:val="center"/>
            <w:hideMark/>
          </w:tcPr>
          <w:p w14:paraId="15602F44" w14:textId="77777777" w:rsidR="00193444" w:rsidRPr="00622788" w:rsidRDefault="00193444" w:rsidP="004E6074">
            <w:pPr>
              <w:spacing w:after="0" w:line="240" w:lineRule="auto"/>
              <w:jc w:val="center"/>
              <w:rPr>
                <w:rFonts w:ascii="Calibri" w:eastAsia="Times New Roman" w:hAnsi="Calibri" w:cs="Calibri"/>
                <w:b/>
                <w:bCs/>
                <w:color w:val="000000"/>
                <w:lang w:eastAsia="en-AU"/>
              </w:rPr>
            </w:pPr>
            <w:r w:rsidRPr="00622788">
              <w:rPr>
                <w:rFonts w:ascii="Calibri" w:eastAsia="Times New Roman" w:hAnsi="Calibri" w:cs="Calibri"/>
                <w:b/>
                <w:bCs/>
                <w:color w:val="000000"/>
                <w:lang w:eastAsia="en-AU"/>
              </w:rPr>
              <w:t>%</w:t>
            </w:r>
          </w:p>
        </w:tc>
      </w:tr>
      <w:tr w:rsidR="00193444" w:rsidRPr="00622788" w14:paraId="1EA2D1F4" w14:textId="77777777" w:rsidTr="005B3540">
        <w:trPr>
          <w:trHeight w:val="288"/>
        </w:trPr>
        <w:tc>
          <w:tcPr>
            <w:tcW w:w="943" w:type="pct"/>
            <w:tcBorders>
              <w:top w:val="nil"/>
              <w:left w:val="single" w:sz="4" w:space="0" w:color="auto"/>
              <w:bottom w:val="nil"/>
              <w:right w:val="single" w:sz="4" w:space="0" w:color="auto"/>
            </w:tcBorders>
            <w:shd w:val="clear" w:color="auto" w:fill="auto"/>
            <w:noWrap/>
            <w:vAlign w:val="bottom"/>
            <w:hideMark/>
          </w:tcPr>
          <w:p w14:paraId="372C1216" w14:textId="77777777" w:rsidR="00193444" w:rsidRPr="00622788" w:rsidRDefault="00193444" w:rsidP="004E6074">
            <w:pPr>
              <w:spacing w:after="0" w:line="240" w:lineRule="auto"/>
              <w:rPr>
                <w:rFonts w:ascii="Calibri" w:eastAsia="Times New Roman" w:hAnsi="Calibri" w:cs="Calibri"/>
                <w:color w:val="000000"/>
                <w:lang w:eastAsia="en-AU"/>
              </w:rPr>
            </w:pPr>
            <w:r w:rsidRPr="00622788">
              <w:rPr>
                <w:rFonts w:ascii="Calibri" w:eastAsia="Times New Roman" w:hAnsi="Calibri" w:cs="Calibri"/>
                <w:color w:val="000000"/>
                <w:lang w:eastAsia="en-AU"/>
              </w:rPr>
              <w:t>SIL</w:t>
            </w:r>
          </w:p>
        </w:tc>
        <w:tc>
          <w:tcPr>
            <w:tcW w:w="1259" w:type="pct"/>
            <w:tcBorders>
              <w:top w:val="nil"/>
              <w:left w:val="nil"/>
              <w:bottom w:val="nil"/>
              <w:right w:val="dotted" w:sz="4" w:space="0" w:color="auto"/>
            </w:tcBorders>
            <w:shd w:val="clear" w:color="auto" w:fill="auto"/>
            <w:noWrap/>
            <w:vAlign w:val="bottom"/>
            <w:hideMark/>
          </w:tcPr>
          <w:p w14:paraId="30BEAF88"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22,485</w:t>
            </w:r>
          </w:p>
        </w:tc>
        <w:tc>
          <w:tcPr>
            <w:tcW w:w="925" w:type="pct"/>
            <w:tcBorders>
              <w:top w:val="nil"/>
              <w:left w:val="nil"/>
              <w:bottom w:val="nil"/>
              <w:right w:val="nil"/>
            </w:tcBorders>
            <w:shd w:val="clear" w:color="auto" w:fill="auto"/>
            <w:noWrap/>
            <w:vAlign w:val="bottom"/>
            <w:hideMark/>
          </w:tcPr>
          <w:p w14:paraId="1E60D092"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3,821</w:t>
            </w:r>
          </w:p>
        </w:tc>
        <w:tc>
          <w:tcPr>
            <w:tcW w:w="1873" w:type="pct"/>
            <w:tcBorders>
              <w:top w:val="nil"/>
              <w:left w:val="nil"/>
              <w:bottom w:val="nil"/>
              <w:right w:val="single" w:sz="4" w:space="0" w:color="auto"/>
            </w:tcBorders>
            <w:shd w:val="clear" w:color="auto" w:fill="auto"/>
            <w:noWrap/>
            <w:vAlign w:val="bottom"/>
            <w:hideMark/>
          </w:tcPr>
          <w:p w14:paraId="032E348E"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17.0%</w:t>
            </w:r>
          </w:p>
        </w:tc>
      </w:tr>
      <w:tr w:rsidR="00193444" w:rsidRPr="00622788" w14:paraId="7970A870" w14:textId="77777777" w:rsidTr="005B3540">
        <w:trPr>
          <w:trHeight w:val="288"/>
        </w:trPr>
        <w:tc>
          <w:tcPr>
            <w:tcW w:w="943" w:type="pct"/>
            <w:tcBorders>
              <w:top w:val="nil"/>
              <w:left w:val="single" w:sz="4" w:space="0" w:color="auto"/>
              <w:bottom w:val="nil"/>
              <w:right w:val="single" w:sz="4" w:space="0" w:color="auto"/>
            </w:tcBorders>
            <w:shd w:val="clear" w:color="auto" w:fill="auto"/>
            <w:noWrap/>
            <w:vAlign w:val="bottom"/>
            <w:hideMark/>
          </w:tcPr>
          <w:p w14:paraId="675D311E" w14:textId="77777777" w:rsidR="00193444" w:rsidRPr="00622788" w:rsidRDefault="00193444" w:rsidP="004E6074">
            <w:pPr>
              <w:spacing w:after="0" w:line="240" w:lineRule="auto"/>
              <w:rPr>
                <w:rFonts w:ascii="Calibri" w:eastAsia="Times New Roman" w:hAnsi="Calibri" w:cs="Calibri"/>
                <w:color w:val="000000"/>
                <w:lang w:eastAsia="en-AU"/>
              </w:rPr>
            </w:pPr>
            <w:r w:rsidRPr="00622788">
              <w:rPr>
                <w:rFonts w:ascii="Calibri" w:eastAsia="Times New Roman" w:hAnsi="Calibri" w:cs="Calibri"/>
                <w:color w:val="000000"/>
                <w:lang w:eastAsia="en-AU"/>
              </w:rPr>
              <w:t>Non-SIL</w:t>
            </w:r>
          </w:p>
        </w:tc>
        <w:tc>
          <w:tcPr>
            <w:tcW w:w="1259" w:type="pct"/>
            <w:tcBorders>
              <w:top w:val="nil"/>
              <w:left w:val="nil"/>
              <w:bottom w:val="nil"/>
              <w:right w:val="dotted" w:sz="4" w:space="0" w:color="auto"/>
            </w:tcBorders>
            <w:shd w:val="clear" w:color="auto" w:fill="auto"/>
            <w:noWrap/>
            <w:vAlign w:val="bottom"/>
            <w:hideMark/>
          </w:tcPr>
          <w:p w14:paraId="7D323492"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444,134</w:t>
            </w:r>
          </w:p>
        </w:tc>
        <w:tc>
          <w:tcPr>
            <w:tcW w:w="925" w:type="pct"/>
            <w:tcBorders>
              <w:top w:val="nil"/>
              <w:left w:val="nil"/>
              <w:bottom w:val="nil"/>
              <w:right w:val="nil"/>
            </w:tcBorders>
            <w:shd w:val="clear" w:color="auto" w:fill="auto"/>
            <w:noWrap/>
            <w:vAlign w:val="bottom"/>
            <w:hideMark/>
          </w:tcPr>
          <w:p w14:paraId="0A17BBBB"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2,801</w:t>
            </w:r>
          </w:p>
        </w:tc>
        <w:tc>
          <w:tcPr>
            <w:tcW w:w="1873" w:type="pct"/>
            <w:tcBorders>
              <w:top w:val="nil"/>
              <w:left w:val="nil"/>
              <w:bottom w:val="nil"/>
              <w:right w:val="single" w:sz="4" w:space="0" w:color="auto"/>
            </w:tcBorders>
            <w:shd w:val="clear" w:color="auto" w:fill="auto"/>
            <w:noWrap/>
            <w:vAlign w:val="bottom"/>
            <w:hideMark/>
          </w:tcPr>
          <w:p w14:paraId="4B899D9F"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0.6%</w:t>
            </w:r>
          </w:p>
        </w:tc>
      </w:tr>
      <w:tr w:rsidR="00193444" w:rsidRPr="00622788" w14:paraId="458D6E5A" w14:textId="77777777" w:rsidTr="005B3540">
        <w:trPr>
          <w:trHeight w:val="288"/>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ABC0F" w14:textId="77777777" w:rsidR="00193444" w:rsidRPr="00622788" w:rsidRDefault="00193444" w:rsidP="004E6074">
            <w:pPr>
              <w:spacing w:after="0" w:line="240" w:lineRule="auto"/>
              <w:rPr>
                <w:rFonts w:ascii="Calibri" w:eastAsia="Times New Roman" w:hAnsi="Calibri" w:cs="Calibri"/>
                <w:b/>
                <w:bCs/>
                <w:color w:val="000000"/>
                <w:lang w:eastAsia="en-AU"/>
              </w:rPr>
            </w:pPr>
            <w:r w:rsidRPr="00622788">
              <w:rPr>
                <w:rFonts w:ascii="Calibri" w:eastAsia="Times New Roman" w:hAnsi="Calibri" w:cs="Calibri"/>
                <w:b/>
                <w:bCs/>
                <w:color w:val="000000"/>
                <w:lang w:eastAsia="en-AU"/>
              </w:rPr>
              <w:t>Total</w:t>
            </w:r>
          </w:p>
        </w:tc>
        <w:tc>
          <w:tcPr>
            <w:tcW w:w="1259" w:type="pct"/>
            <w:tcBorders>
              <w:top w:val="single" w:sz="4" w:space="0" w:color="auto"/>
              <w:left w:val="nil"/>
              <w:bottom w:val="single" w:sz="4" w:space="0" w:color="auto"/>
              <w:right w:val="dotted" w:sz="4" w:space="0" w:color="auto"/>
            </w:tcBorders>
            <w:shd w:val="clear" w:color="auto" w:fill="auto"/>
            <w:noWrap/>
            <w:vAlign w:val="bottom"/>
            <w:hideMark/>
          </w:tcPr>
          <w:p w14:paraId="3B0D7087"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466,619</w:t>
            </w:r>
          </w:p>
        </w:tc>
        <w:tc>
          <w:tcPr>
            <w:tcW w:w="925" w:type="pct"/>
            <w:tcBorders>
              <w:top w:val="single" w:sz="4" w:space="0" w:color="auto"/>
              <w:left w:val="nil"/>
              <w:bottom w:val="single" w:sz="4" w:space="0" w:color="auto"/>
              <w:right w:val="nil"/>
            </w:tcBorders>
            <w:shd w:val="clear" w:color="auto" w:fill="auto"/>
            <w:noWrap/>
            <w:vAlign w:val="bottom"/>
            <w:hideMark/>
          </w:tcPr>
          <w:p w14:paraId="0DA2C63C"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6,622</w:t>
            </w:r>
          </w:p>
        </w:tc>
        <w:tc>
          <w:tcPr>
            <w:tcW w:w="1873" w:type="pct"/>
            <w:tcBorders>
              <w:top w:val="single" w:sz="4" w:space="0" w:color="auto"/>
              <w:left w:val="nil"/>
              <w:bottom w:val="single" w:sz="4" w:space="0" w:color="auto"/>
              <w:right w:val="single" w:sz="4" w:space="0" w:color="auto"/>
            </w:tcBorders>
            <w:shd w:val="clear" w:color="auto" w:fill="auto"/>
            <w:noWrap/>
            <w:vAlign w:val="bottom"/>
            <w:hideMark/>
          </w:tcPr>
          <w:p w14:paraId="389BA172" w14:textId="77777777" w:rsidR="00193444" w:rsidRPr="00622788" w:rsidRDefault="00193444" w:rsidP="004E6074">
            <w:pPr>
              <w:spacing w:after="0" w:line="240" w:lineRule="auto"/>
              <w:jc w:val="center"/>
              <w:rPr>
                <w:rFonts w:ascii="Calibri" w:eastAsia="Times New Roman" w:hAnsi="Calibri" w:cs="Calibri"/>
                <w:color w:val="000000"/>
                <w:lang w:eastAsia="en-AU"/>
              </w:rPr>
            </w:pPr>
            <w:r>
              <w:rPr>
                <w:rFonts w:ascii="Calibri" w:hAnsi="Calibri" w:cs="Calibri"/>
                <w:color w:val="000000"/>
              </w:rPr>
              <w:t>1.4%</w:t>
            </w:r>
          </w:p>
        </w:tc>
      </w:tr>
    </w:tbl>
    <w:p w14:paraId="5DCF47AA" w14:textId="77777777" w:rsidR="00193444" w:rsidRDefault="00193444" w:rsidP="00A47A9F">
      <w:pPr>
        <w:rPr>
          <w:rFonts w:asciiTheme="minorHAnsi" w:hAnsiTheme="minorHAnsi" w:cstheme="minorHAnsi"/>
        </w:rPr>
      </w:pPr>
    </w:p>
    <w:p w14:paraId="73FD1DD8" w14:textId="77777777" w:rsidR="00A47A9F" w:rsidRDefault="00A47A9F" w:rsidP="00A47A9F">
      <w:pPr>
        <w:rPr>
          <w:rFonts w:asciiTheme="minorHAnsi" w:hAnsiTheme="minorHAnsi" w:cstheme="minorHAnsi"/>
        </w:rPr>
      </w:pPr>
      <w:r>
        <w:rPr>
          <w:rFonts w:asciiTheme="minorHAnsi" w:hAnsiTheme="minorHAnsi" w:cstheme="minorHAnsi"/>
        </w:rPr>
        <w:t xml:space="preserve">The majority of participants subject to </w:t>
      </w:r>
      <w:r w:rsidR="00293EF2">
        <w:rPr>
          <w:rFonts w:asciiTheme="minorHAnsi" w:hAnsiTheme="minorHAnsi" w:cstheme="minorHAnsi"/>
        </w:rPr>
        <w:t xml:space="preserve">URPs </w:t>
      </w:r>
      <w:r w:rsidR="00032102">
        <w:rPr>
          <w:rFonts w:asciiTheme="minorHAnsi" w:hAnsiTheme="minorHAnsi" w:cstheme="minorHAnsi"/>
        </w:rPr>
        <w:t xml:space="preserve">receive funding for </w:t>
      </w:r>
      <w:r w:rsidR="00193444">
        <w:rPr>
          <w:rFonts w:asciiTheme="minorHAnsi" w:hAnsiTheme="minorHAnsi" w:cstheme="minorHAnsi"/>
        </w:rPr>
        <w:t xml:space="preserve">SIL </w:t>
      </w:r>
      <w:r w:rsidR="00032102">
        <w:rPr>
          <w:rFonts w:asciiTheme="minorHAnsi" w:hAnsiTheme="minorHAnsi" w:cstheme="minorHAnsi"/>
        </w:rPr>
        <w:t xml:space="preserve">supports. </w:t>
      </w:r>
    </w:p>
    <w:p w14:paraId="506EE68C" w14:textId="77777777" w:rsidR="00032102" w:rsidRDefault="00032102" w:rsidP="00A47A9F">
      <w:pPr>
        <w:rPr>
          <w:rFonts w:asciiTheme="minorHAnsi" w:hAnsiTheme="minorHAnsi" w:cstheme="minorHAnsi"/>
        </w:rPr>
      </w:pPr>
      <w:r>
        <w:rPr>
          <w:rFonts w:asciiTheme="minorHAnsi" w:hAnsiTheme="minorHAnsi" w:cstheme="minorHAnsi"/>
        </w:rPr>
        <w:t xml:space="preserve">As SIL is a type of support for participants with higher support needs, relatively few </w:t>
      </w:r>
      <w:r w:rsidR="00193444">
        <w:rPr>
          <w:rFonts w:asciiTheme="minorHAnsi" w:hAnsiTheme="minorHAnsi" w:cstheme="minorHAnsi"/>
        </w:rPr>
        <w:t xml:space="preserve">of the total number of active </w:t>
      </w:r>
      <w:r>
        <w:rPr>
          <w:rFonts w:asciiTheme="minorHAnsi" w:hAnsiTheme="minorHAnsi" w:cstheme="minorHAnsi"/>
        </w:rPr>
        <w:t xml:space="preserve">participants receive funding for SIL supports. In 2020-21, 4.8% of active participants received funding for SIL supports. However, a majority of participants who were subject to </w:t>
      </w:r>
      <w:r w:rsidR="00293EF2">
        <w:rPr>
          <w:rFonts w:asciiTheme="minorHAnsi" w:hAnsiTheme="minorHAnsi" w:cstheme="minorHAnsi"/>
        </w:rPr>
        <w:t>URPs</w:t>
      </w:r>
      <w:r w:rsidR="00193444">
        <w:rPr>
          <w:rFonts w:asciiTheme="minorHAnsi" w:hAnsiTheme="minorHAnsi" w:cstheme="minorHAnsi"/>
        </w:rPr>
        <w:t xml:space="preserve"> in 2020-</w:t>
      </w:r>
      <w:r>
        <w:rPr>
          <w:rFonts w:asciiTheme="minorHAnsi" w:hAnsiTheme="minorHAnsi" w:cstheme="minorHAnsi"/>
        </w:rPr>
        <w:t xml:space="preserve">21 were participants who received funding for SIL supports. </w:t>
      </w:r>
    </w:p>
    <w:p w14:paraId="498F6519" w14:textId="77777777" w:rsidR="00A47A9F" w:rsidRDefault="00032102" w:rsidP="00A47A9F">
      <w:pPr>
        <w:rPr>
          <w:rFonts w:asciiTheme="minorHAnsi" w:hAnsiTheme="minorHAnsi" w:cstheme="minorHAnsi"/>
        </w:rPr>
      </w:pPr>
      <w:r>
        <w:rPr>
          <w:rFonts w:asciiTheme="minorHAnsi" w:hAnsiTheme="minorHAnsi" w:cstheme="minorHAnsi"/>
        </w:rPr>
        <w:t>Of the 6,662 participants subject to URPs in 2020-21, 58% received funding for SIL supports.</w:t>
      </w:r>
      <w:r w:rsidR="00293EF2">
        <w:rPr>
          <w:rFonts w:asciiTheme="minorHAnsi" w:hAnsiTheme="minorHAnsi" w:cstheme="minorHAnsi"/>
        </w:rPr>
        <w:t xml:space="preserve"> H</w:t>
      </w:r>
      <w:r w:rsidR="00A47A9F">
        <w:rPr>
          <w:rFonts w:asciiTheme="minorHAnsi" w:hAnsiTheme="minorHAnsi" w:cstheme="minorHAnsi"/>
        </w:rPr>
        <w:t xml:space="preserve">owever, it should also be noted that </w:t>
      </w:r>
      <w:r w:rsidR="003F39F0">
        <w:rPr>
          <w:rFonts w:asciiTheme="minorHAnsi" w:hAnsiTheme="minorHAnsi" w:cstheme="minorHAnsi"/>
        </w:rPr>
        <w:t xml:space="preserve">most participants who receive funding for SIL supports are not subject to URPs. Of the 22,485 active participants who received funding for </w:t>
      </w:r>
      <w:r w:rsidR="00293EF2">
        <w:rPr>
          <w:rFonts w:asciiTheme="minorHAnsi" w:hAnsiTheme="minorHAnsi" w:cstheme="minorHAnsi"/>
        </w:rPr>
        <w:t>SIL</w:t>
      </w:r>
      <w:r w:rsidR="00193444">
        <w:rPr>
          <w:rFonts w:asciiTheme="minorHAnsi" w:hAnsiTheme="minorHAnsi" w:cstheme="minorHAnsi"/>
        </w:rPr>
        <w:t xml:space="preserve"> in 2020-</w:t>
      </w:r>
      <w:r w:rsidR="003F39F0">
        <w:rPr>
          <w:rFonts w:asciiTheme="minorHAnsi" w:hAnsiTheme="minorHAnsi" w:cstheme="minorHAnsi"/>
        </w:rPr>
        <w:t xml:space="preserve">21, 17% were subject to URPs. </w:t>
      </w:r>
    </w:p>
    <w:p w14:paraId="383C5FCE" w14:textId="77777777" w:rsidR="003268DE" w:rsidRDefault="003268DE" w:rsidP="00241C96">
      <w:pPr>
        <w:pStyle w:val="Heading2"/>
      </w:pPr>
    </w:p>
    <w:p w14:paraId="1D263A90" w14:textId="58D9D7E5" w:rsidR="00241C96" w:rsidRDefault="00241C96" w:rsidP="00241C96">
      <w:pPr>
        <w:pStyle w:val="Heading2"/>
      </w:pPr>
      <w:r>
        <w:t xml:space="preserve">Participants subject to URPs by receipt of </w:t>
      </w:r>
      <w:r w:rsidR="0014646D">
        <w:t>b</w:t>
      </w:r>
      <w:r>
        <w:t xml:space="preserve">ehaviour </w:t>
      </w:r>
      <w:r w:rsidR="0014646D">
        <w:t>s</w:t>
      </w:r>
      <w:r>
        <w:t>upport funding</w:t>
      </w:r>
    </w:p>
    <w:p w14:paraId="5EA16EEB" w14:textId="77777777" w:rsidR="00241C96" w:rsidRDefault="00282A1E" w:rsidP="00241C96">
      <w:pPr>
        <w:rPr>
          <w:rFonts w:asciiTheme="minorHAnsi" w:hAnsiTheme="minorHAnsi" w:cstheme="minorHAnsi"/>
        </w:rPr>
      </w:pPr>
      <w:r w:rsidRPr="005B3540">
        <w:rPr>
          <w:rFonts w:asciiTheme="minorHAnsi" w:hAnsiTheme="minorHAnsi" w:cstheme="minorHAnsi"/>
        </w:rPr>
        <w:fldChar w:fldCharType="begin"/>
      </w:r>
      <w:r w:rsidRPr="005B3540">
        <w:rPr>
          <w:rFonts w:asciiTheme="minorHAnsi" w:hAnsiTheme="minorHAnsi" w:cstheme="minorHAnsi"/>
        </w:rPr>
        <w:instrText xml:space="preserve"> REF _Ref92703820 \h </w:instrText>
      </w:r>
      <w:r>
        <w:rPr>
          <w:rFonts w:asciiTheme="minorHAnsi" w:hAnsiTheme="minorHAnsi" w:cstheme="minorHAnsi"/>
        </w:rPr>
        <w:instrText xml:space="preserve"> \* MERGEFORMAT </w:instrText>
      </w:r>
      <w:r w:rsidRPr="005B3540">
        <w:rPr>
          <w:rFonts w:asciiTheme="minorHAnsi" w:hAnsiTheme="minorHAnsi" w:cstheme="minorHAnsi"/>
        </w:rPr>
      </w:r>
      <w:r w:rsidRPr="005B3540">
        <w:rPr>
          <w:rFonts w:asciiTheme="minorHAnsi" w:hAnsiTheme="minorHAnsi" w:cstheme="minorHAnsi"/>
        </w:rPr>
        <w:fldChar w:fldCharType="separate"/>
      </w:r>
      <w:r w:rsidRPr="005B3540">
        <w:rPr>
          <w:rFonts w:asciiTheme="minorHAnsi" w:hAnsiTheme="minorHAnsi" w:cstheme="minorHAnsi"/>
        </w:rPr>
        <w:t>Table 5</w:t>
      </w:r>
      <w:r w:rsidRPr="005B3540">
        <w:rPr>
          <w:rFonts w:asciiTheme="minorHAnsi" w:hAnsiTheme="minorHAnsi" w:cstheme="minorHAnsi"/>
        </w:rPr>
        <w:fldChar w:fldCharType="end"/>
      </w:r>
      <w:r w:rsidRPr="005B3540">
        <w:rPr>
          <w:rFonts w:asciiTheme="minorHAnsi" w:hAnsiTheme="minorHAnsi" w:cstheme="minorHAnsi"/>
        </w:rPr>
        <w:t xml:space="preserve"> </w:t>
      </w:r>
      <w:r w:rsidR="00241C96">
        <w:rPr>
          <w:rFonts w:asciiTheme="minorHAnsi" w:hAnsiTheme="minorHAnsi" w:cstheme="minorHAnsi"/>
        </w:rPr>
        <w:t xml:space="preserve">below analyses the number of participants subject to URPs in 2020-21 by </w:t>
      </w:r>
      <w:r w:rsidR="00241C96" w:rsidRPr="00C6708F">
        <w:rPr>
          <w:rFonts w:asciiTheme="minorHAnsi" w:hAnsiTheme="minorHAnsi" w:cstheme="minorHAnsi"/>
        </w:rPr>
        <w:t xml:space="preserve">whether they receive funding for </w:t>
      </w:r>
      <w:r w:rsidR="00241C96">
        <w:rPr>
          <w:rFonts w:asciiTheme="minorHAnsi" w:hAnsiTheme="minorHAnsi" w:cstheme="minorHAnsi"/>
        </w:rPr>
        <w:t>behaviour</w:t>
      </w:r>
      <w:r w:rsidR="00241C96" w:rsidRPr="00C6708F">
        <w:rPr>
          <w:rFonts w:asciiTheme="minorHAnsi" w:hAnsiTheme="minorHAnsi" w:cstheme="minorHAnsi"/>
        </w:rPr>
        <w:t xml:space="preserve"> supports</w:t>
      </w:r>
      <w:r w:rsidR="00241C96">
        <w:rPr>
          <w:rFonts w:asciiTheme="minorHAnsi" w:hAnsiTheme="minorHAnsi" w:cstheme="minorHAnsi"/>
        </w:rPr>
        <w:t xml:space="preserve">. </w:t>
      </w:r>
    </w:p>
    <w:p w14:paraId="72290795" w14:textId="77777777" w:rsidR="00282A1E" w:rsidRDefault="00BC10C7" w:rsidP="00241C96">
      <w:pPr>
        <w:rPr>
          <w:rFonts w:asciiTheme="minorHAnsi" w:hAnsiTheme="minorHAnsi" w:cstheme="minorHAnsi"/>
        </w:rPr>
      </w:pPr>
      <w:r>
        <w:rPr>
          <w:rFonts w:asciiTheme="minorHAnsi" w:hAnsiTheme="minorHAnsi" w:cstheme="minorHAnsi"/>
        </w:rPr>
        <w:t xml:space="preserve">Dependent on the participant’s circumstance, NDIS funded support workers may require individualised training specific to the participant to maintain consistency and positive behaviour supports. Practitioners may provide training plans for the support worker or therapy assistant in the development of social skills identified as required due to behaviours of concern. Participants may also receive funding to implement their behaviour support plan and address any behavioural </w:t>
      </w:r>
      <w:r>
        <w:rPr>
          <w:rFonts w:asciiTheme="minorHAnsi" w:hAnsiTheme="minorHAnsi" w:cstheme="minorHAnsi"/>
        </w:rPr>
        <w:lastRenderedPageBreak/>
        <w:t>complexities in their current life situation. Collectively these are funded Behaviour Supports.</w:t>
      </w:r>
      <w:r w:rsidR="006D692A" w:rsidRPr="006D692A">
        <w:rPr>
          <w:rFonts w:asciiTheme="minorHAnsi" w:hAnsiTheme="minorHAnsi" w:cstheme="minorHAnsi"/>
        </w:rPr>
        <w:t xml:space="preserve"> </w:t>
      </w:r>
      <w:r w:rsidR="006D692A">
        <w:rPr>
          <w:rFonts w:asciiTheme="minorHAnsi" w:hAnsiTheme="minorHAnsi" w:cstheme="minorHAnsi"/>
        </w:rPr>
        <w:t xml:space="preserve">Participants who are subject to ongoing restrictive practices are likely to require behaviour support funding to fund the preparation of their behaviour support plan. They may also receiving NDIS funding for implementation of their behaviour support plan; for example, funding may be required for the behaviour support practitioner who prepared the participant’s behaviour support plan to train the support workers who will be required to implement the positive behaviour support strategies in the plan. The NDIS also provides behaviour support funding to some participants who are not subject to restrictive practices if this is considered reasonable and necessary </w:t>
      </w:r>
      <w:r w:rsidR="000E3AD2">
        <w:rPr>
          <w:rFonts w:asciiTheme="minorHAnsi" w:hAnsiTheme="minorHAnsi" w:cstheme="minorHAnsi"/>
        </w:rPr>
        <w:t xml:space="preserve">support </w:t>
      </w:r>
      <w:r w:rsidR="006D692A">
        <w:rPr>
          <w:rFonts w:asciiTheme="minorHAnsi" w:hAnsiTheme="minorHAnsi" w:cstheme="minorHAnsi"/>
        </w:rPr>
        <w:t xml:space="preserve">for the participant.  </w:t>
      </w:r>
      <w:r w:rsidR="0014646D">
        <w:rPr>
          <w:rFonts w:asciiTheme="minorHAnsi" w:hAnsiTheme="minorHAnsi" w:cstheme="minorHAnsi"/>
        </w:rPr>
        <w:t xml:space="preserve"> </w:t>
      </w:r>
    </w:p>
    <w:p w14:paraId="590825CD" w14:textId="77777777" w:rsidR="00282A1E" w:rsidRPr="00A40863" w:rsidRDefault="00282A1E" w:rsidP="005B3540">
      <w:pPr>
        <w:pStyle w:val="Caption"/>
        <w:keepNext/>
        <w:rPr>
          <w:rFonts w:cs="Arial"/>
          <w:sz w:val="18"/>
        </w:rPr>
      </w:pPr>
      <w:bookmarkStart w:id="14" w:name="_Ref92703820"/>
      <w:r w:rsidRPr="00A40863">
        <w:rPr>
          <w:rFonts w:cs="Arial"/>
          <w:caps w:val="0"/>
          <w:sz w:val="18"/>
        </w:rPr>
        <w:t xml:space="preserve">Table </w:t>
      </w:r>
      <w:r w:rsidR="00867212" w:rsidRPr="00A40863">
        <w:rPr>
          <w:rFonts w:cs="Arial"/>
          <w:sz w:val="18"/>
        </w:rPr>
        <w:fldChar w:fldCharType="begin"/>
      </w:r>
      <w:r w:rsidR="00867212" w:rsidRPr="00A40863">
        <w:rPr>
          <w:rFonts w:cs="Arial"/>
          <w:sz w:val="18"/>
        </w:rPr>
        <w:instrText xml:space="preserve"> SEQ Table \* ARABIC </w:instrText>
      </w:r>
      <w:r w:rsidR="00867212" w:rsidRPr="00A40863">
        <w:rPr>
          <w:rFonts w:cs="Arial"/>
          <w:sz w:val="18"/>
        </w:rPr>
        <w:fldChar w:fldCharType="separate"/>
      </w:r>
      <w:r w:rsidRPr="00A40863">
        <w:rPr>
          <w:rFonts w:cs="Arial"/>
          <w:noProof/>
          <w:sz w:val="18"/>
        </w:rPr>
        <w:t>5</w:t>
      </w:r>
      <w:r w:rsidR="00867212" w:rsidRPr="00A40863">
        <w:rPr>
          <w:rFonts w:cs="Arial"/>
          <w:noProof/>
          <w:sz w:val="18"/>
        </w:rPr>
        <w:fldChar w:fldCharType="end"/>
      </w:r>
      <w:bookmarkEnd w:id="14"/>
      <w:r w:rsidRPr="00A40863">
        <w:rPr>
          <w:rFonts w:cs="Arial"/>
          <w:sz w:val="18"/>
        </w:rPr>
        <w:t xml:space="preserve"> - P</w:t>
      </w:r>
      <w:r w:rsidRPr="00A40863">
        <w:rPr>
          <w:rFonts w:cs="Arial"/>
          <w:caps w:val="0"/>
          <w:sz w:val="18"/>
        </w:rPr>
        <w:t xml:space="preserve">articipants subject to restrictive practices in 2020-21 by </w:t>
      </w:r>
      <w:r w:rsidR="006D692A" w:rsidRPr="00A40863">
        <w:rPr>
          <w:rFonts w:cs="Arial"/>
          <w:caps w:val="0"/>
          <w:sz w:val="18"/>
        </w:rPr>
        <w:t>b</w:t>
      </w:r>
      <w:r w:rsidRPr="00A40863">
        <w:rPr>
          <w:rFonts w:cs="Arial"/>
          <w:caps w:val="0"/>
          <w:sz w:val="18"/>
        </w:rPr>
        <w:t xml:space="preserve">ehaviour </w:t>
      </w:r>
      <w:r w:rsidR="006D692A" w:rsidRPr="00A40863">
        <w:rPr>
          <w:rFonts w:cs="Arial"/>
          <w:caps w:val="0"/>
          <w:sz w:val="18"/>
        </w:rPr>
        <w:t>s</w:t>
      </w:r>
      <w:r w:rsidRPr="00A40863">
        <w:rPr>
          <w:rFonts w:cs="Arial"/>
          <w:caps w:val="0"/>
          <w:sz w:val="18"/>
        </w:rPr>
        <w:t>upport funding</w:t>
      </w:r>
    </w:p>
    <w:tbl>
      <w:tblPr>
        <w:tblW w:w="7948" w:type="dxa"/>
        <w:tblLook w:val="04A0" w:firstRow="1" w:lastRow="0" w:firstColumn="1" w:lastColumn="0" w:noHBand="0" w:noVBand="1"/>
      </w:tblPr>
      <w:tblGrid>
        <w:gridCol w:w="2405"/>
        <w:gridCol w:w="1558"/>
        <w:gridCol w:w="1722"/>
        <w:gridCol w:w="2263"/>
      </w:tblGrid>
      <w:tr w:rsidR="00282A1E" w:rsidRPr="00282A1E" w14:paraId="5CC734A9" w14:textId="77777777" w:rsidTr="005B3540">
        <w:trPr>
          <w:trHeight w:val="234"/>
        </w:trPr>
        <w:tc>
          <w:tcPr>
            <w:tcW w:w="240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89F008B" w14:textId="77777777" w:rsidR="00282A1E" w:rsidRPr="00282A1E" w:rsidRDefault="00282A1E" w:rsidP="00282A1E">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Behaviour </w:t>
            </w:r>
            <w:r w:rsidR="006D692A">
              <w:rPr>
                <w:rFonts w:ascii="Calibri" w:eastAsia="Times New Roman" w:hAnsi="Calibri" w:cs="Calibri"/>
                <w:b/>
                <w:bCs/>
                <w:color w:val="000000"/>
                <w:lang w:eastAsia="en-AU"/>
              </w:rPr>
              <w:t>s</w:t>
            </w:r>
            <w:r>
              <w:rPr>
                <w:rFonts w:ascii="Calibri" w:eastAsia="Times New Roman" w:hAnsi="Calibri" w:cs="Calibri"/>
                <w:b/>
                <w:bCs/>
                <w:color w:val="000000"/>
                <w:lang w:eastAsia="en-AU"/>
              </w:rPr>
              <w:t>upport</w:t>
            </w:r>
            <w:r w:rsidRPr="00282A1E">
              <w:rPr>
                <w:rFonts w:ascii="Calibri" w:eastAsia="Times New Roman" w:hAnsi="Calibri" w:cs="Calibri"/>
                <w:b/>
                <w:bCs/>
                <w:color w:val="000000"/>
                <w:lang w:eastAsia="en-AU"/>
              </w:rPr>
              <w:t xml:space="preserve"> Funding</w:t>
            </w:r>
          </w:p>
        </w:tc>
        <w:tc>
          <w:tcPr>
            <w:tcW w:w="155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6E48A84" w14:textId="77777777" w:rsidR="00282A1E" w:rsidRPr="00282A1E" w:rsidRDefault="00282A1E" w:rsidP="00282A1E">
            <w:pPr>
              <w:spacing w:after="0" w:line="240" w:lineRule="auto"/>
              <w:jc w:val="center"/>
              <w:rPr>
                <w:rFonts w:ascii="Calibri" w:eastAsia="Times New Roman" w:hAnsi="Calibri" w:cs="Calibri"/>
                <w:b/>
                <w:bCs/>
                <w:color w:val="000000"/>
                <w:lang w:eastAsia="en-AU"/>
              </w:rPr>
            </w:pPr>
            <w:r w:rsidRPr="00282A1E">
              <w:rPr>
                <w:rFonts w:ascii="Calibri" w:eastAsia="Times New Roman" w:hAnsi="Calibri" w:cs="Calibri"/>
                <w:b/>
                <w:bCs/>
                <w:color w:val="000000"/>
                <w:lang w:eastAsia="en-AU"/>
              </w:rPr>
              <w:t>Active participants</w:t>
            </w:r>
          </w:p>
        </w:tc>
        <w:tc>
          <w:tcPr>
            <w:tcW w:w="3985" w:type="dxa"/>
            <w:gridSpan w:val="2"/>
            <w:tcBorders>
              <w:top w:val="single" w:sz="4" w:space="0" w:color="auto"/>
              <w:left w:val="nil"/>
              <w:bottom w:val="nil"/>
              <w:right w:val="single" w:sz="4" w:space="0" w:color="000000"/>
            </w:tcBorders>
            <w:shd w:val="clear" w:color="000000" w:fill="D9D9D9"/>
            <w:vAlign w:val="center"/>
            <w:hideMark/>
          </w:tcPr>
          <w:p w14:paraId="38A2E8BC" w14:textId="77777777" w:rsidR="00282A1E" w:rsidRPr="00282A1E" w:rsidRDefault="00282A1E" w:rsidP="00282A1E">
            <w:pPr>
              <w:spacing w:after="0" w:line="240" w:lineRule="auto"/>
              <w:jc w:val="center"/>
              <w:rPr>
                <w:rFonts w:ascii="Calibri" w:eastAsia="Times New Roman" w:hAnsi="Calibri" w:cs="Calibri"/>
                <w:b/>
                <w:bCs/>
                <w:color w:val="000000"/>
                <w:lang w:eastAsia="en-AU"/>
              </w:rPr>
            </w:pPr>
            <w:r w:rsidRPr="00282A1E">
              <w:rPr>
                <w:rFonts w:ascii="Calibri" w:eastAsia="Times New Roman" w:hAnsi="Calibri" w:cs="Calibri"/>
                <w:b/>
                <w:bCs/>
                <w:color w:val="000000"/>
                <w:lang w:eastAsia="en-AU"/>
              </w:rPr>
              <w:t>Participants subject to URPs</w:t>
            </w:r>
          </w:p>
        </w:tc>
      </w:tr>
      <w:tr w:rsidR="00282A1E" w:rsidRPr="00282A1E" w14:paraId="763A2337" w14:textId="77777777" w:rsidTr="005B3540">
        <w:trPr>
          <w:trHeight w:val="234"/>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613C125B" w14:textId="77777777" w:rsidR="00282A1E" w:rsidRPr="00282A1E" w:rsidRDefault="00282A1E" w:rsidP="00282A1E">
            <w:pPr>
              <w:spacing w:after="0" w:line="240" w:lineRule="auto"/>
              <w:rPr>
                <w:rFonts w:ascii="Calibri" w:eastAsia="Times New Roman" w:hAnsi="Calibri" w:cs="Calibri"/>
                <w:b/>
                <w:bCs/>
                <w:color w:val="000000"/>
                <w:lang w:eastAsia="en-AU"/>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58991A87" w14:textId="77777777" w:rsidR="00282A1E" w:rsidRPr="00282A1E" w:rsidRDefault="00282A1E" w:rsidP="00282A1E">
            <w:pPr>
              <w:spacing w:after="0" w:line="240" w:lineRule="auto"/>
              <w:rPr>
                <w:rFonts w:ascii="Calibri" w:eastAsia="Times New Roman" w:hAnsi="Calibri" w:cs="Calibri"/>
                <w:b/>
                <w:bCs/>
                <w:color w:val="000000"/>
                <w:lang w:eastAsia="en-AU"/>
              </w:rPr>
            </w:pPr>
          </w:p>
        </w:tc>
        <w:tc>
          <w:tcPr>
            <w:tcW w:w="1722" w:type="dxa"/>
            <w:tcBorders>
              <w:top w:val="nil"/>
              <w:left w:val="nil"/>
              <w:bottom w:val="single" w:sz="4" w:space="0" w:color="auto"/>
              <w:right w:val="nil"/>
            </w:tcBorders>
            <w:shd w:val="clear" w:color="000000" w:fill="D9D9D9"/>
            <w:noWrap/>
            <w:vAlign w:val="center"/>
            <w:hideMark/>
          </w:tcPr>
          <w:p w14:paraId="049B9559" w14:textId="77777777" w:rsidR="00282A1E" w:rsidRPr="00282A1E" w:rsidRDefault="00282A1E" w:rsidP="00282A1E">
            <w:pPr>
              <w:spacing w:after="0" w:line="240" w:lineRule="auto"/>
              <w:jc w:val="center"/>
              <w:rPr>
                <w:rFonts w:ascii="Calibri" w:eastAsia="Times New Roman" w:hAnsi="Calibri" w:cs="Calibri"/>
                <w:b/>
                <w:bCs/>
                <w:color w:val="000000"/>
                <w:lang w:eastAsia="en-AU"/>
              </w:rPr>
            </w:pPr>
            <w:r w:rsidRPr="00282A1E">
              <w:rPr>
                <w:rFonts w:ascii="Calibri" w:eastAsia="Times New Roman" w:hAnsi="Calibri" w:cs="Calibri"/>
                <w:b/>
                <w:bCs/>
                <w:color w:val="000000"/>
                <w:lang w:eastAsia="en-AU"/>
              </w:rPr>
              <w:t>#</w:t>
            </w:r>
          </w:p>
        </w:tc>
        <w:tc>
          <w:tcPr>
            <w:tcW w:w="2263" w:type="dxa"/>
            <w:tcBorders>
              <w:top w:val="nil"/>
              <w:left w:val="nil"/>
              <w:bottom w:val="single" w:sz="4" w:space="0" w:color="auto"/>
              <w:right w:val="single" w:sz="4" w:space="0" w:color="auto"/>
            </w:tcBorders>
            <w:shd w:val="clear" w:color="000000" w:fill="D9D9D9"/>
            <w:noWrap/>
            <w:vAlign w:val="center"/>
            <w:hideMark/>
          </w:tcPr>
          <w:p w14:paraId="5FBD24D0" w14:textId="77777777" w:rsidR="00282A1E" w:rsidRPr="00282A1E" w:rsidRDefault="00282A1E" w:rsidP="00282A1E">
            <w:pPr>
              <w:spacing w:after="0" w:line="240" w:lineRule="auto"/>
              <w:jc w:val="center"/>
              <w:rPr>
                <w:rFonts w:ascii="Calibri" w:eastAsia="Times New Roman" w:hAnsi="Calibri" w:cs="Calibri"/>
                <w:b/>
                <w:bCs/>
                <w:color w:val="000000"/>
                <w:lang w:eastAsia="en-AU"/>
              </w:rPr>
            </w:pPr>
            <w:r w:rsidRPr="00282A1E">
              <w:rPr>
                <w:rFonts w:ascii="Calibri" w:eastAsia="Times New Roman" w:hAnsi="Calibri" w:cs="Calibri"/>
                <w:b/>
                <w:bCs/>
                <w:color w:val="000000"/>
                <w:lang w:eastAsia="en-AU"/>
              </w:rPr>
              <w:t>%</w:t>
            </w:r>
          </w:p>
        </w:tc>
      </w:tr>
      <w:tr w:rsidR="00282A1E" w:rsidRPr="00282A1E" w14:paraId="766FAA61" w14:textId="77777777" w:rsidTr="005B3540">
        <w:trPr>
          <w:trHeight w:val="234"/>
        </w:trPr>
        <w:tc>
          <w:tcPr>
            <w:tcW w:w="2405" w:type="dxa"/>
            <w:tcBorders>
              <w:top w:val="nil"/>
              <w:left w:val="single" w:sz="4" w:space="0" w:color="auto"/>
              <w:bottom w:val="nil"/>
              <w:right w:val="single" w:sz="4" w:space="0" w:color="auto"/>
            </w:tcBorders>
            <w:shd w:val="clear" w:color="auto" w:fill="auto"/>
            <w:noWrap/>
            <w:vAlign w:val="bottom"/>
            <w:hideMark/>
          </w:tcPr>
          <w:p w14:paraId="2F65E526" w14:textId="77777777" w:rsidR="00282A1E" w:rsidRPr="00282A1E" w:rsidRDefault="00A835E5" w:rsidP="00282A1E">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Behaviour support</w:t>
            </w:r>
          </w:p>
        </w:tc>
        <w:tc>
          <w:tcPr>
            <w:tcW w:w="1558" w:type="dxa"/>
            <w:tcBorders>
              <w:top w:val="nil"/>
              <w:left w:val="nil"/>
              <w:bottom w:val="nil"/>
              <w:right w:val="single" w:sz="4" w:space="0" w:color="auto"/>
            </w:tcBorders>
            <w:shd w:val="clear" w:color="auto" w:fill="auto"/>
            <w:noWrap/>
            <w:vAlign w:val="bottom"/>
            <w:hideMark/>
          </w:tcPr>
          <w:p w14:paraId="7314B97E"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44,576</w:t>
            </w:r>
          </w:p>
        </w:tc>
        <w:tc>
          <w:tcPr>
            <w:tcW w:w="1722" w:type="dxa"/>
            <w:tcBorders>
              <w:top w:val="nil"/>
              <w:left w:val="nil"/>
              <w:bottom w:val="nil"/>
              <w:right w:val="nil"/>
            </w:tcBorders>
            <w:shd w:val="clear" w:color="auto" w:fill="auto"/>
            <w:noWrap/>
            <w:vAlign w:val="bottom"/>
            <w:hideMark/>
          </w:tcPr>
          <w:p w14:paraId="7D1D1D0B"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5,172</w:t>
            </w:r>
          </w:p>
        </w:tc>
        <w:tc>
          <w:tcPr>
            <w:tcW w:w="2263" w:type="dxa"/>
            <w:tcBorders>
              <w:top w:val="nil"/>
              <w:left w:val="nil"/>
              <w:bottom w:val="nil"/>
              <w:right w:val="single" w:sz="4" w:space="0" w:color="auto"/>
            </w:tcBorders>
            <w:shd w:val="clear" w:color="auto" w:fill="auto"/>
            <w:noWrap/>
            <w:vAlign w:val="bottom"/>
            <w:hideMark/>
          </w:tcPr>
          <w:p w14:paraId="60F01C04"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78.1%</w:t>
            </w:r>
          </w:p>
        </w:tc>
      </w:tr>
      <w:tr w:rsidR="00282A1E" w:rsidRPr="00282A1E" w14:paraId="2D5ED000" w14:textId="77777777" w:rsidTr="005B3540">
        <w:trPr>
          <w:trHeight w:val="234"/>
        </w:trPr>
        <w:tc>
          <w:tcPr>
            <w:tcW w:w="2405" w:type="dxa"/>
            <w:tcBorders>
              <w:top w:val="nil"/>
              <w:left w:val="single" w:sz="4" w:space="0" w:color="auto"/>
              <w:bottom w:val="nil"/>
              <w:right w:val="single" w:sz="4" w:space="0" w:color="auto"/>
            </w:tcBorders>
            <w:shd w:val="clear" w:color="auto" w:fill="auto"/>
            <w:noWrap/>
            <w:vAlign w:val="bottom"/>
            <w:hideMark/>
          </w:tcPr>
          <w:p w14:paraId="34E83EC7" w14:textId="77777777" w:rsidR="00282A1E" w:rsidRPr="00282A1E" w:rsidRDefault="00A835E5" w:rsidP="006D692A">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No</w:t>
            </w:r>
            <w:r w:rsidR="006D692A">
              <w:rPr>
                <w:rFonts w:ascii="Calibri" w:eastAsia="Times New Roman" w:hAnsi="Calibri" w:cs="Calibri"/>
                <w:color w:val="000000"/>
                <w:lang w:eastAsia="en-AU"/>
              </w:rPr>
              <w:t xml:space="preserve"> b</w:t>
            </w:r>
            <w:r>
              <w:rPr>
                <w:rFonts w:ascii="Calibri" w:eastAsia="Times New Roman" w:hAnsi="Calibri" w:cs="Calibri"/>
                <w:color w:val="000000"/>
                <w:lang w:eastAsia="en-AU"/>
              </w:rPr>
              <w:t>ehaviour support</w:t>
            </w:r>
          </w:p>
        </w:tc>
        <w:tc>
          <w:tcPr>
            <w:tcW w:w="1558" w:type="dxa"/>
            <w:tcBorders>
              <w:top w:val="nil"/>
              <w:left w:val="nil"/>
              <w:bottom w:val="nil"/>
              <w:right w:val="single" w:sz="4" w:space="0" w:color="auto"/>
            </w:tcBorders>
            <w:shd w:val="clear" w:color="auto" w:fill="auto"/>
            <w:noWrap/>
            <w:vAlign w:val="bottom"/>
            <w:hideMark/>
          </w:tcPr>
          <w:p w14:paraId="4CBD35BA"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422,043</w:t>
            </w:r>
          </w:p>
        </w:tc>
        <w:tc>
          <w:tcPr>
            <w:tcW w:w="1722" w:type="dxa"/>
            <w:tcBorders>
              <w:top w:val="nil"/>
              <w:left w:val="nil"/>
              <w:bottom w:val="nil"/>
              <w:right w:val="nil"/>
            </w:tcBorders>
            <w:shd w:val="clear" w:color="auto" w:fill="auto"/>
            <w:noWrap/>
            <w:vAlign w:val="bottom"/>
            <w:hideMark/>
          </w:tcPr>
          <w:p w14:paraId="11C30DD2"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1,450</w:t>
            </w:r>
          </w:p>
        </w:tc>
        <w:tc>
          <w:tcPr>
            <w:tcW w:w="2263" w:type="dxa"/>
            <w:tcBorders>
              <w:top w:val="nil"/>
              <w:left w:val="nil"/>
              <w:bottom w:val="nil"/>
              <w:right w:val="single" w:sz="4" w:space="0" w:color="auto"/>
            </w:tcBorders>
            <w:shd w:val="clear" w:color="auto" w:fill="auto"/>
            <w:noWrap/>
            <w:vAlign w:val="bottom"/>
            <w:hideMark/>
          </w:tcPr>
          <w:p w14:paraId="02F5DE53"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21.9%</w:t>
            </w:r>
          </w:p>
        </w:tc>
      </w:tr>
      <w:tr w:rsidR="00282A1E" w:rsidRPr="00282A1E" w14:paraId="6515405A" w14:textId="77777777" w:rsidTr="005B3540">
        <w:trPr>
          <w:trHeight w:val="23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E4C2C" w14:textId="77777777" w:rsidR="00282A1E" w:rsidRPr="00282A1E" w:rsidRDefault="00282A1E" w:rsidP="00282A1E">
            <w:pPr>
              <w:spacing w:after="0" w:line="240" w:lineRule="auto"/>
              <w:rPr>
                <w:rFonts w:ascii="Calibri" w:eastAsia="Times New Roman" w:hAnsi="Calibri" w:cs="Calibri"/>
                <w:b/>
                <w:bCs/>
                <w:color w:val="000000"/>
                <w:lang w:eastAsia="en-AU"/>
              </w:rPr>
            </w:pPr>
            <w:r w:rsidRPr="00282A1E">
              <w:rPr>
                <w:rFonts w:ascii="Calibri" w:eastAsia="Times New Roman" w:hAnsi="Calibri" w:cs="Calibri"/>
                <w:b/>
                <w:bCs/>
                <w:color w:val="000000"/>
                <w:lang w:eastAsia="en-AU"/>
              </w:rPr>
              <w:t>Total</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14:paraId="219CF8FF"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466,619</w:t>
            </w:r>
          </w:p>
        </w:tc>
        <w:tc>
          <w:tcPr>
            <w:tcW w:w="1722" w:type="dxa"/>
            <w:tcBorders>
              <w:top w:val="single" w:sz="4" w:space="0" w:color="auto"/>
              <w:left w:val="nil"/>
              <w:bottom w:val="single" w:sz="4" w:space="0" w:color="auto"/>
              <w:right w:val="nil"/>
            </w:tcBorders>
            <w:shd w:val="clear" w:color="auto" w:fill="auto"/>
            <w:noWrap/>
            <w:vAlign w:val="bottom"/>
            <w:hideMark/>
          </w:tcPr>
          <w:p w14:paraId="1E090D47"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6,622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5C4F30F0" w14:textId="77777777" w:rsidR="00282A1E" w:rsidRPr="00282A1E" w:rsidRDefault="00282A1E" w:rsidP="00282A1E">
            <w:pPr>
              <w:spacing w:after="0" w:line="240" w:lineRule="auto"/>
              <w:jc w:val="center"/>
              <w:rPr>
                <w:rFonts w:ascii="Calibri" w:eastAsia="Times New Roman" w:hAnsi="Calibri" w:cs="Calibri"/>
                <w:color w:val="000000"/>
                <w:lang w:eastAsia="en-AU"/>
              </w:rPr>
            </w:pPr>
            <w:r w:rsidRPr="00282A1E">
              <w:rPr>
                <w:rFonts w:ascii="Calibri" w:eastAsia="Times New Roman" w:hAnsi="Calibri" w:cs="Calibri"/>
                <w:color w:val="000000"/>
                <w:lang w:eastAsia="en-AU"/>
              </w:rPr>
              <w:t>100.0%</w:t>
            </w:r>
          </w:p>
        </w:tc>
      </w:tr>
    </w:tbl>
    <w:p w14:paraId="7B529C60" w14:textId="77777777" w:rsidR="00241C96" w:rsidRDefault="00241C96" w:rsidP="00241C96">
      <w:pPr>
        <w:rPr>
          <w:rFonts w:asciiTheme="minorHAnsi" w:hAnsiTheme="minorHAnsi" w:cstheme="minorHAnsi"/>
        </w:rPr>
      </w:pPr>
    </w:p>
    <w:p w14:paraId="2B460D5B" w14:textId="571F3F8A" w:rsidR="00B53C1D" w:rsidRDefault="00BC10C7" w:rsidP="00B53C1D">
      <w:pPr>
        <w:rPr>
          <w:rFonts w:asciiTheme="minorHAnsi" w:hAnsiTheme="minorHAnsi" w:cstheme="minorHAnsi"/>
        </w:rPr>
      </w:pPr>
      <w:r>
        <w:rPr>
          <w:rFonts w:asciiTheme="minorHAnsi" w:hAnsiTheme="minorHAnsi" w:cstheme="minorHAnsi"/>
        </w:rPr>
        <w:t xml:space="preserve">As </w:t>
      </w:r>
      <w:r w:rsidR="00A40863">
        <w:rPr>
          <w:rFonts w:asciiTheme="minorHAnsi" w:hAnsiTheme="minorHAnsi" w:cstheme="minorHAnsi"/>
        </w:rPr>
        <w:t>Behaviour Supports</w:t>
      </w:r>
      <w:r>
        <w:rPr>
          <w:rFonts w:asciiTheme="minorHAnsi" w:hAnsiTheme="minorHAnsi" w:cstheme="minorHAnsi"/>
        </w:rPr>
        <w:t xml:space="preserve"> is a type of support for participants with behaviours of concern, relatively few of the total number of active participants receive funding for Behaviour Supports. </w:t>
      </w:r>
      <w:r w:rsidR="00B53C1D">
        <w:rPr>
          <w:rFonts w:asciiTheme="minorHAnsi" w:hAnsiTheme="minorHAnsi" w:cstheme="minorHAnsi"/>
        </w:rPr>
        <w:t xml:space="preserve">In 2020-21, 9.6% of active participants received funding for Behaviour Supports. However, a majority of participants who were subject to URPs in 2020-21 were participants who received funding for Behaviour Supports. </w:t>
      </w:r>
    </w:p>
    <w:p w14:paraId="397B26EA" w14:textId="77777777" w:rsidR="000E3AD2" w:rsidRDefault="000E3AD2" w:rsidP="000E3AD2">
      <w:pPr>
        <w:rPr>
          <w:rFonts w:asciiTheme="minorHAnsi" w:hAnsiTheme="minorHAnsi" w:cstheme="minorHAnsi"/>
        </w:rPr>
      </w:pPr>
      <w:r>
        <w:rPr>
          <w:rFonts w:asciiTheme="minorHAnsi" w:hAnsiTheme="minorHAnsi" w:cstheme="minorHAnsi"/>
        </w:rPr>
        <w:t>The majority of participants subject to URPs receive behaviour support funding. Participants who are subject only to a single, emergency use of a restrictive practice may not require behaviour support or behaviour support funding. Any participants who are subject to ongoing URPs and do not yet have behaviour support funding included in their NDIS plans should seek to have that funding added to their plans.</w:t>
      </w:r>
    </w:p>
    <w:p w14:paraId="4490A417" w14:textId="77777777" w:rsidR="00BC10C7" w:rsidRDefault="00B53C1D" w:rsidP="00241C96">
      <w:pPr>
        <w:rPr>
          <w:rFonts w:asciiTheme="minorHAnsi" w:hAnsiTheme="minorHAnsi" w:cstheme="minorHAnsi"/>
        </w:rPr>
      </w:pPr>
      <w:r>
        <w:rPr>
          <w:rFonts w:asciiTheme="minorHAnsi" w:hAnsiTheme="minorHAnsi" w:cstheme="minorHAnsi"/>
        </w:rPr>
        <w:t xml:space="preserve">Of the 6,662 participants subject to URPs in 2020-21, 78% received funding for </w:t>
      </w:r>
      <w:r w:rsidR="000E3AD2">
        <w:rPr>
          <w:rFonts w:asciiTheme="minorHAnsi" w:hAnsiTheme="minorHAnsi" w:cstheme="minorHAnsi"/>
        </w:rPr>
        <w:t>b</w:t>
      </w:r>
      <w:r>
        <w:rPr>
          <w:rFonts w:asciiTheme="minorHAnsi" w:hAnsiTheme="minorHAnsi" w:cstheme="minorHAnsi"/>
        </w:rPr>
        <w:t>ehaviour</w:t>
      </w:r>
      <w:r w:rsidR="005B3540">
        <w:rPr>
          <w:rFonts w:asciiTheme="minorHAnsi" w:hAnsiTheme="minorHAnsi" w:cstheme="minorHAnsi"/>
        </w:rPr>
        <w:t xml:space="preserve"> </w:t>
      </w:r>
      <w:r w:rsidR="000E3AD2">
        <w:rPr>
          <w:rFonts w:asciiTheme="minorHAnsi" w:hAnsiTheme="minorHAnsi" w:cstheme="minorHAnsi"/>
        </w:rPr>
        <w:t>s</w:t>
      </w:r>
      <w:r>
        <w:rPr>
          <w:rFonts w:asciiTheme="minorHAnsi" w:hAnsiTheme="minorHAnsi" w:cstheme="minorHAnsi"/>
        </w:rPr>
        <w:t xml:space="preserve">upports. However, it should also be noted that most participants who receive funding for </w:t>
      </w:r>
      <w:r w:rsidR="000E3AD2">
        <w:rPr>
          <w:rFonts w:asciiTheme="minorHAnsi" w:hAnsiTheme="minorHAnsi" w:cstheme="minorHAnsi"/>
        </w:rPr>
        <w:t>b</w:t>
      </w:r>
      <w:r>
        <w:rPr>
          <w:rFonts w:asciiTheme="minorHAnsi" w:hAnsiTheme="minorHAnsi" w:cstheme="minorHAnsi"/>
        </w:rPr>
        <w:t xml:space="preserve">ehaviour </w:t>
      </w:r>
      <w:r w:rsidR="000E3AD2">
        <w:rPr>
          <w:rFonts w:asciiTheme="minorHAnsi" w:hAnsiTheme="minorHAnsi" w:cstheme="minorHAnsi"/>
        </w:rPr>
        <w:t>s</w:t>
      </w:r>
      <w:r>
        <w:rPr>
          <w:rFonts w:asciiTheme="minorHAnsi" w:hAnsiTheme="minorHAnsi" w:cstheme="minorHAnsi"/>
        </w:rPr>
        <w:t xml:space="preserve">upports are not subject to URPs. Of the 44,476 active participants who received funding for </w:t>
      </w:r>
      <w:r w:rsidR="000E3AD2">
        <w:rPr>
          <w:rFonts w:asciiTheme="minorHAnsi" w:hAnsiTheme="minorHAnsi" w:cstheme="minorHAnsi"/>
        </w:rPr>
        <w:t>b</w:t>
      </w:r>
      <w:r>
        <w:rPr>
          <w:rFonts w:asciiTheme="minorHAnsi" w:hAnsiTheme="minorHAnsi" w:cstheme="minorHAnsi"/>
        </w:rPr>
        <w:t xml:space="preserve">ehaviour </w:t>
      </w:r>
      <w:r w:rsidR="000E3AD2">
        <w:rPr>
          <w:rFonts w:asciiTheme="minorHAnsi" w:hAnsiTheme="minorHAnsi" w:cstheme="minorHAnsi"/>
        </w:rPr>
        <w:t>s</w:t>
      </w:r>
      <w:r>
        <w:rPr>
          <w:rFonts w:asciiTheme="minorHAnsi" w:hAnsiTheme="minorHAnsi" w:cstheme="minorHAnsi"/>
        </w:rPr>
        <w:t xml:space="preserve">upports in 2020-21, 12% were subject to URPs. </w:t>
      </w:r>
    </w:p>
    <w:p w14:paraId="7BF3F253" w14:textId="77777777" w:rsidR="00DD75B7" w:rsidRDefault="00DD75B7" w:rsidP="0063662E">
      <w:pPr>
        <w:pStyle w:val="Heading1"/>
      </w:pPr>
    </w:p>
    <w:p w14:paraId="58A4508A" w14:textId="77777777" w:rsidR="00DD75B7" w:rsidRDefault="00DD75B7" w:rsidP="0063662E">
      <w:pPr>
        <w:pStyle w:val="Heading1"/>
      </w:pPr>
    </w:p>
    <w:p w14:paraId="32B297AC" w14:textId="77777777" w:rsidR="007871A9" w:rsidRDefault="007871A9">
      <w:pPr>
        <w:rPr>
          <w:rFonts w:eastAsiaTheme="majorEastAsia" w:cstheme="majorBidi"/>
          <w:b/>
          <w:bCs/>
          <w:sz w:val="32"/>
          <w:szCs w:val="28"/>
        </w:rPr>
      </w:pPr>
      <w:r>
        <w:br w:type="page"/>
      </w:r>
    </w:p>
    <w:p w14:paraId="08717DA6" w14:textId="77777777" w:rsidR="00F453F2" w:rsidRDefault="00F453F2" w:rsidP="007871A9">
      <w:pPr>
        <w:pStyle w:val="Heading1"/>
        <w:pBdr>
          <w:bottom w:val="single" w:sz="4" w:space="1" w:color="auto"/>
        </w:pBdr>
      </w:pPr>
      <w:r>
        <w:lastRenderedPageBreak/>
        <w:t>Some analyses of types of URPs in 2020-21</w:t>
      </w:r>
    </w:p>
    <w:p w14:paraId="04EE0CD2" w14:textId="77777777" w:rsidR="0063662E" w:rsidRPr="000A45A4" w:rsidRDefault="0063662E" w:rsidP="00F453F2">
      <w:pPr>
        <w:pStyle w:val="Heading2"/>
      </w:pPr>
      <w:r w:rsidRPr="000A45A4">
        <w:t xml:space="preserve">Types of </w:t>
      </w:r>
      <w:r w:rsidR="00F453F2">
        <w:t xml:space="preserve">restrictive practices in </w:t>
      </w:r>
      <w:r>
        <w:t xml:space="preserve">URPs </w:t>
      </w:r>
      <w:r w:rsidRPr="000A45A4">
        <w:t>in 20</w:t>
      </w:r>
      <w:r w:rsidR="00F453F2">
        <w:t>20-</w:t>
      </w:r>
      <w:r w:rsidRPr="000A45A4">
        <w:t>21</w:t>
      </w:r>
    </w:p>
    <w:p w14:paraId="3B6E7AA7" w14:textId="1DB305FE" w:rsidR="00193444" w:rsidRDefault="00193444" w:rsidP="00193444">
      <w:pPr>
        <w:rPr>
          <w:rFonts w:asciiTheme="minorHAnsi" w:hAnsiTheme="minorHAnsi" w:cstheme="minorHAnsi"/>
        </w:rPr>
      </w:pPr>
      <w:r>
        <w:rPr>
          <w:rFonts w:asciiTheme="minorHAnsi" w:hAnsiTheme="minorHAnsi" w:cstheme="minorHAnsi"/>
        </w:rPr>
        <w:t>The Activity Report for 2020-21 re</w:t>
      </w:r>
      <w:r w:rsidR="00A40863">
        <w:rPr>
          <w:rFonts w:asciiTheme="minorHAnsi" w:hAnsiTheme="minorHAnsi" w:cstheme="minorHAnsi"/>
        </w:rPr>
        <w:t>ported the numbers of URPs by state and t</w:t>
      </w:r>
      <w:r>
        <w:rPr>
          <w:rFonts w:asciiTheme="minorHAnsi" w:hAnsiTheme="minorHAnsi" w:cstheme="minorHAnsi"/>
        </w:rPr>
        <w:t>erritory and by type of restrictive practice as follows:</w:t>
      </w:r>
    </w:p>
    <w:p w14:paraId="18643282" w14:textId="77777777" w:rsidR="00170569" w:rsidRPr="00A40863" w:rsidRDefault="00170569" w:rsidP="005B3540">
      <w:pPr>
        <w:pStyle w:val="Caption"/>
        <w:keepNext/>
        <w:rPr>
          <w:sz w:val="18"/>
        </w:rPr>
      </w:pPr>
      <w:r w:rsidRPr="00A40863">
        <w:rPr>
          <w:caps w:val="0"/>
          <w:sz w:val="18"/>
        </w:rPr>
        <w:t xml:space="preserve">Figure </w:t>
      </w:r>
      <w:r w:rsidR="00867212" w:rsidRPr="00A40863">
        <w:rPr>
          <w:sz w:val="18"/>
        </w:rPr>
        <w:fldChar w:fldCharType="begin"/>
      </w:r>
      <w:r w:rsidR="00867212" w:rsidRPr="00A40863">
        <w:rPr>
          <w:sz w:val="18"/>
        </w:rPr>
        <w:instrText xml:space="preserve"> SEQ Figure \* ARABIC </w:instrText>
      </w:r>
      <w:r w:rsidR="00867212" w:rsidRPr="00A40863">
        <w:rPr>
          <w:sz w:val="18"/>
        </w:rPr>
        <w:fldChar w:fldCharType="separate"/>
      </w:r>
      <w:r w:rsidRPr="00A40863">
        <w:rPr>
          <w:noProof/>
          <w:sz w:val="18"/>
        </w:rPr>
        <w:t>5</w:t>
      </w:r>
      <w:r w:rsidR="00867212" w:rsidRPr="00A40863">
        <w:rPr>
          <w:noProof/>
          <w:sz w:val="18"/>
        </w:rPr>
        <w:fldChar w:fldCharType="end"/>
      </w:r>
      <w:r w:rsidRPr="00A40863">
        <w:rPr>
          <w:caps w:val="0"/>
          <w:sz w:val="18"/>
        </w:rPr>
        <w:t xml:space="preserve"> - Number of URPs by state/territory and type</w:t>
      </w:r>
    </w:p>
    <w:p w14:paraId="56F276E6" w14:textId="77777777" w:rsidR="00170569" w:rsidRDefault="00170569" w:rsidP="005B3540">
      <w:pPr>
        <w:jc w:val="both"/>
        <w:rPr>
          <w:rFonts w:asciiTheme="minorHAnsi" w:hAnsiTheme="minorHAnsi" w:cstheme="minorHAnsi"/>
          <w:highlight w:val="yellow"/>
        </w:rPr>
      </w:pPr>
      <w:r>
        <w:rPr>
          <w:noProof/>
          <w:lang w:eastAsia="en-AU"/>
        </w:rPr>
        <w:drawing>
          <wp:inline distT="0" distB="0" distL="0" distR="0" wp14:anchorId="4BE6AA35" wp14:editId="62E745C1">
            <wp:extent cx="4066309" cy="3664721"/>
            <wp:effectExtent l="0" t="0" r="0" b="0"/>
            <wp:docPr id="6" name="Picture 6" descr="Bar chart showing the number of URPs by state/territory and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chart showing the number of URPs by state/territory and type"/>
                    <pic:cNvPicPr/>
                  </pic:nvPicPr>
                  <pic:blipFill>
                    <a:blip r:embed="rId17"/>
                    <a:stretch>
                      <a:fillRect/>
                    </a:stretch>
                  </pic:blipFill>
                  <pic:spPr>
                    <a:xfrm>
                      <a:off x="0" y="0"/>
                      <a:ext cx="4068548" cy="3666739"/>
                    </a:xfrm>
                    <a:prstGeom prst="rect">
                      <a:avLst/>
                    </a:prstGeom>
                  </pic:spPr>
                </pic:pic>
              </a:graphicData>
            </a:graphic>
          </wp:inline>
        </w:drawing>
      </w:r>
    </w:p>
    <w:p w14:paraId="2EC82EF2" w14:textId="77777777" w:rsidR="00F453F2" w:rsidRDefault="00B04619" w:rsidP="0063662E">
      <w:pPr>
        <w:rPr>
          <w:rFonts w:asciiTheme="minorHAnsi" w:hAnsiTheme="minorHAnsi" w:cstheme="minorHAnsi"/>
        </w:rPr>
      </w:pPr>
      <w:r w:rsidRPr="005B3540">
        <w:rPr>
          <w:rFonts w:asciiTheme="minorHAnsi" w:hAnsiTheme="minorHAnsi" w:cstheme="minorHAnsi"/>
        </w:rPr>
        <w:fldChar w:fldCharType="begin"/>
      </w:r>
      <w:r w:rsidRPr="005B3540">
        <w:rPr>
          <w:rFonts w:asciiTheme="minorHAnsi" w:hAnsiTheme="minorHAnsi" w:cstheme="minorHAnsi"/>
        </w:rPr>
        <w:instrText xml:space="preserve"> REF _Ref92713893 \h </w:instrText>
      </w:r>
      <w:r>
        <w:rPr>
          <w:rFonts w:asciiTheme="minorHAnsi" w:hAnsiTheme="minorHAnsi" w:cstheme="minorHAnsi"/>
        </w:rPr>
        <w:instrText xml:space="preserve"> \* MERGEFORMAT </w:instrText>
      </w:r>
      <w:r w:rsidRPr="005B3540">
        <w:rPr>
          <w:rFonts w:asciiTheme="minorHAnsi" w:hAnsiTheme="minorHAnsi" w:cstheme="minorHAnsi"/>
        </w:rPr>
      </w:r>
      <w:r w:rsidRPr="005B3540">
        <w:rPr>
          <w:rFonts w:asciiTheme="minorHAnsi" w:hAnsiTheme="minorHAnsi" w:cstheme="minorHAnsi"/>
        </w:rPr>
        <w:fldChar w:fldCharType="separate"/>
      </w:r>
      <w:r w:rsidRPr="005B3540">
        <w:rPr>
          <w:rFonts w:asciiTheme="minorHAnsi" w:hAnsiTheme="minorHAnsi" w:cstheme="minorHAnsi"/>
        </w:rPr>
        <w:t>Figure 6</w:t>
      </w:r>
      <w:r w:rsidRPr="005B3540">
        <w:rPr>
          <w:rFonts w:asciiTheme="minorHAnsi" w:hAnsiTheme="minorHAnsi" w:cstheme="minorHAnsi"/>
        </w:rPr>
        <w:fldChar w:fldCharType="end"/>
      </w:r>
      <w:r w:rsidRPr="005B3540">
        <w:rPr>
          <w:rFonts w:asciiTheme="minorHAnsi" w:hAnsiTheme="minorHAnsi" w:cstheme="minorHAnsi"/>
        </w:rPr>
        <w:t xml:space="preserve"> </w:t>
      </w:r>
      <w:r w:rsidR="00F453F2">
        <w:rPr>
          <w:rFonts w:asciiTheme="minorHAnsi" w:hAnsiTheme="minorHAnsi" w:cstheme="minorHAnsi"/>
        </w:rPr>
        <w:t xml:space="preserve">and </w:t>
      </w:r>
      <w:r>
        <w:rPr>
          <w:rFonts w:asciiTheme="minorHAnsi" w:hAnsiTheme="minorHAnsi" w:cstheme="minorHAnsi"/>
        </w:rPr>
        <w:fldChar w:fldCharType="begin"/>
      </w:r>
      <w:r>
        <w:rPr>
          <w:rFonts w:asciiTheme="minorHAnsi" w:hAnsiTheme="minorHAnsi" w:cstheme="minorHAnsi"/>
        </w:rPr>
        <w:instrText xml:space="preserve"> REF _Ref92713928 \h  \* MERGEFORMAT </w:instrText>
      </w:r>
      <w:r>
        <w:rPr>
          <w:rFonts w:asciiTheme="minorHAnsi" w:hAnsiTheme="minorHAnsi" w:cstheme="minorHAnsi"/>
        </w:rPr>
      </w:r>
      <w:r>
        <w:rPr>
          <w:rFonts w:asciiTheme="minorHAnsi" w:hAnsiTheme="minorHAnsi" w:cstheme="minorHAnsi"/>
        </w:rPr>
        <w:fldChar w:fldCharType="separate"/>
      </w:r>
      <w:r w:rsidRPr="005B3540">
        <w:rPr>
          <w:rFonts w:asciiTheme="minorHAnsi" w:hAnsiTheme="minorHAnsi" w:cstheme="minorHAnsi"/>
        </w:rPr>
        <w:t>Table 6</w:t>
      </w:r>
      <w:r>
        <w:rPr>
          <w:rFonts w:asciiTheme="minorHAnsi" w:hAnsiTheme="minorHAnsi" w:cstheme="minorHAnsi"/>
        </w:rPr>
        <w:fldChar w:fldCharType="end"/>
      </w:r>
      <w:r>
        <w:rPr>
          <w:rFonts w:asciiTheme="minorHAnsi" w:hAnsiTheme="minorHAnsi" w:cstheme="minorHAnsi"/>
        </w:rPr>
        <w:t xml:space="preserve"> </w:t>
      </w:r>
      <w:r w:rsidR="00F453F2">
        <w:rPr>
          <w:rFonts w:asciiTheme="minorHAnsi" w:hAnsiTheme="minorHAnsi" w:cstheme="minorHAnsi"/>
        </w:rPr>
        <w:t>below show the number of URPs in 2020-21 by type of restrictive practice and by month.</w:t>
      </w:r>
    </w:p>
    <w:p w14:paraId="50BDC823" w14:textId="77777777" w:rsidR="00AF498E" w:rsidRPr="005B3540" w:rsidRDefault="00AF498E" w:rsidP="005B3540">
      <w:pPr>
        <w:pStyle w:val="Caption"/>
        <w:keepNext/>
        <w:rPr>
          <w:rFonts w:asciiTheme="minorHAnsi" w:hAnsiTheme="minorHAnsi" w:cstheme="minorHAnsi"/>
        </w:rPr>
      </w:pPr>
      <w:bookmarkStart w:id="15" w:name="_Ref92713893"/>
      <w:r w:rsidRPr="00A40863">
        <w:rPr>
          <w:rFonts w:asciiTheme="minorHAnsi" w:hAnsiTheme="minorHAnsi" w:cstheme="minorHAnsi"/>
          <w:caps w:val="0"/>
          <w:sz w:val="18"/>
        </w:rPr>
        <w:t xml:space="preserve">Figure </w:t>
      </w:r>
      <w:r w:rsidRPr="00A40863">
        <w:rPr>
          <w:rFonts w:asciiTheme="minorHAnsi" w:hAnsiTheme="minorHAnsi" w:cstheme="minorHAnsi"/>
          <w:sz w:val="18"/>
        </w:rPr>
        <w:fldChar w:fldCharType="begin"/>
      </w:r>
      <w:r w:rsidRPr="00A40863">
        <w:rPr>
          <w:rFonts w:asciiTheme="minorHAnsi" w:hAnsiTheme="minorHAnsi" w:cstheme="minorHAnsi"/>
          <w:sz w:val="18"/>
        </w:rPr>
        <w:instrText xml:space="preserve"> SEQ Figure \* ARABIC </w:instrText>
      </w:r>
      <w:r w:rsidRPr="00A40863">
        <w:rPr>
          <w:rFonts w:asciiTheme="minorHAnsi" w:hAnsiTheme="minorHAnsi" w:cstheme="minorHAnsi"/>
          <w:sz w:val="18"/>
        </w:rPr>
        <w:fldChar w:fldCharType="separate"/>
      </w:r>
      <w:r w:rsidRPr="00A40863">
        <w:rPr>
          <w:rFonts w:asciiTheme="minorHAnsi" w:hAnsiTheme="minorHAnsi" w:cstheme="minorHAnsi"/>
          <w:noProof/>
          <w:sz w:val="18"/>
        </w:rPr>
        <w:t>6</w:t>
      </w:r>
      <w:r w:rsidRPr="00A40863">
        <w:rPr>
          <w:rFonts w:asciiTheme="minorHAnsi" w:hAnsiTheme="minorHAnsi" w:cstheme="minorHAnsi"/>
          <w:sz w:val="18"/>
        </w:rPr>
        <w:fldChar w:fldCharType="end"/>
      </w:r>
      <w:bookmarkEnd w:id="15"/>
      <w:r w:rsidRPr="00A40863">
        <w:rPr>
          <w:rFonts w:asciiTheme="minorHAnsi" w:hAnsiTheme="minorHAnsi" w:cstheme="minorHAnsi"/>
          <w:sz w:val="18"/>
        </w:rPr>
        <w:t xml:space="preserve"> - N</w:t>
      </w:r>
      <w:r w:rsidRPr="00A40863">
        <w:rPr>
          <w:rFonts w:asciiTheme="minorHAnsi" w:hAnsiTheme="minorHAnsi" w:cstheme="minorHAnsi"/>
          <w:caps w:val="0"/>
          <w:sz w:val="18"/>
        </w:rPr>
        <w:t>umber of instances of URPs in 2020-21 by type of restrictive practice by month</w:t>
      </w:r>
    </w:p>
    <w:p w14:paraId="1BB3D8D5" w14:textId="77777777" w:rsidR="0063662E" w:rsidRPr="00375264" w:rsidRDefault="0063662E" w:rsidP="005B3540">
      <w:r>
        <w:rPr>
          <w:noProof/>
          <w:lang w:eastAsia="en-AU"/>
        </w:rPr>
        <w:drawing>
          <wp:inline distT="0" distB="0" distL="0" distR="0" wp14:anchorId="42C7D318" wp14:editId="076F5AF7">
            <wp:extent cx="5731510" cy="2400935"/>
            <wp:effectExtent l="0" t="0" r="2540" b="0"/>
            <wp:docPr id="10" name="Chart 10" descr="Bar chart showing the number of instances of URPs in 2020-21 by type of restrictive practice by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922F5B" w14:textId="77777777" w:rsidR="00170569" w:rsidRPr="00A40863" w:rsidRDefault="00170569" w:rsidP="005B3540">
      <w:pPr>
        <w:pStyle w:val="Caption"/>
        <w:keepNext/>
        <w:rPr>
          <w:rFonts w:cs="Arial"/>
          <w:sz w:val="18"/>
        </w:rPr>
      </w:pPr>
      <w:bookmarkStart w:id="16" w:name="_Ref92713928"/>
      <w:r w:rsidRPr="00A40863">
        <w:rPr>
          <w:rFonts w:cs="Arial"/>
          <w:caps w:val="0"/>
          <w:sz w:val="18"/>
        </w:rPr>
        <w:lastRenderedPageBreak/>
        <w:t xml:space="preserve">Table </w:t>
      </w:r>
      <w:r w:rsidRPr="00A40863">
        <w:rPr>
          <w:rFonts w:cs="Arial"/>
          <w:sz w:val="18"/>
        </w:rPr>
        <w:fldChar w:fldCharType="begin"/>
      </w:r>
      <w:r w:rsidRPr="00A40863">
        <w:rPr>
          <w:rFonts w:cs="Arial"/>
          <w:sz w:val="18"/>
        </w:rPr>
        <w:instrText xml:space="preserve"> SEQ Table \* ARABIC </w:instrText>
      </w:r>
      <w:r w:rsidRPr="00A40863">
        <w:rPr>
          <w:rFonts w:cs="Arial"/>
          <w:sz w:val="18"/>
        </w:rPr>
        <w:fldChar w:fldCharType="separate"/>
      </w:r>
      <w:r w:rsidRPr="00A40863">
        <w:rPr>
          <w:rFonts w:cs="Arial"/>
          <w:noProof/>
          <w:sz w:val="18"/>
        </w:rPr>
        <w:t>6</w:t>
      </w:r>
      <w:r w:rsidRPr="00A40863">
        <w:rPr>
          <w:rFonts w:cs="Arial"/>
          <w:sz w:val="18"/>
        </w:rPr>
        <w:fldChar w:fldCharType="end"/>
      </w:r>
      <w:bookmarkEnd w:id="16"/>
      <w:r w:rsidRPr="00A40863">
        <w:rPr>
          <w:rFonts w:cs="Arial"/>
          <w:sz w:val="18"/>
        </w:rPr>
        <w:t xml:space="preserve"> - </w:t>
      </w:r>
      <w:r w:rsidRPr="00A40863">
        <w:rPr>
          <w:rFonts w:cs="Arial"/>
          <w:caps w:val="0"/>
          <w:sz w:val="18"/>
        </w:rPr>
        <w:t>Number of instances of URPs in 2020-21 by type of restrictive practice by month</w:t>
      </w:r>
    </w:p>
    <w:tbl>
      <w:tblPr>
        <w:tblW w:w="5000" w:type="pct"/>
        <w:tblLook w:val="04A0" w:firstRow="1" w:lastRow="0" w:firstColumn="1" w:lastColumn="0" w:noHBand="0" w:noVBand="1"/>
      </w:tblPr>
      <w:tblGrid>
        <w:gridCol w:w="1113"/>
        <w:gridCol w:w="636"/>
        <w:gridCol w:w="660"/>
        <w:gridCol w:w="643"/>
        <w:gridCol w:w="636"/>
        <w:gridCol w:w="667"/>
        <w:gridCol w:w="649"/>
        <w:gridCol w:w="636"/>
        <w:gridCol w:w="642"/>
        <w:gridCol w:w="714"/>
        <w:gridCol w:w="642"/>
        <w:gridCol w:w="714"/>
        <w:gridCol w:w="710"/>
      </w:tblGrid>
      <w:tr w:rsidR="0063662E" w:rsidRPr="00DC6928" w14:paraId="28156C6B" w14:textId="77777777" w:rsidTr="004E6074">
        <w:trPr>
          <w:trHeight w:val="288"/>
        </w:trPr>
        <w:tc>
          <w:tcPr>
            <w:tcW w:w="614"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C2F96F1" w14:textId="77777777" w:rsidR="0063662E" w:rsidRPr="00884BF5" w:rsidRDefault="0063662E" w:rsidP="004E6074">
            <w:pPr>
              <w:spacing w:after="0" w:line="240" w:lineRule="auto"/>
              <w:rPr>
                <w:rFonts w:ascii="Calibri" w:eastAsia="Times New Roman" w:hAnsi="Calibri" w:cs="Calibri"/>
                <w:b/>
                <w:bCs/>
                <w:color w:val="000000"/>
                <w:sz w:val="14"/>
                <w:lang w:eastAsia="en-AU"/>
              </w:rPr>
            </w:pPr>
            <w:r>
              <w:rPr>
                <w:rFonts w:ascii="Calibri" w:eastAsia="Times New Roman" w:hAnsi="Calibri" w:cs="Calibri"/>
                <w:b/>
                <w:bCs/>
                <w:color w:val="000000"/>
                <w:sz w:val="14"/>
                <w:lang w:eastAsia="en-AU"/>
              </w:rPr>
              <w:t>U</w:t>
            </w:r>
            <w:r w:rsidRPr="00884BF5">
              <w:rPr>
                <w:rFonts w:ascii="Calibri" w:eastAsia="Times New Roman" w:hAnsi="Calibri" w:cs="Calibri"/>
                <w:b/>
                <w:bCs/>
                <w:color w:val="000000"/>
                <w:sz w:val="14"/>
                <w:lang w:eastAsia="en-AU"/>
              </w:rPr>
              <w:t>RP Type</w:t>
            </w:r>
          </w:p>
        </w:tc>
        <w:tc>
          <w:tcPr>
            <w:tcW w:w="351" w:type="pct"/>
            <w:tcBorders>
              <w:top w:val="single" w:sz="4" w:space="0" w:color="auto"/>
              <w:left w:val="nil"/>
              <w:bottom w:val="single" w:sz="4" w:space="0" w:color="auto"/>
              <w:right w:val="nil"/>
            </w:tcBorders>
            <w:shd w:val="clear" w:color="000000" w:fill="D9D9D9"/>
            <w:noWrap/>
            <w:vAlign w:val="bottom"/>
            <w:hideMark/>
          </w:tcPr>
          <w:p w14:paraId="58BE7012"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Jul-20</w:t>
            </w:r>
          </w:p>
        </w:tc>
        <w:tc>
          <w:tcPr>
            <w:tcW w:w="364" w:type="pct"/>
            <w:tcBorders>
              <w:top w:val="single" w:sz="4" w:space="0" w:color="auto"/>
              <w:left w:val="nil"/>
              <w:bottom w:val="single" w:sz="4" w:space="0" w:color="auto"/>
              <w:right w:val="nil"/>
            </w:tcBorders>
            <w:shd w:val="clear" w:color="000000" w:fill="D9D9D9"/>
            <w:noWrap/>
            <w:vAlign w:val="bottom"/>
            <w:hideMark/>
          </w:tcPr>
          <w:p w14:paraId="1CDE382F"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Aug-20</w:t>
            </w:r>
          </w:p>
        </w:tc>
        <w:tc>
          <w:tcPr>
            <w:tcW w:w="355" w:type="pct"/>
            <w:tcBorders>
              <w:top w:val="single" w:sz="4" w:space="0" w:color="auto"/>
              <w:left w:val="nil"/>
              <w:bottom w:val="single" w:sz="4" w:space="0" w:color="auto"/>
              <w:right w:val="nil"/>
            </w:tcBorders>
            <w:shd w:val="clear" w:color="000000" w:fill="D9D9D9"/>
            <w:noWrap/>
            <w:vAlign w:val="bottom"/>
            <w:hideMark/>
          </w:tcPr>
          <w:p w14:paraId="141E2E28"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Sep-20</w:t>
            </w:r>
          </w:p>
        </w:tc>
        <w:tc>
          <w:tcPr>
            <w:tcW w:w="351" w:type="pct"/>
            <w:tcBorders>
              <w:top w:val="single" w:sz="4" w:space="0" w:color="auto"/>
              <w:left w:val="nil"/>
              <w:bottom w:val="single" w:sz="4" w:space="0" w:color="auto"/>
              <w:right w:val="nil"/>
            </w:tcBorders>
            <w:shd w:val="clear" w:color="000000" w:fill="D9D9D9"/>
            <w:noWrap/>
            <w:vAlign w:val="bottom"/>
            <w:hideMark/>
          </w:tcPr>
          <w:p w14:paraId="64DD6828"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Oct-20</w:t>
            </w:r>
          </w:p>
        </w:tc>
        <w:tc>
          <w:tcPr>
            <w:tcW w:w="368" w:type="pct"/>
            <w:tcBorders>
              <w:top w:val="single" w:sz="4" w:space="0" w:color="auto"/>
              <w:left w:val="nil"/>
              <w:bottom w:val="single" w:sz="4" w:space="0" w:color="auto"/>
              <w:right w:val="nil"/>
            </w:tcBorders>
            <w:shd w:val="clear" w:color="000000" w:fill="D9D9D9"/>
            <w:noWrap/>
            <w:vAlign w:val="bottom"/>
            <w:hideMark/>
          </w:tcPr>
          <w:p w14:paraId="1CF1A624"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Nov-20</w:t>
            </w:r>
          </w:p>
        </w:tc>
        <w:tc>
          <w:tcPr>
            <w:tcW w:w="358" w:type="pct"/>
            <w:tcBorders>
              <w:top w:val="single" w:sz="4" w:space="0" w:color="auto"/>
              <w:left w:val="nil"/>
              <w:bottom w:val="single" w:sz="4" w:space="0" w:color="auto"/>
              <w:right w:val="nil"/>
            </w:tcBorders>
            <w:shd w:val="clear" w:color="000000" w:fill="D9D9D9"/>
            <w:noWrap/>
            <w:vAlign w:val="bottom"/>
            <w:hideMark/>
          </w:tcPr>
          <w:p w14:paraId="7D7F8439"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Dec-20</w:t>
            </w:r>
          </w:p>
        </w:tc>
        <w:tc>
          <w:tcPr>
            <w:tcW w:w="351" w:type="pct"/>
            <w:tcBorders>
              <w:top w:val="single" w:sz="4" w:space="0" w:color="auto"/>
              <w:left w:val="nil"/>
              <w:bottom w:val="single" w:sz="4" w:space="0" w:color="auto"/>
              <w:right w:val="nil"/>
            </w:tcBorders>
            <w:shd w:val="clear" w:color="000000" w:fill="D9D9D9"/>
            <w:noWrap/>
            <w:vAlign w:val="bottom"/>
            <w:hideMark/>
          </w:tcPr>
          <w:p w14:paraId="2000740C"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Jan-21</w:t>
            </w:r>
          </w:p>
        </w:tc>
        <w:tc>
          <w:tcPr>
            <w:tcW w:w="354" w:type="pct"/>
            <w:tcBorders>
              <w:top w:val="single" w:sz="4" w:space="0" w:color="auto"/>
              <w:left w:val="nil"/>
              <w:bottom w:val="single" w:sz="4" w:space="0" w:color="auto"/>
              <w:right w:val="nil"/>
            </w:tcBorders>
            <w:shd w:val="clear" w:color="000000" w:fill="D9D9D9"/>
            <w:noWrap/>
            <w:vAlign w:val="bottom"/>
            <w:hideMark/>
          </w:tcPr>
          <w:p w14:paraId="4C70B538"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Feb-21</w:t>
            </w:r>
          </w:p>
        </w:tc>
        <w:tc>
          <w:tcPr>
            <w:tcW w:w="394" w:type="pct"/>
            <w:tcBorders>
              <w:top w:val="single" w:sz="4" w:space="0" w:color="auto"/>
              <w:left w:val="nil"/>
              <w:bottom w:val="single" w:sz="4" w:space="0" w:color="auto"/>
              <w:right w:val="nil"/>
            </w:tcBorders>
            <w:shd w:val="clear" w:color="000000" w:fill="D9D9D9"/>
            <w:noWrap/>
            <w:vAlign w:val="bottom"/>
            <w:hideMark/>
          </w:tcPr>
          <w:p w14:paraId="1AE4FC6A"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Mar-21</w:t>
            </w:r>
          </w:p>
        </w:tc>
        <w:tc>
          <w:tcPr>
            <w:tcW w:w="354" w:type="pct"/>
            <w:tcBorders>
              <w:top w:val="single" w:sz="4" w:space="0" w:color="auto"/>
              <w:left w:val="nil"/>
              <w:bottom w:val="single" w:sz="4" w:space="0" w:color="auto"/>
              <w:right w:val="nil"/>
            </w:tcBorders>
            <w:shd w:val="clear" w:color="000000" w:fill="D9D9D9"/>
            <w:noWrap/>
            <w:vAlign w:val="bottom"/>
            <w:hideMark/>
          </w:tcPr>
          <w:p w14:paraId="5DB42488"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Apr-21</w:t>
            </w:r>
          </w:p>
        </w:tc>
        <w:tc>
          <w:tcPr>
            <w:tcW w:w="394" w:type="pct"/>
            <w:tcBorders>
              <w:top w:val="single" w:sz="4" w:space="0" w:color="auto"/>
              <w:left w:val="nil"/>
              <w:bottom w:val="single" w:sz="4" w:space="0" w:color="auto"/>
              <w:right w:val="nil"/>
            </w:tcBorders>
            <w:shd w:val="clear" w:color="000000" w:fill="D9D9D9"/>
            <w:noWrap/>
            <w:vAlign w:val="bottom"/>
            <w:hideMark/>
          </w:tcPr>
          <w:p w14:paraId="62EA4DD2"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May-21</w:t>
            </w:r>
          </w:p>
        </w:tc>
        <w:tc>
          <w:tcPr>
            <w:tcW w:w="392" w:type="pct"/>
            <w:tcBorders>
              <w:top w:val="single" w:sz="4" w:space="0" w:color="auto"/>
              <w:left w:val="nil"/>
              <w:bottom w:val="single" w:sz="4" w:space="0" w:color="auto"/>
              <w:right w:val="single" w:sz="4" w:space="0" w:color="auto"/>
            </w:tcBorders>
            <w:shd w:val="clear" w:color="000000" w:fill="D9D9D9"/>
            <w:noWrap/>
            <w:vAlign w:val="bottom"/>
            <w:hideMark/>
          </w:tcPr>
          <w:p w14:paraId="51B85804"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Jun-21</w:t>
            </w:r>
          </w:p>
        </w:tc>
      </w:tr>
      <w:tr w:rsidR="0063662E" w:rsidRPr="00DC6928" w14:paraId="70711379" w14:textId="77777777" w:rsidTr="004E6074">
        <w:trPr>
          <w:trHeight w:val="288"/>
        </w:trPr>
        <w:tc>
          <w:tcPr>
            <w:tcW w:w="614" w:type="pct"/>
            <w:tcBorders>
              <w:top w:val="nil"/>
              <w:left w:val="single" w:sz="4" w:space="0" w:color="auto"/>
              <w:bottom w:val="nil"/>
              <w:right w:val="single" w:sz="4" w:space="0" w:color="auto"/>
            </w:tcBorders>
            <w:shd w:val="clear" w:color="auto" w:fill="auto"/>
            <w:noWrap/>
            <w:vAlign w:val="bottom"/>
            <w:hideMark/>
          </w:tcPr>
          <w:p w14:paraId="58ED0BFA" w14:textId="77777777" w:rsidR="0063662E" w:rsidRPr="00884BF5" w:rsidRDefault="0063662E" w:rsidP="004E6074">
            <w:pPr>
              <w:spacing w:after="0" w:line="240" w:lineRule="auto"/>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Chemical</w:t>
            </w:r>
          </w:p>
        </w:tc>
        <w:tc>
          <w:tcPr>
            <w:tcW w:w="351" w:type="pct"/>
            <w:tcBorders>
              <w:top w:val="nil"/>
              <w:left w:val="nil"/>
              <w:bottom w:val="nil"/>
              <w:right w:val="nil"/>
            </w:tcBorders>
            <w:shd w:val="clear" w:color="auto" w:fill="auto"/>
            <w:noWrap/>
            <w:vAlign w:val="bottom"/>
            <w:hideMark/>
          </w:tcPr>
          <w:p w14:paraId="18F15E20"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41,971</w:t>
            </w:r>
          </w:p>
        </w:tc>
        <w:tc>
          <w:tcPr>
            <w:tcW w:w="364" w:type="pct"/>
            <w:tcBorders>
              <w:top w:val="nil"/>
              <w:left w:val="nil"/>
              <w:bottom w:val="nil"/>
              <w:right w:val="nil"/>
            </w:tcBorders>
            <w:shd w:val="clear" w:color="auto" w:fill="auto"/>
            <w:noWrap/>
            <w:vAlign w:val="bottom"/>
            <w:hideMark/>
          </w:tcPr>
          <w:p w14:paraId="7EB49F1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45,857</w:t>
            </w:r>
          </w:p>
        </w:tc>
        <w:tc>
          <w:tcPr>
            <w:tcW w:w="355" w:type="pct"/>
            <w:tcBorders>
              <w:top w:val="nil"/>
              <w:left w:val="nil"/>
              <w:bottom w:val="nil"/>
              <w:right w:val="nil"/>
            </w:tcBorders>
            <w:shd w:val="clear" w:color="auto" w:fill="auto"/>
            <w:noWrap/>
            <w:vAlign w:val="bottom"/>
            <w:hideMark/>
          </w:tcPr>
          <w:p w14:paraId="7248B276"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45,066</w:t>
            </w:r>
          </w:p>
        </w:tc>
        <w:tc>
          <w:tcPr>
            <w:tcW w:w="351" w:type="pct"/>
            <w:tcBorders>
              <w:top w:val="nil"/>
              <w:left w:val="nil"/>
              <w:bottom w:val="nil"/>
              <w:right w:val="nil"/>
            </w:tcBorders>
            <w:shd w:val="clear" w:color="auto" w:fill="auto"/>
            <w:noWrap/>
            <w:vAlign w:val="bottom"/>
            <w:hideMark/>
          </w:tcPr>
          <w:p w14:paraId="69F3492F"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51,350</w:t>
            </w:r>
          </w:p>
        </w:tc>
        <w:tc>
          <w:tcPr>
            <w:tcW w:w="368" w:type="pct"/>
            <w:tcBorders>
              <w:top w:val="nil"/>
              <w:left w:val="nil"/>
              <w:bottom w:val="nil"/>
              <w:right w:val="nil"/>
            </w:tcBorders>
            <w:shd w:val="clear" w:color="auto" w:fill="auto"/>
            <w:noWrap/>
            <w:vAlign w:val="bottom"/>
            <w:hideMark/>
          </w:tcPr>
          <w:p w14:paraId="354B74B4"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46,596</w:t>
            </w:r>
          </w:p>
        </w:tc>
        <w:tc>
          <w:tcPr>
            <w:tcW w:w="358" w:type="pct"/>
            <w:tcBorders>
              <w:top w:val="nil"/>
              <w:left w:val="nil"/>
              <w:bottom w:val="nil"/>
              <w:right w:val="nil"/>
            </w:tcBorders>
            <w:shd w:val="clear" w:color="auto" w:fill="auto"/>
            <w:noWrap/>
            <w:vAlign w:val="bottom"/>
            <w:hideMark/>
          </w:tcPr>
          <w:p w14:paraId="2AC8F50F"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39,174</w:t>
            </w:r>
          </w:p>
        </w:tc>
        <w:tc>
          <w:tcPr>
            <w:tcW w:w="351" w:type="pct"/>
            <w:tcBorders>
              <w:top w:val="nil"/>
              <w:left w:val="nil"/>
              <w:bottom w:val="nil"/>
              <w:right w:val="nil"/>
            </w:tcBorders>
            <w:shd w:val="clear" w:color="auto" w:fill="auto"/>
            <w:noWrap/>
            <w:vAlign w:val="bottom"/>
            <w:hideMark/>
          </w:tcPr>
          <w:p w14:paraId="7A6E07D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43,662</w:t>
            </w:r>
          </w:p>
        </w:tc>
        <w:tc>
          <w:tcPr>
            <w:tcW w:w="354" w:type="pct"/>
            <w:tcBorders>
              <w:top w:val="nil"/>
              <w:left w:val="nil"/>
              <w:bottom w:val="nil"/>
              <w:right w:val="nil"/>
            </w:tcBorders>
            <w:shd w:val="clear" w:color="auto" w:fill="auto"/>
            <w:noWrap/>
            <w:vAlign w:val="bottom"/>
            <w:hideMark/>
          </w:tcPr>
          <w:p w14:paraId="6A303A5E"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49,440</w:t>
            </w:r>
          </w:p>
        </w:tc>
        <w:tc>
          <w:tcPr>
            <w:tcW w:w="394" w:type="pct"/>
            <w:tcBorders>
              <w:top w:val="nil"/>
              <w:left w:val="nil"/>
              <w:bottom w:val="nil"/>
              <w:right w:val="nil"/>
            </w:tcBorders>
            <w:shd w:val="clear" w:color="auto" w:fill="auto"/>
            <w:noWrap/>
            <w:vAlign w:val="bottom"/>
            <w:hideMark/>
          </w:tcPr>
          <w:p w14:paraId="573C11DF"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59,695</w:t>
            </w:r>
          </w:p>
        </w:tc>
        <w:tc>
          <w:tcPr>
            <w:tcW w:w="354" w:type="pct"/>
            <w:tcBorders>
              <w:top w:val="nil"/>
              <w:left w:val="nil"/>
              <w:bottom w:val="nil"/>
              <w:right w:val="nil"/>
            </w:tcBorders>
            <w:shd w:val="clear" w:color="auto" w:fill="auto"/>
            <w:noWrap/>
            <w:vAlign w:val="bottom"/>
            <w:hideMark/>
          </w:tcPr>
          <w:p w14:paraId="36867D2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48,601</w:t>
            </w:r>
          </w:p>
        </w:tc>
        <w:tc>
          <w:tcPr>
            <w:tcW w:w="394" w:type="pct"/>
            <w:tcBorders>
              <w:top w:val="nil"/>
              <w:left w:val="nil"/>
              <w:bottom w:val="nil"/>
              <w:right w:val="nil"/>
            </w:tcBorders>
            <w:shd w:val="clear" w:color="auto" w:fill="auto"/>
            <w:noWrap/>
            <w:vAlign w:val="bottom"/>
            <w:hideMark/>
          </w:tcPr>
          <w:p w14:paraId="607C9656"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54,049</w:t>
            </w:r>
          </w:p>
        </w:tc>
        <w:tc>
          <w:tcPr>
            <w:tcW w:w="392" w:type="pct"/>
            <w:tcBorders>
              <w:top w:val="nil"/>
              <w:left w:val="nil"/>
              <w:bottom w:val="nil"/>
              <w:right w:val="single" w:sz="4" w:space="0" w:color="auto"/>
            </w:tcBorders>
            <w:shd w:val="clear" w:color="auto" w:fill="auto"/>
            <w:noWrap/>
            <w:vAlign w:val="bottom"/>
            <w:hideMark/>
          </w:tcPr>
          <w:p w14:paraId="26A0588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60,386</w:t>
            </w:r>
          </w:p>
        </w:tc>
      </w:tr>
      <w:tr w:rsidR="0063662E" w:rsidRPr="00DC6928" w14:paraId="754ECD2E" w14:textId="77777777" w:rsidTr="004E6074">
        <w:trPr>
          <w:trHeight w:val="288"/>
        </w:trPr>
        <w:tc>
          <w:tcPr>
            <w:tcW w:w="614" w:type="pct"/>
            <w:tcBorders>
              <w:top w:val="nil"/>
              <w:left w:val="single" w:sz="4" w:space="0" w:color="auto"/>
              <w:bottom w:val="nil"/>
              <w:right w:val="single" w:sz="4" w:space="0" w:color="auto"/>
            </w:tcBorders>
            <w:shd w:val="clear" w:color="auto" w:fill="auto"/>
            <w:noWrap/>
            <w:vAlign w:val="bottom"/>
            <w:hideMark/>
          </w:tcPr>
          <w:p w14:paraId="3D050065" w14:textId="77777777" w:rsidR="0063662E" w:rsidRPr="00884BF5" w:rsidRDefault="0063662E" w:rsidP="004E6074">
            <w:pPr>
              <w:spacing w:after="0" w:line="240" w:lineRule="auto"/>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Environmental</w:t>
            </w:r>
          </w:p>
        </w:tc>
        <w:tc>
          <w:tcPr>
            <w:tcW w:w="351" w:type="pct"/>
            <w:tcBorders>
              <w:top w:val="nil"/>
              <w:left w:val="nil"/>
              <w:bottom w:val="nil"/>
              <w:right w:val="nil"/>
            </w:tcBorders>
            <w:shd w:val="clear" w:color="auto" w:fill="auto"/>
            <w:noWrap/>
            <w:vAlign w:val="bottom"/>
            <w:hideMark/>
          </w:tcPr>
          <w:p w14:paraId="03ECEAD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23,714</w:t>
            </w:r>
          </w:p>
        </w:tc>
        <w:tc>
          <w:tcPr>
            <w:tcW w:w="364" w:type="pct"/>
            <w:tcBorders>
              <w:top w:val="nil"/>
              <w:left w:val="nil"/>
              <w:bottom w:val="nil"/>
              <w:right w:val="nil"/>
            </w:tcBorders>
            <w:shd w:val="clear" w:color="auto" w:fill="auto"/>
            <w:noWrap/>
            <w:vAlign w:val="bottom"/>
            <w:hideMark/>
          </w:tcPr>
          <w:p w14:paraId="32FA5D9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23,855</w:t>
            </w:r>
          </w:p>
        </w:tc>
        <w:tc>
          <w:tcPr>
            <w:tcW w:w="355" w:type="pct"/>
            <w:tcBorders>
              <w:top w:val="nil"/>
              <w:left w:val="nil"/>
              <w:bottom w:val="nil"/>
              <w:right w:val="nil"/>
            </w:tcBorders>
            <w:shd w:val="clear" w:color="auto" w:fill="auto"/>
            <w:noWrap/>
            <w:vAlign w:val="bottom"/>
            <w:hideMark/>
          </w:tcPr>
          <w:p w14:paraId="49E59D75"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22,279</w:t>
            </w:r>
          </w:p>
        </w:tc>
        <w:tc>
          <w:tcPr>
            <w:tcW w:w="351" w:type="pct"/>
            <w:tcBorders>
              <w:top w:val="nil"/>
              <w:left w:val="nil"/>
              <w:bottom w:val="nil"/>
              <w:right w:val="nil"/>
            </w:tcBorders>
            <w:shd w:val="clear" w:color="auto" w:fill="auto"/>
            <w:noWrap/>
            <w:vAlign w:val="bottom"/>
            <w:hideMark/>
          </w:tcPr>
          <w:p w14:paraId="08D67A6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24,911</w:t>
            </w:r>
          </w:p>
        </w:tc>
        <w:tc>
          <w:tcPr>
            <w:tcW w:w="368" w:type="pct"/>
            <w:tcBorders>
              <w:top w:val="nil"/>
              <w:left w:val="nil"/>
              <w:bottom w:val="nil"/>
              <w:right w:val="nil"/>
            </w:tcBorders>
            <w:shd w:val="clear" w:color="auto" w:fill="auto"/>
            <w:noWrap/>
            <w:vAlign w:val="bottom"/>
            <w:hideMark/>
          </w:tcPr>
          <w:p w14:paraId="2722A6A6"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26,042</w:t>
            </w:r>
          </w:p>
        </w:tc>
        <w:tc>
          <w:tcPr>
            <w:tcW w:w="358" w:type="pct"/>
            <w:tcBorders>
              <w:top w:val="nil"/>
              <w:left w:val="nil"/>
              <w:bottom w:val="nil"/>
              <w:right w:val="nil"/>
            </w:tcBorders>
            <w:shd w:val="clear" w:color="auto" w:fill="auto"/>
            <w:noWrap/>
            <w:vAlign w:val="bottom"/>
            <w:hideMark/>
          </w:tcPr>
          <w:p w14:paraId="775FF0FD"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28,824</w:t>
            </w:r>
          </w:p>
        </w:tc>
        <w:tc>
          <w:tcPr>
            <w:tcW w:w="351" w:type="pct"/>
            <w:tcBorders>
              <w:top w:val="nil"/>
              <w:left w:val="nil"/>
              <w:bottom w:val="nil"/>
              <w:right w:val="nil"/>
            </w:tcBorders>
            <w:shd w:val="clear" w:color="auto" w:fill="auto"/>
            <w:noWrap/>
            <w:vAlign w:val="bottom"/>
            <w:hideMark/>
          </w:tcPr>
          <w:p w14:paraId="36AD0D13"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26,826</w:t>
            </w:r>
          </w:p>
        </w:tc>
        <w:tc>
          <w:tcPr>
            <w:tcW w:w="354" w:type="pct"/>
            <w:tcBorders>
              <w:top w:val="nil"/>
              <w:left w:val="nil"/>
              <w:bottom w:val="nil"/>
              <w:right w:val="nil"/>
            </w:tcBorders>
            <w:shd w:val="clear" w:color="auto" w:fill="auto"/>
            <w:noWrap/>
            <w:vAlign w:val="bottom"/>
            <w:hideMark/>
          </w:tcPr>
          <w:p w14:paraId="27DB72C9"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30,585</w:t>
            </w:r>
          </w:p>
        </w:tc>
        <w:tc>
          <w:tcPr>
            <w:tcW w:w="394" w:type="pct"/>
            <w:tcBorders>
              <w:top w:val="nil"/>
              <w:left w:val="nil"/>
              <w:bottom w:val="nil"/>
              <w:right w:val="nil"/>
            </w:tcBorders>
            <w:shd w:val="clear" w:color="auto" w:fill="auto"/>
            <w:noWrap/>
            <w:vAlign w:val="bottom"/>
            <w:hideMark/>
          </w:tcPr>
          <w:p w14:paraId="28CF5D8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43,521</w:t>
            </w:r>
          </w:p>
        </w:tc>
        <w:tc>
          <w:tcPr>
            <w:tcW w:w="354" w:type="pct"/>
            <w:tcBorders>
              <w:top w:val="nil"/>
              <w:left w:val="nil"/>
              <w:bottom w:val="nil"/>
              <w:right w:val="nil"/>
            </w:tcBorders>
            <w:shd w:val="clear" w:color="auto" w:fill="auto"/>
            <w:noWrap/>
            <w:vAlign w:val="bottom"/>
            <w:hideMark/>
          </w:tcPr>
          <w:p w14:paraId="36444CC7"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36,925</w:t>
            </w:r>
          </w:p>
        </w:tc>
        <w:tc>
          <w:tcPr>
            <w:tcW w:w="394" w:type="pct"/>
            <w:tcBorders>
              <w:top w:val="nil"/>
              <w:left w:val="nil"/>
              <w:bottom w:val="nil"/>
              <w:right w:val="nil"/>
            </w:tcBorders>
            <w:shd w:val="clear" w:color="auto" w:fill="auto"/>
            <w:noWrap/>
            <w:vAlign w:val="bottom"/>
            <w:hideMark/>
          </w:tcPr>
          <w:p w14:paraId="7542395E"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42,930</w:t>
            </w:r>
          </w:p>
        </w:tc>
        <w:tc>
          <w:tcPr>
            <w:tcW w:w="392" w:type="pct"/>
            <w:tcBorders>
              <w:top w:val="nil"/>
              <w:left w:val="nil"/>
              <w:bottom w:val="nil"/>
              <w:right w:val="single" w:sz="4" w:space="0" w:color="auto"/>
            </w:tcBorders>
            <w:shd w:val="clear" w:color="auto" w:fill="auto"/>
            <w:noWrap/>
            <w:vAlign w:val="bottom"/>
            <w:hideMark/>
          </w:tcPr>
          <w:p w14:paraId="089FCB81"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46,163</w:t>
            </w:r>
          </w:p>
        </w:tc>
      </w:tr>
      <w:tr w:rsidR="0063662E" w:rsidRPr="00DC6928" w14:paraId="1C9D7104" w14:textId="77777777" w:rsidTr="004E6074">
        <w:trPr>
          <w:trHeight w:val="288"/>
        </w:trPr>
        <w:tc>
          <w:tcPr>
            <w:tcW w:w="614" w:type="pct"/>
            <w:tcBorders>
              <w:top w:val="nil"/>
              <w:left w:val="single" w:sz="4" w:space="0" w:color="auto"/>
              <w:bottom w:val="nil"/>
              <w:right w:val="single" w:sz="4" w:space="0" w:color="auto"/>
            </w:tcBorders>
            <w:shd w:val="clear" w:color="auto" w:fill="auto"/>
            <w:noWrap/>
            <w:vAlign w:val="bottom"/>
            <w:hideMark/>
          </w:tcPr>
          <w:p w14:paraId="6B225C30" w14:textId="77777777" w:rsidR="0063662E" w:rsidRPr="00884BF5" w:rsidRDefault="0063662E" w:rsidP="004E6074">
            <w:pPr>
              <w:spacing w:after="0" w:line="240" w:lineRule="auto"/>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Mechanical</w:t>
            </w:r>
          </w:p>
        </w:tc>
        <w:tc>
          <w:tcPr>
            <w:tcW w:w="351" w:type="pct"/>
            <w:tcBorders>
              <w:top w:val="nil"/>
              <w:left w:val="nil"/>
              <w:bottom w:val="nil"/>
              <w:right w:val="nil"/>
            </w:tcBorders>
            <w:shd w:val="clear" w:color="auto" w:fill="auto"/>
            <w:noWrap/>
            <w:vAlign w:val="bottom"/>
            <w:hideMark/>
          </w:tcPr>
          <w:p w14:paraId="20378EA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3,356</w:t>
            </w:r>
          </w:p>
        </w:tc>
        <w:tc>
          <w:tcPr>
            <w:tcW w:w="364" w:type="pct"/>
            <w:tcBorders>
              <w:top w:val="nil"/>
              <w:left w:val="nil"/>
              <w:bottom w:val="nil"/>
              <w:right w:val="nil"/>
            </w:tcBorders>
            <w:shd w:val="clear" w:color="auto" w:fill="auto"/>
            <w:noWrap/>
            <w:vAlign w:val="bottom"/>
            <w:hideMark/>
          </w:tcPr>
          <w:p w14:paraId="0E688832"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3,962</w:t>
            </w:r>
          </w:p>
        </w:tc>
        <w:tc>
          <w:tcPr>
            <w:tcW w:w="355" w:type="pct"/>
            <w:tcBorders>
              <w:top w:val="nil"/>
              <w:left w:val="nil"/>
              <w:bottom w:val="nil"/>
              <w:right w:val="nil"/>
            </w:tcBorders>
            <w:shd w:val="clear" w:color="auto" w:fill="auto"/>
            <w:noWrap/>
            <w:vAlign w:val="bottom"/>
            <w:hideMark/>
          </w:tcPr>
          <w:p w14:paraId="5B3D8C60"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5,484</w:t>
            </w:r>
          </w:p>
        </w:tc>
        <w:tc>
          <w:tcPr>
            <w:tcW w:w="351" w:type="pct"/>
            <w:tcBorders>
              <w:top w:val="nil"/>
              <w:left w:val="nil"/>
              <w:bottom w:val="nil"/>
              <w:right w:val="nil"/>
            </w:tcBorders>
            <w:shd w:val="clear" w:color="auto" w:fill="auto"/>
            <w:noWrap/>
            <w:vAlign w:val="bottom"/>
            <w:hideMark/>
          </w:tcPr>
          <w:p w14:paraId="633F3124"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5,010</w:t>
            </w:r>
          </w:p>
        </w:tc>
        <w:tc>
          <w:tcPr>
            <w:tcW w:w="368" w:type="pct"/>
            <w:tcBorders>
              <w:top w:val="nil"/>
              <w:left w:val="nil"/>
              <w:bottom w:val="nil"/>
              <w:right w:val="nil"/>
            </w:tcBorders>
            <w:shd w:val="clear" w:color="auto" w:fill="auto"/>
            <w:noWrap/>
            <w:vAlign w:val="bottom"/>
            <w:hideMark/>
          </w:tcPr>
          <w:p w14:paraId="0A4D0BFF"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4,462</w:t>
            </w:r>
          </w:p>
        </w:tc>
        <w:tc>
          <w:tcPr>
            <w:tcW w:w="358" w:type="pct"/>
            <w:tcBorders>
              <w:top w:val="nil"/>
              <w:left w:val="nil"/>
              <w:bottom w:val="nil"/>
              <w:right w:val="nil"/>
            </w:tcBorders>
            <w:shd w:val="clear" w:color="auto" w:fill="auto"/>
            <w:noWrap/>
            <w:vAlign w:val="bottom"/>
            <w:hideMark/>
          </w:tcPr>
          <w:p w14:paraId="48D1E7E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3,959</w:t>
            </w:r>
          </w:p>
        </w:tc>
        <w:tc>
          <w:tcPr>
            <w:tcW w:w="351" w:type="pct"/>
            <w:tcBorders>
              <w:top w:val="nil"/>
              <w:left w:val="nil"/>
              <w:bottom w:val="nil"/>
              <w:right w:val="nil"/>
            </w:tcBorders>
            <w:shd w:val="clear" w:color="auto" w:fill="auto"/>
            <w:noWrap/>
            <w:vAlign w:val="bottom"/>
            <w:hideMark/>
          </w:tcPr>
          <w:p w14:paraId="37BAD147"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4,414</w:t>
            </w:r>
          </w:p>
        </w:tc>
        <w:tc>
          <w:tcPr>
            <w:tcW w:w="354" w:type="pct"/>
            <w:tcBorders>
              <w:top w:val="nil"/>
              <w:left w:val="nil"/>
              <w:bottom w:val="nil"/>
              <w:right w:val="nil"/>
            </w:tcBorders>
            <w:shd w:val="clear" w:color="auto" w:fill="auto"/>
            <w:noWrap/>
            <w:vAlign w:val="bottom"/>
            <w:hideMark/>
          </w:tcPr>
          <w:p w14:paraId="14FB5F65"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5,244</w:t>
            </w:r>
          </w:p>
        </w:tc>
        <w:tc>
          <w:tcPr>
            <w:tcW w:w="394" w:type="pct"/>
            <w:tcBorders>
              <w:top w:val="nil"/>
              <w:left w:val="nil"/>
              <w:bottom w:val="nil"/>
              <w:right w:val="nil"/>
            </w:tcBorders>
            <w:shd w:val="clear" w:color="auto" w:fill="auto"/>
            <w:noWrap/>
            <w:vAlign w:val="bottom"/>
            <w:hideMark/>
          </w:tcPr>
          <w:p w14:paraId="0A876DED"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8,588</w:t>
            </w:r>
          </w:p>
        </w:tc>
        <w:tc>
          <w:tcPr>
            <w:tcW w:w="354" w:type="pct"/>
            <w:tcBorders>
              <w:top w:val="nil"/>
              <w:left w:val="nil"/>
              <w:bottom w:val="nil"/>
              <w:right w:val="nil"/>
            </w:tcBorders>
            <w:shd w:val="clear" w:color="auto" w:fill="auto"/>
            <w:noWrap/>
            <w:vAlign w:val="bottom"/>
            <w:hideMark/>
          </w:tcPr>
          <w:p w14:paraId="0890D479"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6,452</w:t>
            </w:r>
          </w:p>
        </w:tc>
        <w:tc>
          <w:tcPr>
            <w:tcW w:w="394" w:type="pct"/>
            <w:tcBorders>
              <w:top w:val="nil"/>
              <w:left w:val="nil"/>
              <w:bottom w:val="nil"/>
              <w:right w:val="nil"/>
            </w:tcBorders>
            <w:shd w:val="clear" w:color="auto" w:fill="auto"/>
            <w:noWrap/>
            <w:vAlign w:val="bottom"/>
            <w:hideMark/>
          </w:tcPr>
          <w:p w14:paraId="3733E25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6,303</w:t>
            </w:r>
          </w:p>
        </w:tc>
        <w:tc>
          <w:tcPr>
            <w:tcW w:w="392" w:type="pct"/>
            <w:tcBorders>
              <w:top w:val="nil"/>
              <w:left w:val="nil"/>
              <w:bottom w:val="nil"/>
              <w:right w:val="single" w:sz="4" w:space="0" w:color="auto"/>
            </w:tcBorders>
            <w:shd w:val="clear" w:color="auto" w:fill="auto"/>
            <w:noWrap/>
            <w:vAlign w:val="bottom"/>
            <w:hideMark/>
          </w:tcPr>
          <w:p w14:paraId="5C7F599B"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6,561</w:t>
            </w:r>
          </w:p>
        </w:tc>
      </w:tr>
      <w:tr w:rsidR="0063662E" w:rsidRPr="00DC6928" w14:paraId="29316AA0" w14:textId="77777777" w:rsidTr="004E6074">
        <w:trPr>
          <w:trHeight w:val="288"/>
        </w:trPr>
        <w:tc>
          <w:tcPr>
            <w:tcW w:w="614" w:type="pct"/>
            <w:tcBorders>
              <w:top w:val="nil"/>
              <w:left w:val="single" w:sz="4" w:space="0" w:color="auto"/>
              <w:bottom w:val="nil"/>
              <w:right w:val="single" w:sz="4" w:space="0" w:color="auto"/>
            </w:tcBorders>
            <w:shd w:val="clear" w:color="auto" w:fill="auto"/>
            <w:noWrap/>
            <w:vAlign w:val="bottom"/>
            <w:hideMark/>
          </w:tcPr>
          <w:p w14:paraId="5F057AE5" w14:textId="77777777" w:rsidR="0063662E" w:rsidRPr="00884BF5" w:rsidRDefault="0063662E" w:rsidP="004E6074">
            <w:pPr>
              <w:spacing w:after="0" w:line="240" w:lineRule="auto"/>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Physical</w:t>
            </w:r>
          </w:p>
        </w:tc>
        <w:tc>
          <w:tcPr>
            <w:tcW w:w="351" w:type="pct"/>
            <w:tcBorders>
              <w:top w:val="nil"/>
              <w:left w:val="nil"/>
              <w:bottom w:val="nil"/>
              <w:right w:val="nil"/>
            </w:tcBorders>
            <w:shd w:val="clear" w:color="auto" w:fill="auto"/>
            <w:noWrap/>
            <w:vAlign w:val="bottom"/>
            <w:hideMark/>
          </w:tcPr>
          <w:p w14:paraId="7048983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249</w:t>
            </w:r>
          </w:p>
        </w:tc>
        <w:tc>
          <w:tcPr>
            <w:tcW w:w="364" w:type="pct"/>
            <w:tcBorders>
              <w:top w:val="nil"/>
              <w:left w:val="nil"/>
              <w:bottom w:val="nil"/>
              <w:right w:val="nil"/>
            </w:tcBorders>
            <w:shd w:val="clear" w:color="auto" w:fill="auto"/>
            <w:noWrap/>
            <w:vAlign w:val="bottom"/>
            <w:hideMark/>
          </w:tcPr>
          <w:p w14:paraId="2C04DEA2"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264</w:t>
            </w:r>
          </w:p>
        </w:tc>
        <w:tc>
          <w:tcPr>
            <w:tcW w:w="355" w:type="pct"/>
            <w:tcBorders>
              <w:top w:val="nil"/>
              <w:left w:val="nil"/>
              <w:bottom w:val="nil"/>
              <w:right w:val="nil"/>
            </w:tcBorders>
            <w:shd w:val="clear" w:color="auto" w:fill="auto"/>
            <w:noWrap/>
            <w:vAlign w:val="bottom"/>
            <w:hideMark/>
          </w:tcPr>
          <w:p w14:paraId="51DDC68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277</w:t>
            </w:r>
          </w:p>
        </w:tc>
        <w:tc>
          <w:tcPr>
            <w:tcW w:w="351" w:type="pct"/>
            <w:tcBorders>
              <w:top w:val="nil"/>
              <w:left w:val="nil"/>
              <w:bottom w:val="nil"/>
              <w:right w:val="nil"/>
            </w:tcBorders>
            <w:shd w:val="clear" w:color="auto" w:fill="auto"/>
            <w:noWrap/>
            <w:vAlign w:val="bottom"/>
            <w:hideMark/>
          </w:tcPr>
          <w:p w14:paraId="4416863B"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321</w:t>
            </w:r>
          </w:p>
        </w:tc>
        <w:tc>
          <w:tcPr>
            <w:tcW w:w="368" w:type="pct"/>
            <w:tcBorders>
              <w:top w:val="nil"/>
              <w:left w:val="nil"/>
              <w:bottom w:val="nil"/>
              <w:right w:val="nil"/>
            </w:tcBorders>
            <w:shd w:val="clear" w:color="auto" w:fill="auto"/>
            <w:noWrap/>
            <w:vAlign w:val="bottom"/>
            <w:hideMark/>
          </w:tcPr>
          <w:p w14:paraId="2F286711"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456</w:t>
            </w:r>
          </w:p>
        </w:tc>
        <w:tc>
          <w:tcPr>
            <w:tcW w:w="358" w:type="pct"/>
            <w:tcBorders>
              <w:top w:val="nil"/>
              <w:left w:val="nil"/>
              <w:bottom w:val="nil"/>
              <w:right w:val="nil"/>
            </w:tcBorders>
            <w:shd w:val="clear" w:color="auto" w:fill="auto"/>
            <w:noWrap/>
            <w:vAlign w:val="bottom"/>
            <w:hideMark/>
          </w:tcPr>
          <w:p w14:paraId="3C06C4A7"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458</w:t>
            </w:r>
          </w:p>
        </w:tc>
        <w:tc>
          <w:tcPr>
            <w:tcW w:w="351" w:type="pct"/>
            <w:tcBorders>
              <w:top w:val="nil"/>
              <w:left w:val="nil"/>
              <w:bottom w:val="nil"/>
              <w:right w:val="nil"/>
            </w:tcBorders>
            <w:shd w:val="clear" w:color="auto" w:fill="auto"/>
            <w:noWrap/>
            <w:vAlign w:val="bottom"/>
            <w:hideMark/>
          </w:tcPr>
          <w:p w14:paraId="6AB30D76"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422</w:t>
            </w:r>
          </w:p>
        </w:tc>
        <w:tc>
          <w:tcPr>
            <w:tcW w:w="354" w:type="pct"/>
            <w:tcBorders>
              <w:top w:val="nil"/>
              <w:left w:val="nil"/>
              <w:bottom w:val="nil"/>
              <w:right w:val="nil"/>
            </w:tcBorders>
            <w:shd w:val="clear" w:color="auto" w:fill="auto"/>
            <w:noWrap/>
            <w:vAlign w:val="bottom"/>
            <w:hideMark/>
          </w:tcPr>
          <w:p w14:paraId="72185D0D"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433</w:t>
            </w:r>
          </w:p>
        </w:tc>
        <w:tc>
          <w:tcPr>
            <w:tcW w:w="394" w:type="pct"/>
            <w:tcBorders>
              <w:top w:val="nil"/>
              <w:left w:val="nil"/>
              <w:bottom w:val="nil"/>
              <w:right w:val="nil"/>
            </w:tcBorders>
            <w:shd w:val="clear" w:color="auto" w:fill="auto"/>
            <w:noWrap/>
            <w:vAlign w:val="bottom"/>
            <w:hideMark/>
          </w:tcPr>
          <w:p w14:paraId="2BB6BF39"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470</w:t>
            </w:r>
          </w:p>
        </w:tc>
        <w:tc>
          <w:tcPr>
            <w:tcW w:w="354" w:type="pct"/>
            <w:tcBorders>
              <w:top w:val="nil"/>
              <w:left w:val="nil"/>
              <w:bottom w:val="nil"/>
              <w:right w:val="nil"/>
            </w:tcBorders>
            <w:shd w:val="clear" w:color="auto" w:fill="auto"/>
            <w:noWrap/>
            <w:vAlign w:val="bottom"/>
            <w:hideMark/>
          </w:tcPr>
          <w:p w14:paraId="1CD2BF2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438</w:t>
            </w:r>
          </w:p>
        </w:tc>
        <w:tc>
          <w:tcPr>
            <w:tcW w:w="394" w:type="pct"/>
            <w:tcBorders>
              <w:top w:val="nil"/>
              <w:left w:val="nil"/>
              <w:bottom w:val="nil"/>
              <w:right w:val="nil"/>
            </w:tcBorders>
            <w:shd w:val="clear" w:color="auto" w:fill="auto"/>
            <w:noWrap/>
            <w:vAlign w:val="bottom"/>
            <w:hideMark/>
          </w:tcPr>
          <w:p w14:paraId="5BFC2604"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570</w:t>
            </w:r>
          </w:p>
        </w:tc>
        <w:tc>
          <w:tcPr>
            <w:tcW w:w="392" w:type="pct"/>
            <w:tcBorders>
              <w:top w:val="nil"/>
              <w:left w:val="nil"/>
              <w:bottom w:val="nil"/>
              <w:right w:val="single" w:sz="4" w:space="0" w:color="auto"/>
            </w:tcBorders>
            <w:shd w:val="clear" w:color="auto" w:fill="auto"/>
            <w:noWrap/>
            <w:vAlign w:val="bottom"/>
            <w:hideMark/>
          </w:tcPr>
          <w:p w14:paraId="734B420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437</w:t>
            </w:r>
          </w:p>
        </w:tc>
      </w:tr>
      <w:tr w:rsidR="0063662E" w:rsidRPr="00DC6928" w14:paraId="5A69B4FE" w14:textId="77777777" w:rsidTr="004E6074">
        <w:trPr>
          <w:trHeight w:val="288"/>
        </w:trPr>
        <w:tc>
          <w:tcPr>
            <w:tcW w:w="614" w:type="pct"/>
            <w:tcBorders>
              <w:top w:val="nil"/>
              <w:left w:val="single" w:sz="4" w:space="0" w:color="auto"/>
              <w:right w:val="single" w:sz="4" w:space="0" w:color="auto"/>
            </w:tcBorders>
            <w:shd w:val="clear" w:color="auto" w:fill="auto"/>
            <w:noWrap/>
            <w:vAlign w:val="bottom"/>
            <w:hideMark/>
          </w:tcPr>
          <w:p w14:paraId="67D452AA" w14:textId="77777777" w:rsidR="0063662E" w:rsidRPr="00884BF5" w:rsidRDefault="0063662E" w:rsidP="004E6074">
            <w:pPr>
              <w:spacing w:after="0" w:line="240" w:lineRule="auto"/>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Seclusion</w:t>
            </w:r>
          </w:p>
        </w:tc>
        <w:tc>
          <w:tcPr>
            <w:tcW w:w="351" w:type="pct"/>
            <w:tcBorders>
              <w:top w:val="nil"/>
              <w:left w:val="nil"/>
              <w:right w:val="nil"/>
            </w:tcBorders>
            <w:shd w:val="clear" w:color="auto" w:fill="auto"/>
            <w:noWrap/>
            <w:vAlign w:val="bottom"/>
            <w:hideMark/>
          </w:tcPr>
          <w:p w14:paraId="57743C17"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53</w:t>
            </w:r>
          </w:p>
        </w:tc>
        <w:tc>
          <w:tcPr>
            <w:tcW w:w="364" w:type="pct"/>
            <w:tcBorders>
              <w:top w:val="nil"/>
              <w:left w:val="nil"/>
              <w:right w:val="nil"/>
            </w:tcBorders>
            <w:shd w:val="clear" w:color="auto" w:fill="auto"/>
            <w:noWrap/>
            <w:vAlign w:val="bottom"/>
            <w:hideMark/>
          </w:tcPr>
          <w:p w14:paraId="2132339F"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71</w:t>
            </w:r>
          </w:p>
        </w:tc>
        <w:tc>
          <w:tcPr>
            <w:tcW w:w="355" w:type="pct"/>
            <w:tcBorders>
              <w:top w:val="nil"/>
              <w:left w:val="nil"/>
              <w:right w:val="nil"/>
            </w:tcBorders>
            <w:shd w:val="clear" w:color="auto" w:fill="auto"/>
            <w:noWrap/>
            <w:vAlign w:val="bottom"/>
            <w:hideMark/>
          </w:tcPr>
          <w:p w14:paraId="1DF31881"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82</w:t>
            </w:r>
          </w:p>
        </w:tc>
        <w:tc>
          <w:tcPr>
            <w:tcW w:w="351" w:type="pct"/>
            <w:tcBorders>
              <w:top w:val="nil"/>
              <w:left w:val="nil"/>
              <w:right w:val="nil"/>
            </w:tcBorders>
            <w:shd w:val="clear" w:color="auto" w:fill="auto"/>
            <w:noWrap/>
            <w:vAlign w:val="bottom"/>
            <w:hideMark/>
          </w:tcPr>
          <w:p w14:paraId="11FFDA1E"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60</w:t>
            </w:r>
          </w:p>
        </w:tc>
        <w:tc>
          <w:tcPr>
            <w:tcW w:w="368" w:type="pct"/>
            <w:tcBorders>
              <w:top w:val="nil"/>
              <w:left w:val="nil"/>
              <w:right w:val="nil"/>
            </w:tcBorders>
            <w:shd w:val="clear" w:color="auto" w:fill="auto"/>
            <w:noWrap/>
            <w:vAlign w:val="bottom"/>
            <w:hideMark/>
          </w:tcPr>
          <w:p w14:paraId="1F5F6ECB"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65</w:t>
            </w:r>
          </w:p>
        </w:tc>
        <w:tc>
          <w:tcPr>
            <w:tcW w:w="358" w:type="pct"/>
            <w:tcBorders>
              <w:top w:val="nil"/>
              <w:left w:val="nil"/>
              <w:right w:val="nil"/>
            </w:tcBorders>
            <w:shd w:val="clear" w:color="auto" w:fill="auto"/>
            <w:noWrap/>
            <w:vAlign w:val="bottom"/>
            <w:hideMark/>
          </w:tcPr>
          <w:p w14:paraId="2B2A1692"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43</w:t>
            </w:r>
          </w:p>
        </w:tc>
        <w:tc>
          <w:tcPr>
            <w:tcW w:w="351" w:type="pct"/>
            <w:tcBorders>
              <w:top w:val="nil"/>
              <w:left w:val="nil"/>
              <w:right w:val="nil"/>
            </w:tcBorders>
            <w:shd w:val="clear" w:color="auto" w:fill="auto"/>
            <w:noWrap/>
            <w:vAlign w:val="bottom"/>
            <w:hideMark/>
          </w:tcPr>
          <w:p w14:paraId="08B0BB0E"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29</w:t>
            </w:r>
          </w:p>
        </w:tc>
        <w:tc>
          <w:tcPr>
            <w:tcW w:w="354" w:type="pct"/>
            <w:tcBorders>
              <w:top w:val="nil"/>
              <w:left w:val="nil"/>
              <w:right w:val="nil"/>
            </w:tcBorders>
            <w:shd w:val="clear" w:color="auto" w:fill="auto"/>
            <w:noWrap/>
            <w:vAlign w:val="bottom"/>
            <w:hideMark/>
          </w:tcPr>
          <w:p w14:paraId="7F04BDA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55</w:t>
            </w:r>
          </w:p>
        </w:tc>
        <w:tc>
          <w:tcPr>
            <w:tcW w:w="394" w:type="pct"/>
            <w:tcBorders>
              <w:top w:val="nil"/>
              <w:left w:val="nil"/>
              <w:right w:val="nil"/>
            </w:tcBorders>
            <w:shd w:val="clear" w:color="auto" w:fill="auto"/>
            <w:noWrap/>
            <w:vAlign w:val="bottom"/>
            <w:hideMark/>
          </w:tcPr>
          <w:p w14:paraId="73ECD15C"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40</w:t>
            </w:r>
          </w:p>
        </w:tc>
        <w:tc>
          <w:tcPr>
            <w:tcW w:w="354" w:type="pct"/>
            <w:tcBorders>
              <w:top w:val="nil"/>
              <w:left w:val="nil"/>
              <w:right w:val="nil"/>
            </w:tcBorders>
            <w:shd w:val="clear" w:color="auto" w:fill="auto"/>
            <w:noWrap/>
            <w:vAlign w:val="bottom"/>
            <w:hideMark/>
          </w:tcPr>
          <w:p w14:paraId="5F28B606"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117</w:t>
            </w:r>
          </w:p>
        </w:tc>
        <w:tc>
          <w:tcPr>
            <w:tcW w:w="394" w:type="pct"/>
            <w:tcBorders>
              <w:top w:val="nil"/>
              <w:left w:val="nil"/>
              <w:right w:val="nil"/>
            </w:tcBorders>
            <w:shd w:val="clear" w:color="auto" w:fill="auto"/>
            <w:noWrap/>
            <w:vAlign w:val="bottom"/>
            <w:hideMark/>
          </w:tcPr>
          <w:p w14:paraId="37DBEAE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99</w:t>
            </w:r>
          </w:p>
        </w:tc>
        <w:tc>
          <w:tcPr>
            <w:tcW w:w="392" w:type="pct"/>
            <w:tcBorders>
              <w:top w:val="nil"/>
              <w:left w:val="nil"/>
              <w:right w:val="single" w:sz="4" w:space="0" w:color="auto"/>
            </w:tcBorders>
            <w:shd w:val="clear" w:color="auto" w:fill="auto"/>
            <w:noWrap/>
            <w:vAlign w:val="bottom"/>
            <w:hideMark/>
          </w:tcPr>
          <w:p w14:paraId="0ACFA13F"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84</w:t>
            </w:r>
          </w:p>
        </w:tc>
      </w:tr>
      <w:tr w:rsidR="0063662E" w:rsidRPr="00DC6928" w14:paraId="379F81CC" w14:textId="77777777" w:rsidTr="004E6074">
        <w:trPr>
          <w:trHeight w:val="288"/>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515C93" w14:textId="77777777" w:rsidR="0063662E" w:rsidRPr="00884BF5" w:rsidRDefault="0063662E" w:rsidP="004E6074">
            <w:pPr>
              <w:spacing w:after="0" w:line="240" w:lineRule="auto"/>
              <w:rPr>
                <w:rFonts w:ascii="Calibri" w:eastAsia="Times New Roman" w:hAnsi="Calibri" w:cs="Calibri"/>
                <w:color w:val="000000"/>
                <w:sz w:val="14"/>
                <w:lang w:eastAsia="en-AU"/>
              </w:rPr>
            </w:pPr>
            <w:r>
              <w:rPr>
                <w:rFonts w:ascii="Calibri" w:eastAsia="Times New Roman" w:hAnsi="Calibri" w:cs="Calibri"/>
                <w:color w:val="000000"/>
                <w:sz w:val="14"/>
                <w:lang w:eastAsia="en-AU"/>
              </w:rPr>
              <w:t>Not classified</w:t>
            </w:r>
          </w:p>
        </w:tc>
        <w:tc>
          <w:tcPr>
            <w:tcW w:w="351" w:type="pct"/>
            <w:tcBorders>
              <w:top w:val="nil"/>
              <w:left w:val="nil"/>
              <w:bottom w:val="single" w:sz="4" w:space="0" w:color="auto"/>
              <w:right w:val="nil"/>
            </w:tcBorders>
            <w:shd w:val="clear" w:color="auto" w:fill="auto"/>
            <w:noWrap/>
            <w:vAlign w:val="bottom"/>
            <w:hideMark/>
          </w:tcPr>
          <w:p w14:paraId="6059473F"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15</w:t>
            </w:r>
          </w:p>
        </w:tc>
        <w:tc>
          <w:tcPr>
            <w:tcW w:w="364" w:type="pct"/>
            <w:tcBorders>
              <w:top w:val="nil"/>
              <w:left w:val="nil"/>
              <w:bottom w:val="single" w:sz="4" w:space="0" w:color="auto"/>
              <w:right w:val="nil"/>
            </w:tcBorders>
            <w:shd w:val="clear" w:color="auto" w:fill="auto"/>
            <w:noWrap/>
            <w:vAlign w:val="bottom"/>
            <w:hideMark/>
          </w:tcPr>
          <w:p w14:paraId="5C0F1F8A"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16</w:t>
            </w:r>
          </w:p>
        </w:tc>
        <w:tc>
          <w:tcPr>
            <w:tcW w:w="355" w:type="pct"/>
            <w:tcBorders>
              <w:top w:val="nil"/>
              <w:left w:val="nil"/>
              <w:bottom w:val="single" w:sz="4" w:space="0" w:color="auto"/>
              <w:right w:val="nil"/>
            </w:tcBorders>
            <w:shd w:val="clear" w:color="auto" w:fill="auto"/>
            <w:noWrap/>
            <w:vAlign w:val="bottom"/>
            <w:hideMark/>
          </w:tcPr>
          <w:p w14:paraId="4B39E14D"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7</w:t>
            </w:r>
          </w:p>
        </w:tc>
        <w:tc>
          <w:tcPr>
            <w:tcW w:w="351" w:type="pct"/>
            <w:tcBorders>
              <w:top w:val="nil"/>
              <w:left w:val="nil"/>
              <w:bottom w:val="single" w:sz="4" w:space="0" w:color="auto"/>
              <w:right w:val="nil"/>
            </w:tcBorders>
            <w:shd w:val="clear" w:color="auto" w:fill="auto"/>
            <w:noWrap/>
            <w:vAlign w:val="bottom"/>
            <w:hideMark/>
          </w:tcPr>
          <w:p w14:paraId="06851D9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5</w:t>
            </w:r>
          </w:p>
        </w:tc>
        <w:tc>
          <w:tcPr>
            <w:tcW w:w="368" w:type="pct"/>
            <w:tcBorders>
              <w:top w:val="nil"/>
              <w:left w:val="nil"/>
              <w:bottom w:val="single" w:sz="4" w:space="0" w:color="auto"/>
              <w:right w:val="nil"/>
            </w:tcBorders>
            <w:shd w:val="clear" w:color="auto" w:fill="auto"/>
            <w:noWrap/>
            <w:vAlign w:val="bottom"/>
            <w:hideMark/>
          </w:tcPr>
          <w:p w14:paraId="3BCD02CC"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14</w:t>
            </w:r>
          </w:p>
        </w:tc>
        <w:tc>
          <w:tcPr>
            <w:tcW w:w="358" w:type="pct"/>
            <w:tcBorders>
              <w:top w:val="nil"/>
              <w:left w:val="nil"/>
              <w:bottom w:val="single" w:sz="4" w:space="0" w:color="auto"/>
              <w:right w:val="nil"/>
            </w:tcBorders>
            <w:shd w:val="clear" w:color="auto" w:fill="auto"/>
            <w:noWrap/>
            <w:vAlign w:val="bottom"/>
            <w:hideMark/>
          </w:tcPr>
          <w:p w14:paraId="42F116E3"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35</w:t>
            </w:r>
          </w:p>
        </w:tc>
        <w:tc>
          <w:tcPr>
            <w:tcW w:w="351" w:type="pct"/>
            <w:tcBorders>
              <w:top w:val="nil"/>
              <w:left w:val="nil"/>
              <w:bottom w:val="single" w:sz="4" w:space="0" w:color="auto"/>
              <w:right w:val="nil"/>
            </w:tcBorders>
            <w:shd w:val="clear" w:color="auto" w:fill="auto"/>
            <w:noWrap/>
            <w:vAlign w:val="bottom"/>
            <w:hideMark/>
          </w:tcPr>
          <w:p w14:paraId="3607E6F2"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9</w:t>
            </w:r>
          </w:p>
        </w:tc>
        <w:tc>
          <w:tcPr>
            <w:tcW w:w="354" w:type="pct"/>
            <w:tcBorders>
              <w:top w:val="nil"/>
              <w:left w:val="nil"/>
              <w:bottom w:val="single" w:sz="4" w:space="0" w:color="auto"/>
              <w:right w:val="nil"/>
            </w:tcBorders>
            <w:shd w:val="clear" w:color="auto" w:fill="auto"/>
            <w:noWrap/>
            <w:vAlign w:val="bottom"/>
            <w:hideMark/>
          </w:tcPr>
          <w:p w14:paraId="68339BA4"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16</w:t>
            </w:r>
          </w:p>
        </w:tc>
        <w:tc>
          <w:tcPr>
            <w:tcW w:w="394" w:type="pct"/>
            <w:tcBorders>
              <w:top w:val="nil"/>
              <w:left w:val="nil"/>
              <w:bottom w:val="single" w:sz="4" w:space="0" w:color="auto"/>
              <w:right w:val="nil"/>
            </w:tcBorders>
            <w:shd w:val="clear" w:color="auto" w:fill="auto"/>
            <w:noWrap/>
            <w:vAlign w:val="bottom"/>
            <w:hideMark/>
          </w:tcPr>
          <w:p w14:paraId="1EE6D898"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19</w:t>
            </w:r>
          </w:p>
        </w:tc>
        <w:tc>
          <w:tcPr>
            <w:tcW w:w="354" w:type="pct"/>
            <w:tcBorders>
              <w:top w:val="nil"/>
              <w:left w:val="nil"/>
              <w:bottom w:val="single" w:sz="4" w:space="0" w:color="auto"/>
              <w:right w:val="nil"/>
            </w:tcBorders>
            <w:shd w:val="clear" w:color="auto" w:fill="auto"/>
            <w:noWrap/>
            <w:vAlign w:val="bottom"/>
            <w:hideMark/>
          </w:tcPr>
          <w:p w14:paraId="190FF5EB"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19</w:t>
            </w:r>
          </w:p>
        </w:tc>
        <w:tc>
          <w:tcPr>
            <w:tcW w:w="394" w:type="pct"/>
            <w:tcBorders>
              <w:top w:val="nil"/>
              <w:left w:val="nil"/>
              <w:bottom w:val="single" w:sz="4" w:space="0" w:color="auto"/>
              <w:right w:val="nil"/>
            </w:tcBorders>
            <w:shd w:val="clear" w:color="auto" w:fill="auto"/>
            <w:noWrap/>
            <w:vAlign w:val="bottom"/>
            <w:hideMark/>
          </w:tcPr>
          <w:p w14:paraId="145A02C7"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21</w:t>
            </w:r>
          </w:p>
        </w:tc>
        <w:tc>
          <w:tcPr>
            <w:tcW w:w="392" w:type="pct"/>
            <w:tcBorders>
              <w:top w:val="nil"/>
              <w:left w:val="nil"/>
              <w:bottom w:val="single" w:sz="4" w:space="0" w:color="auto"/>
              <w:right w:val="single" w:sz="4" w:space="0" w:color="auto"/>
            </w:tcBorders>
            <w:shd w:val="clear" w:color="auto" w:fill="auto"/>
            <w:noWrap/>
            <w:vAlign w:val="bottom"/>
            <w:hideMark/>
          </w:tcPr>
          <w:p w14:paraId="5C294DEE" w14:textId="77777777" w:rsidR="0063662E" w:rsidRPr="00884BF5" w:rsidRDefault="0063662E" w:rsidP="004E6074">
            <w:pPr>
              <w:spacing w:after="0" w:line="240" w:lineRule="auto"/>
              <w:jc w:val="right"/>
              <w:rPr>
                <w:rFonts w:ascii="Calibri" w:eastAsia="Times New Roman" w:hAnsi="Calibri" w:cs="Calibri"/>
                <w:color w:val="000000"/>
                <w:sz w:val="14"/>
                <w:lang w:eastAsia="en-AU"/>
              </w:rPr>
            </w:pPr>
            <w:r w:rsidRPr="00884BF5">
              <w:rPr>
                <w:rFonts w:ascii="Calibri" w:eastAsia="Times New Roman" w:hAnsi="Calibri" w:cs="Calibri"/>
                <w:color w:val="000000"/>
                <w:sz w:val="14"/>
                <w:lang w:eastAsia="en-AU"/>
              </w:rPr>
              <w:t>79</w:t>
            </w:r>
          </w:p>
        </w:tc>
      </w:tr>
      <w:tr w:rsidR="0063662E" w:rsidRPr="00DC6928" w14:paraId="365F645B" w14:textId="77777777" w:rsidTr="004E6074">
        <w:trPr>
          <w:trHeight w:val="288"/>
        </w:trPr>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33CE2" w14:textId="77777777" w:rsidR="0063662E" w:rsidRPr="00884BF5" w:rsidRDefault="0063662E" w:rsidP="004E6074">
            <w:pPr>
              <w:spacing w:after="0" w:line="240" w:lineRule="auto"/>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Total</w:t>
            </w:r>
          </w:p>
        </w:tc>
        <w:tc>
          <w:tcPr>
            <w:tcW w:w="351" w:type="pct"/>
            <w:tcBorders>
              <w:top w:val="single" w:sz="4" w:space="0" w:color="auto"/>
              <w:left w:val="nil"/>
              <w:bottom w:val="single" w:sz="4" w:space="0" w:color="auto"/>
              <w:right w:val="nil"/>
            </w:tcBorders>
            <w:shd w:val="clear" w:color="auto" w:fill="auto"/>
            <w:noWrap/>
            <w:vAlign w:val="bottom"/>
            <w:hideMark/>
          </w:tcPr>
          <w:p w14:paraId="178398C6"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69,358</w:t>
            </w:r>
          </w:p>
        </w:tc>
        <w:tc>
          <w:tcPr>
            <w:tcW w:w="364" w:type="pct"/>
            <w:tcBorders>
              <w:top w:val="single" w:sz="4" w:space="0" w:color="auto"/>
              <w:left w:val="nil"/>
              <w:bottom w:val="single" w:sz="4" w:space="0" w:color="auto"/>
              <w:right w:val="nil"/>
            </w:tcBorders>
            <w:shd w:val="clear" w:color="auto" w:fill="auto"/>
            <w:noWrap/>
            <w:vAlign w:val="bottom"/>
            <w:hideMark/>
          </w:tcPr>
          <w:p w14:paraId="2E88A259"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74,025</w:t>
            </w:r>
          </w:p>
        </w:tc>
        <w:tc>
          <w:tcPr>
            <w:tcW w:w="355" w:type="pct"/>
            <w:tcBorders>
              <w:top w:val="single" w:sz="4" w:space="0" w:color="auto"/>
              <w:left w:val="nil"/>
              <w:bottom w:val="single" w:sz="4" w:space="0" w:color="auto"/>
              <w:right w:val="nil"/>
            </w:tcBorders>
            <w:shd w:val="clear" w:color="auto" w:fill="auto"/>
            <w:noWrap/>
            <w:vAlign w:val="bottom"/>
            <w:hideMark/>
          </w:tcPr>
          <w:p w14:paraId="4AC8EF92"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73,195</w:t>
            </w:r>
          </w:p>
        </w:tc>
        <w:tc>
          <w:tcPr>
            <w:tcW w:w="351" w:type="pct"/>
            <w:tcBorders>
              <w:top w:val="single" w:sz="4" w:space="0" w:color="auto"/>
              <w:left w:val="nil"/>
              <w:bottom w:val="single" w:sz="4" w:space="0" w:color="auto"/>
              <w:right w:val="nil"/>
            </w:tcBorders>
            <w:shd w:val="clear" w:color="auto" w:fill="auto"/>
            <w:noWrap/>
            <w:vAlign w:val="bottom"/>
            <w:hideMark/>
          </w:tcPr>
          <w:p w14:paraId="199B9992"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81,657</w:t>
            </w:r>
          </w:p>
        </w:tc>
        <w:tc>
          <w:tcPr>
            <w:tcW w:w="368" w:type="pct"/>
            <w:tcBorders>
              <w:top w:val="single" w:sz="4" w:space="0" w:color="auto"/>
              <w:left w:val="nil"/>
              <w:bottom w:val="single" w:sz="4" w:space="0" w:color="auto"/>
              <w:right w:val="nil"/>
            </w:tcBorders>
            <w:shd w:val="clear" w:color="auto" w:fill="auto"/>
            <w:noWrap/>
            <w:vAlign w:val="bottom"/>
            <w:hideMark/>
          </w:tcPr>
          <w:p w14:paraId="015F2E3D"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77,635</w:t>
            </w:r>
          </w:p>
        </w:tc>
        <w:tc>
          <w:tcPr>
            <w:tcW w:w="358" w:type="pct"/>
            <w:tcBorders>
              <w:top w:val="single" w:sz="4" w:space="0" w:color="auto"/>
              <w:left w:val="nil"/>
              <w:bottom w:val="single" w:sz="4" w:space="0" w:color="auto"/>
              <w:right w:val="nil"/>
            </w:tcBorders>
            <w:shd w:val="clear" w:color="auto" w:fill="auto"/>
            <w:noWrap/>
            <w:vAlign w:val="bottom"/>
            <w:hideMark/>
          </w:tcPr>
          <w:p w14:paraId="3B7D967A"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72,493</w:t>
            </w:r>
          </w:p>
        </w:tc>
        <w:tc>
          <w:tcPr>
            <w:tcW w:w="351" w:type="pct"/>
            <w:tcBorders>
              <w:top w:val="single" w:sz="4" w:space="0" w:color="auto"/>
              <w:left w:val="nil"/>
              <w:bottom w:val="single" w:sz="4" w:space="0" w:color="auto"/>
              <w:right w:val="nil"/>
            </w:tcBorders>
            <w:shd w:val="clear" w:color="auto" w:fill="auto"/>
            <w:noWrap/>
            <w:vAlign w:val="bottom"/>
            <w:hideMark/>
          </w:tcPr>
          <w:p w14:paraId="5C02A8A0"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75,362</w:t>
            </w:r>
          </w:p>
        </w:tc>
        <w:tc>
          <w:tcPr>
            <w:tcW w:w="354" w:type="pct"/>
            <w:tcBorders>
              <w:top w:val="single" w:sz="4" w:space="0" w:color="auto"/>
              <w:left w:val="nil"/>
              <w:bottom w:val="single" w:sz="4" w:space="0" w:color="auto"/>
              <w:right w:val="nil"/>
            </w:tcBorders>
            <w:shd w:val="clear" w:color="auto" w:fill="auto"/>
            <w:noWrap/>
            <w:vAlign w:val="bottom"/>
            <w:hideMark/>
          </w:tcPr>
          <w:p w14:paraId="6D0BF36A"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85,773</w:t>
            </w:r>
          </w:p>
        </w:tc>
        <w:tc>
          <w:tcPr>
            <w:tcW w:w="394" w:type="pct"/>
            <w:tcBorders>
              <w:top w:val="single" w:sz="4" w:space="0" w:color="auto"/>
              <w:left w:val="nil"/>
              <w:bottom w:val="single" w:sz="4" w:space="0" w:color="auto"/>
              <w:right w:val="nil"/>
            </w:tcBorders>
            <w:shd w:val="clear" w:color="auto" w:fill="auto"/>
            <w:noWrap/>
            <w:vAlign w:val="bottom"/>
            <w:hideMark/>
          </w:tcPr>
          <w:p w14:paraId="7E861BEB"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112,333</w:t>
            </w:r>
          </w:p>
        </w:tc>
        <w:tc>
          <w:tcPr>
            <w:tcW w:w="354" w:type="pct"/>
            <w:tcBorders>
              <w:top w:val="single" w:sz="4" w:space="0" w:color="auto"/>
              <w:left w:val="nil"/>
              <w:bottom w:val="single" w:sz="4" w:space="0" w:color="auto"/>
              <w:right w:val="nil"/>
            </w:tcBorders>
            <w:shd w:val="clear" w:color="auto" w:fill="auto"/>
            <w:noWrap/>
            <w:vAlign w:val="bottom"/>
            <w:hideMark/>
          </w:tcPr>
          <w:p w14:paraId="79EA14A8"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92,552</w:t>
            </w:r>
          </w:p>
        </w:tc>
        <w:tc>
          <w:tcPr>
            <w:tcW w:w="394" w:type="pct"/>
            <w:tcBorders>
              <w:top w:val="single" w:sz="4" w:space="0" w:color="auto"/>
              <w:left w:val="nil"/>
              <w:bottom w:val="single" w:sz="4" w:space="0" w:color="auto"/>
              <w:right w:val="nil"/>
            </w:tcBorders>
            <w:shd w:val="clear" w:color="auto" w:fill="auto"/>
            <w:noWrap/>
            <w:vAlign w:val="bottom"/>
            <w:hideMark/>
          </w:tcPr>
          <w:p w14:paraId="24276ED6"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103,972</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17D3E0AF" w14:textId="77777777" w:rsidR="0063662E" w:rsidRPr="00884BF5" w:rsidRDefault="0063662E" w:rsidP="004E6074">
            <w:pPr>
              <w:spacing w:after="0" w:line="240" w:lineRule="auto"/>
              <w:jc w:val="right"/>
              <w:rPr>
                <w:rFonts w:ascii="Calibri" w:eastAsia="Times New Roman" w:hAnsi="Calibri" w:cs="Calibri"/>
                <w:b/>
                <w:bCs/>
                <w:color w:val="000000"/>
                <w:sz w:val="14"/>
                <w:lang w:eastAsia="en-AU"/>
              </w:rPr>
            </w:pPr>
            <w:r w:rsidRPr="00884BF5">
              <w:rPr>
                <w:rFonts w:ascii="Calibri" w:eastAsia="Times New Roman" w:hAnsi="Calibri" w:cs="Calibri"/>
                <w:b/>
                <w:bCs/>
                <w:color w:val="000000"/>
                <w:sz w:val="14"/>
                <w:lang w:eastAsia="en-AU"/>
              </w:rPr>
              <w:t>113,710</w:t>
            </w:r>
          </w:p>
        </w:tc>
      </w:tr>
    </w:tbl>
    <w:p w14:paraId="0499B52E" w14:textId="77777777" w:rsidR="0063662E" w:rsidRDefault="0063662E" w:rsidP="0063662E"/>
    <w:p w14:paraId="17C84914" w14:textId="77777777" w:rsidR="00F453F2" w:rsidRDefault="00F453F2" w:rsidP="00F453F2">
      <w:pPr>
        <w:rPr>
          <w:rFonts w:asciiTheme="minorHAnsi" w:hAnsiTheme="minorHAnsi" w:cstheme="minorHAnsi"/>
        </w:rPr>
      </w:pPr>
      <w:r>
        <w:rPr>
          <w:rFonts w:asciiTheme="minorHAnsi" w:hAnsiTheme="minorHAnsi" w:cstheme="minorHAnsi"/>
        </w:rPr>
        <w:t xml:space="preserve">Although the monthly numbers vary, the vast majority of URPs in each month involve the use of chemical restraints and environmental restraints. </w:t>
      </w:r>
    </w:p>
    <w:p w14:paraId="79A853E9" w14:textId="77777777" w:rsidR="00F453F2" w:rsidRDefault="00F453F2" w:rsidP="00F453F2">
      <w:pPr>
        <w:rPr>
          <w:rFonts w:asciiTheme="minorHAnsi" w:hAnsiTheme="minorHAnsi" w:cstheme="minorHAnsi"/>
        </w:rPr>
      </w:pPr>
      <w:r>
        <w:rPr>
          <w:rFonts w:asciiTheme="minorHAnsi" w:hAnsiTheme="minorHAnsi" w:cstheme="minorHAnsi"/>
        </w:rPr>
        <w:t xml:space="preserve">Chemical restraints involve </w:t>
      </w:r>
      <w:r w:rsidRPr="002041AF">
        <w:rPr>
          <w:rFonts w:asciiTheme="minorHAnsi" w:hAnsiTheme="minorHAnsi" w:cstheme="minorHAnsi"/>
        </w:rPr>
        <w:t xml:space="preserve">the use of medication or chemical substance for the primary purpose of influencing a person’s behaviour. </w:t>
      </w:r>
      <w:r>
        <w:rPr>
          <w:rFonts w:asciiTheme="minorHAnsi" w:hAnsiTheme="minorHAnsi" w:cstheme="minorHAnsi"/>
        </w:rPr>
        <w:t xml:space="preserve">Chemical restraints do not </w:t>
      </w:r>
      <w:r w:rsidRPr="002041AF">
        <w:rPr>
          <w:rFonts w:asciiTheme="minorHAnsi" w:hAnsiTheme="minorHAnsi" w:cstheme="minorHAnsi"/>
        </w:rPr>
        <w:t>include the use of medication prescribed for the treatment of</w:t>
      </w:r>
      <w:r>
        <w:rPr>
          <w:rFonts w:asciiTheme="minorHAnsi" w:hAnsiTheme="minorHAnsi" w:cstheme="minorHAnsi"/>
        </w:rPr>
        <w:t xml:space="preserve">, or to enable treatment of, </w:t>
      </w:r>
      <w:r w:rsidRPr="002041AF">
        <w:rPr>
          <w:rFonts w:asciiTheme="minorHAnsi" w:hAnsiTheme="minorHAnsi" w:cstheme="minorHAnsi"/>
        </w:rPr>
        <w:t>a diagnosed mental disorder, a physical illness or a physical condition</w:t>
      </w:r>
      <w:r>
        <w:rPr>
          <w:rFonts w:asciiTheme="minorHAnsi" w:hAnsiTheme="minorHAnsi" w:cstheme="minorHAnsi"/>
        </w:rPr>
        <w:t xml:space="preserve">. </w:t>
      </w:r>
    </w:p>
    <w:p w14:paraId="49A81512" w14:textId="77777777" w:rsidR="00F453F2" w:rsidRDefault="00F453F2" w:rsidP="00F453F2">
      <w:pPr>
        <w:rPr>
          <w:rFonts w:asciiTheme="minorHAnsi" w:hAnsiTheme="minorHAnsi" w:cstheme="minorHAnsi"/>
        </w:rPr>
      </w:pPr>
      <w:r>
        <w:rPr>
          <w:rFonts w:asciiTheme="minorHAnsi" w:hAnsiTheme="minorHAnsi" w:cstheme="minorHAnsi"/>
        </w:rPr>
        <w:t>Environmental restraints restrict a person’s free access to all parts of their environment, for example by locking doors or restricting access to knives and other sharps.</w:t>
      </w:r>
    </w:p>
    <w:p w14:paraId="1F7AB95C" w14:textId="77777777" w:rsidR="003268DE" w:rsidRDefault="003268DE" w:rsidP="00F453F2">
      <w:pPr>
        <w:pStyle w:val="Heading2"/>
      </w:pPr>
    </w:p>
    <w:p w14:paraId="503D1E18" w14:textId="63F3EA91" w:rsidR="00BF04DC" w:rsidRPr="000A45A4" w:rsidRDefault="00F453F2" w:rsidP="00F453F2">
      <w:pPr>
        <w:pStyle w:val="Heading2"/>
      </w:pPr>
      <w:r>
        <w:t>C</w:t>
      </w:r>
      <w:r w:rsidR="00BF04DC" w:rsidRPr="000A45A4">
        <w:t xml:space="preserve">hemical restraints in </w:t>
      </w:r>
      <w:r>
        <w:t xml:space="preserve">URPs in </w:t>
      </w:r>
      <w:r w:rsidR="000A45A4">
        <w:t>2020-21</w:t>
      </w:r>
    </w:p>
    <w:p w14:paraId="53B84E4B" w14:textId="77777777" w:rsidR="00BF04DC" w:rsidRPr="00764BE0" w:rsidRDefault="00BF04DC" w:rsidP="00BF04DC">
      <w:pPr>
        <w:rPr>
          <w:rFonts w:asciiTheme="minorHAnsi" w:hAnsiTheme="minorHAnsi" w:cstheme="minorHAnsi"/>
        </w:rPr>
      </w:pPr>
      <w:r w:rsidRPr="00764BE0">
        <w:rPr>
          <w:rFonts w:asciiTheme="minorHAnsi" w:hAnsiTheme="minorHAnsi" w:cstheme="minorHAnsi"/>
        </w:rPr>
        <w:t>Chemical restraints are the most frequently used restrictive practices</w:t>
      </w:r>
      <w:r w:rsidR="00F453F2">
        <w:rPr>
          <w:rFonts w:asciiTheme="minorHAnsi" w:hAnsiTheme="minorHAnsi" w:cstheme="minorHAnsi"/>
        </w:rPr>
        <w:t xml:space="preserve"> in URPs</w:t>
      </w:r>
      <w:r w:rsidRPr="00764BE0">
        <w:rPr>
          <w:rFonts w:asciiTheme="minorHAnsi" w:hAnsiTheme="minorHAnsi" w:cstheme="minorHAnsi"/>
        </w:rPr>
        <w:t xml:space="preserve">. </w:t>
      </w:r>
    </w:p>
    <w:p w14:paraId="60A06956" w14:textId="5D9227F5" w:rsidR="00F453F2" w:rsidRDefault="00F453F2" w:rsidP="00F453F2">
      <w:pPr>
        <w:rPr>
          <w:rFonts w:asciiTheme="minorHAnsi" w:hAnsiTheme="minorHAnsi" w:cstheme="minorHAnsi"/>
        </w:rPr>
      </w:pPr>
      <w:r w:rsidRPr="00764BE0">
        <w:rPr>
          <w:rFonts w:asciiTheme="minorHAnsi" w:hAnsiTheme="minorHAnsi" w:cstheme="minorHAnsi"/>
        </w:rPr>
        <w:t xml:space="preserve">All chemical restraints have been prescribed for the participant by the participant’s health </w:t>
      </w:r>
      <w:r w:rsidRPr="00C838E0">
        <w:rPr>
          <w:rFonts w:asciiTheme="minorHAnsi" w:hAnsiTheme="minorHAnsi" w:cstheme="minorHAnsi"/>
        </w:rPr>
        <w:t xml:space="preserve">practitioner. In contrast to the other categories of regulated restrictive practices, chemical restraints are in a sense subject to an additional threshold requirement outside of </w:t>
      </w:r>
      <w:r w:rsidR="00A40863">
        <w:rPr>
          <w:rFonts w:asciiTheme="minorHAnsi" w:hAnsiTheme="minorHAnsi" w:cstheme="minorHAnsi"/>
        </w:rPr>
        <w:t>s</w:t>
      </w:r>
      <w:r w:rsidRPr="00C838E0">
        <w:rPr>
          <w:rFonts w:asciiTheme="minorHAnsi" w:hAnsiTheme="minorHAnsi" w:cstheme="minorHAnsi"/>
        </w:rPr>
        <w:t xml:space="preserve">tate and </w:t>
      </w:r>
      <w:r w:rsidR="00A40863">
        <w:rPr>
          <w:rFonts w:asciiTheme="minorHAnsi" w:hAnsiTheme="minorHAnsi" w:cstheme="minorHAnsi"/>
        </w:rPr>
        <w:t>t</w:t>
      </w:r>
      <w:r w:rsidRPr="00C838E0">
        <w:rPr>
          <w:rFonts w:asciiTheme="minorHAnsi" w:hAnsiTheme="minorHAnsi" w:cstheme="minorHAnsi"/>
        </w:rPr>
        <w:t>erritory authorisation requirements and NDIS Commission behaviour support requirements. That is, regardless of whether the use of a chemical restraint is authorised or unauthorised, it will have been prescribed for the participant by a medical practitioner with authority to prescribe the particular medication or chemical substance</w:t>
      </w:r>
      <w:r>
        <w:rPr>
          <w:rFonts w:asciiTheme="minorHAnsi" w:hAnsiTheme="minorHAnsi" w:cstheme="minorHAnsi"/>
        </w:rPr>
        <w:t>.</w:t>
      </w:r>
    </w:p>
    <w:p w14:paraId="04F5FD22" w14:textId="77777777" w:rsidR="00F453F2" w:rsidRDefault="00F453F2" w:rsidP="00F453F2">
      <w:pPr>
        <w:rPr>
          <w:rFonts w:asciiTheme="minorHAnsi" w:hAnsiTheme="minorHAnsi" w:cstheme="minorHAnsi"/>
          <w:highlight w:val="yellow"/>
        </w:rPr>
      </w:pPr>
      <w:r w:rsidRPr="00F453F2">
        <w:rPr>
          <w:rFonts w:asciiTheme="minorHAnsi" w:hAnsiTheme="minorHAnsi" w:cstheme="minorHAnsi"/>
        </w:rPr>
        <w:t xml:space="preserve">For the purposes of this report, the NDIS Commission analysed notifications of URPs in 2020-21 </w:t>
      </w:r>
      <w:r w:rsidR="0040278F">
        <w:rPr>
          <w:rFonts w:asciiTheme="minorHAnsi" w:hAnsiTheme="minorHAnsi" w:cstheme="minorHAnsi"/>
        </w:rPr>
        <w:t>involving chemical restraint</w:t>
      </w:r>
      <w:r w:rsidRPr="00F453F2">
        <w:rPr>
          <w:rFonts w:asciiTheme="minorHAnsi" w:hAnsiTheme="minorHAnsi" w:cstheme="minorHAnsi"/>
        </w:rPr>
        <w:t xml:space="preserve"> where the medication or chemical substance was named.</w:t>
      </w:r>
      <w:r>
        <w:rPr>
          <w:rFonts w:asciiTheme="minorHAnsi" w:hAnsiTheme="minorHAnsi" w:cstheme="minorHAnsi"/>
          <w:highlight w:val="yellow"/>
        </w:rPr>
        <w:t xml:space="preserve"> </w:t>
      </w:r>
    </w:p>
    <w:p w14:paraId="6BFCC29D" w14:textId="02B07F00" w:rsidR="00113BBB" w:rsidRPr="002041AF" w:rsidRDefault="007A3349" w:rsidP="005B3540">
      <w:r w:rsidRPr="005B3540">
        <w:rPr>
          <w:rFonts w:asciiTheme="minorHAnsi" w:hAnsiTheme="minorHAnsi" w:cstheme="minorHAnsi"/>
        </w:rPr>
        <w:fldChar w:fldCharType="begin"/>
      </w:r>
      <w:r w:rsidRPr="005B3540">
        <w:rPr>
          <w:rFonts w:asciiTheme="minorHAnsi" w:hAnsiTheme="minorHAnsi" w:cstheme="minorHAnsi"/>
        </w:rPr>
        <w:instrText xml:space="preserve"> REF _Ref92714802 \h </w:instrText>
      </w:r>
      <w:r>
        <w:rPr>
          <w:rFonts w:asciiTheme="minorHAnsi" w:hAnsiTheme="minorHAnsi" w:cstheme="minorHAnsi"/>
        </w:rPr>
        <w:instrText xml:space="preserve"> \* MERGEFORMAT </w:instrText>
      </w:r>
      <w:r w:rsidRPr="005B3540">
        <w:rPr>
          <w:rFonts w:asciiTheme="minorHAnsi" w:hAnsiTheme="minorHAnsi" w:cstheme="minorHAnsi"/>
        </w:rPr>
      </w:r>
      <w:r w:rsidRPr="005B3540">
        <w:rPr>
          <w:rFonts w:asciiTheme="minorHAnsi" w:hAnsiTheme="minorHAnsi" w:cstheme="minorHAnsi"/>
        </w:rPr>
        <w:fldChar w:fldCharType="separate"/>
      </w:r>
      <w:r w:rsidRPr="005B3540">
        <w:rPr>
          <w:rFonts w:asciiTheme="minorHAnsi" w:hAnsiTheme="minorHAnsi" w:cstheme="minorHAnsi"/>
        </w:rPr>
        <w:t>Table 7</w:t>
      </w:r>
      <w:r w:rsidRPr="005B3540">
        <w:rPr>
          <w:rFonts w:asciiTheme="minorHAnsi" w:hAnsiTheme="minorHAnsi" w:cstheme="minorHAnsi"/>
        </w:rPr>
        <w:fldChar w:fldCharType="end"/>
      </w:r>
      <w:r w:rsidRPr="005B3540">
        <w:rPr>
          <w:rFonts w:asciiTheme="minorHAnsi" w:hAnsiTheme="minorHAnsi" w:cstheme="minorHAnsi"/>
        </w:rPr>
        <w:t xml:space="preserve"> </w:t>
      </w:r>
      <w:r w:rsidR="00F453F2">
        <w:rPr>
          <w:rFonts w:asciiTheme="minorHAnsi" w:hAnsiTheme="minorHAnsi" w:cstheme="minorHAnsi"/>
        </w:rPr>
        <w:t xml:space="preserve">below shows the number of </w:t>
      </w:r>
      <w:r w:rsidR="0040278F">
        <w:rPr>
          <w:rFonts w:asciiTheme="minorHAnsi" w:hAnsiTheme="minorHAnsi" w:cstheme="minorHAnsi"/>
        </w:rPr>
        <w:t xml:space="preserve">participants who were subject to URPs involving chemical restraint where the medication or chemical substance was named by the number of medications to which the participant was subject and by the age group of the participant (18 years of age or younger, or 19 years of age or older). </w:t>
      </w:r>
      <w:r w:rsidR="000E3AD2">
        <w:rPr>
          <w:rFonts w:asciiTheme="minorHAnsi" w:hAnsiTheme="minorHAnsi" w:cstheme="minorHAnsi"/>
        </w:rPr>
        <w:t xml:space="preserve">Although participants aged 18 are adults, </w:t>
      </w:r>
      <w:r w:rsidR="00E67319">
        <w:rPr>
          <w:rFonts w:asciiTheme="minorHAnsi" w:hAnsiTheme="minorHAnsi" w:cstheme="minorHAnsi"/>
        </w:rPr>
        <w:t>in this report they are grouped with younger participants to be consistent with analysis applied by the NDIA in areas of analysis, participation in school which may affect the reporting of restrictive practices where they are administered in the school setting, and may be subsequently administered by an NDIS provider when a participant leaves secondary education.</w:t>
      </w:r>
    </w:p>
    <w:p w14:paraId="5AC2E2E4" w14:textId="77777777" w:rsidR="007A3349" w:rsidRPr="00A40863" w:rsidRDefault="007A3349" w:rsidP="005B3540">
      <w:pPr>
        <w:pStyle w:val="Caption"/>
        <w:keepNext/>
        <w:rPr>
          <w:rFonts w:cs="Arial"/>
          <w:sz w:val="18"/>
        </w:rPr>
      </w:pPr>
      <w:bookmarkStart w:id="17" w:name="_Ref92714802"/>
      <w:r w:rsidRPr="00A40863">
        <w:rPr>
          <w:rFonts w:cs="Arial"/>
          <w:caps w:val="0"/>
          <w:sz w:val="18"/>
        </w:rPr>
        <w:lastRenderedPageBreak/>
        <w:t xml:space="preserve">Table </w:t>
      </w:r>
      <w:r w:rsidRPr="00A40863">
        <w:rPr>
          <w:rFonts w:cs="Arial"/>
          <w:sz w:val="18"/>
        </w:rPr>
        <w:fldChar w:fldCharType="begin"/>
      </w:r>
      <w:r w:rsidRPr="00A40863">
        <w:rPr>
          <w:rFonts w:cs="Arial"/>
          <w:sz w:val="18"/>
        </w:rPr>
        <w:instrText xml:space="preserve"> SEQ Table \* ARABIC </w:instrText>
      </w:r>
      <w:r w:rsidRPr="00A40863">
        <w:rPr>
          <w:rFonts w:cs="Arial"/>
          <w:sz w:val="18"/>
        </w:rPr>
        <w:fldChar w:fldCharType="separate"/>
      </w:r>
      <w:r w:rsidRPr="00A40863">
        <w:rPr>
          <w:rFonts w:cs="Arial"/>
          <w:noProof/>
          <w:sz w:val="18"/>
        </w:rPr>
        <w:t>7</w:t>
      </w:r>
      <w:r w:rsidRPr="00A40863">
        <w:rPr>
          <w:rFonts w:cs="Arial"/>
          <w:sz w:val="18"/>
        </w:rPr>
        <w:fldChar w:fldCharType="end"/>
      </w:r>
      <w:bookmarkEnd w:id="17"/>
      <w:r w:rsidRPr="00A40863">
        <w:rPr>
          <w:rFonts w:cs="Arial"/>
          <w:sz w:val="18"/>
        </w:rPr>
        <w:t xml:space="preserve"> - N</w:t>
      </w:r>
      <w:r w:rsidRPr="00A40863">
        <w:rPr>
          <w:rFonts w:cs="Arial"/>
          <w:caps w:val="0"/>
          <w:sz w:val="18"/>
        </w:rPr>
        <w:t>umber of participants subject to unauthorised use of chemical restraint in 2020-21 by number of medications and age group</w:t>
      </w:r>
    </w:p>
    <w:tbl>
      <w:tblPr>
        <w:tblW w:w="9129" w:type="dxa"/>
        <w:tblLook w:val="04A0" w:firstRow="1" w:lastRow="0" w:firstColumn="1" w:lastColumn="0" w:noHBand="0" w:noVBand="1"/>
      </w:tblPr>
      <w:tblGrid>
        <w:gridCol w:w="1927"/>
        <w:gridCol w:w="1756"/>
        <w:gridCol w:w="1757"/>
        <w:gridCol w:w="1757"/>
        <w:gridCol w:w="1932"/>
      </w:tblGrid>
      <w:tr w:rsidR="00113BBB" w:rsidRPr="00147C24" w14:paraId="7BA16799" w14:textId="77777777" w:rsidTr="00113BBB">
        <w:trPr>
          <w:trHeight w:val="353"/>
        </w:trPr>
        <w:tc>
          <w:tcPr>
            <w:tcW w:w="192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187275D" w14:textId="77777777" w:rsidR="00113BBB" w:rsidRPr="002041AF" w:rsidRDefault="00113BBB" w:rsidP="00113BBB">
            <w:pPr>
              <w:spacing w:after="0" w:line="240" w:lineRule="auto"/>
              <w:rPr>
                <w:rFonts w:asciiTheme="minorHAnsi" w:eastAsia="Times New Roman" w:hAnsiTheme="minorHAnsi" w:cstheme="minorHAnsi"/>
                <w:b/>
                <w:bCs/>
                <w:color w:val="000000"/>
                <w:sz w:val="18"/>
                <w:szCs w:val="18"/>
                <w:lang w:eastAsia="en-AU"/>
              </w:rPr>
            </w:pPr>
            <w:r w:rsidRPr="002041AF">
              <w:rPr>
                <w:rFonts w:asciiTheme="minorHAnsi" w:eastAsia="Times New Roman" w:hAnsiTheme="minorHAnsi" w:cstheme="minorHAnsi"/>
                <w:b/>
                <w:bCs/>
                <w:color w:val="000000"/>
                <w:sz w:val="18"/>
                <w:szCs w:val="18"/>
                <w:lang w:eastAsia="en-AU"/>
              </w:rPr>
              <w:t>Number of medications</w:t>
            </w:r>
            <w:r w:rsidRPr="002041AF">
              <w:rPr>
                <w:rStyle w:val="FootnoteReference"/>
                <w:rFonts w:asciiTheme="minorHAnsi" w:eastAsia="Times New Roman" w:hAnsiTheme="minorHAnsi" w:cstheme="minorHAnsi"/>
                <w:b/>
                <w:bCs/>
                <w:color w:val="000000"/>
                <w:sz w:val="18"/>
                <w:szCs w:val="18"/>
                <w:lang w:eastAsia="en-AU"/>
              </w:rPr>
              <w:footnoteReference w:id="6"/>
            </w:r>
          </w:p>
        </w:tc>
        <w:tc>
          <w:tcPr>
            <w:tcW w:w="1756" w:type="dxa"/>
            <w:tcBorders>
              <w:top w:val="single" w:sz="4" w:space="0" w:color="auto"/>
              <w:left w:val="nil"/>
              <w:bottom w:val="single" w:sz="4" w:space="0" w:color="auto"/>
              <w:right w:val="nil"/>
            </w:tcBorders>
            <w:shd w:val="clear" w:color="000000" w:fill="D9D9D9"/>
            <w:noWrap/>
            <w:vAlign w:val="center"/>
            <w:hideMark/>
          </w:tcPr>
          <w:p w14:paraId="38FDC8CB" w14:textId="77777777" w:rsidR="00113BBB" w:rsidRPr="002041AF" w:rsidRDefault="00113BBB" w:rsidP="00113BBB">
            <w:pPr>
              <w:spacing w:after="0" w:line="240" w:lineRule="auto"/>
              <w:jc w:val="center"/>
              <w:rPr>
                <w:rFonts w:asciiTheme="minorHAnsi" w:eastAsia="Times New Roman" w:hAnsiTheme="minorHAnsi" w:cstheme="minorHAnsi"/>
                <w:b/>
                <w:bCs/>
                <w:color w:val="000000"/>
                <w:sz w:val="18"/>
                <w:szCs w:val="18"/>
                <w:lang w:eastAsia="en-AU"/>
              </w:rPr>
            </w:pPr>
            <w:r w:rsidRPr="002041AF">
              <w:rPr>
                <w:rFonts w:asciiTheme="minorHAnsi" w:eastAsia="Times New Roman" w:hAnsiTheme="minorHAnsi" w:cstheme="minorHAnsi"/>
                <w:b/>
                <w:bCs/>
                <w:color w:val="000000"/>
                <w:sz w:val="18"/>
                <w:szCs w:val="18"/>
                <w:lang w:eastAsia="en-AU"/>
              </w:rPr>
              <w:t>Age 0 to 18</w:t>
            </w:r>
          </w:p>
        </w:tc>
        <w:tc>
          <w:tcPr>
            <w:tcW w:w="1757" w:type="dxa"/>
            <w:tcBorders>
              <w:top w:val="single" w:sz="4" w:space="0" w:color="auto"/>
              <w:left w:val="nil"/>
              <w:bottom w:val="single" w:sz="4" w:space="0" w:color="auto"/>
              <w:right w:val="dashSmallGap" w:sz="4" w:space="0" w:color="auto"/>
            </w:tcBorders>
            <w:shd w:val="clear" w:color="000000" w:fill="D9D9D9"/>
            <w:noWrap/>
            <w:vAlign w:val="center"/>
            <w:hideMark/>
          </w:tcPr>
          <w:p w14:paraId="7B0CDB73" w14:textId="77777777" w:rsidR="00113BBB" w:rsidRPr="002041AF" w:rsidRDefault="00113BBB" w:rsidP="00113BBB">
            <w:pPr>
              <w:spacing w:after="0" w:line="240" w:lineRule="auto"/>
              <w:jc w:val="center"/>
              <w:rPr>
                <w:rFonts w:asciiTheme="minorHAnsi" w:eastAsia="Times New Roman" w:hAnsiTheme="minorHAnsi" w:cstheme="minorHAnsi"/>
                <w:b/>
                <w:bCs/>
                <w:color w:val="000000"/>
                <w:sz w:val="18"/>
                <w:szCs w:val="18"/>
                <w:lang w:eastAsia="en-AU"/>
              </w:rPr>
            </w:pPr>
            <w:r w:rsidRPr="002041AF">
              <w:rPr>
                <w:rFonts w:asciiTheme="minorHAnsi" w:eastAsia="Times New Roman" w:hAnsiTheme="minorHAnsi" w:cstheme="minorHAnsi"/>
                <w:b/>
                <w:bCs/>
                <w:color w:val="000000"/>
                <w:sz w:val="18"/>
                <w:szCs w:val="18"/>
                <w:lang w:eastAsia="en-AU"/>
              </w:rPr>
              <w:t>Age 19+</w:t>
            </w:r>
          </w:p>
        </w:tc>
        <w:tc>
          <w:tcPr>
            <w:tcW w:w="1757" w:type="dxa"/>
            <w:tcBorders>
              <w:top w:val="single" w:sz="4" w:space="0" w:color="auto"/>
              <w:left w:val="dashSmallGap" w:sz="4" w:space="0" w:color="auto"/>
              <w:bottom w:val="single" w:sz="4" w:space="0" w:color="auto"/>
              <w:right w:val="dashSmallGap" w:sz="4" w:space="0" w:color="auto"/>
            </w:tcBorders>
            <w:shd w:val="clear" w:color="000000" w:fill="D9D9D9"/>
            <w:noWrap/>
            <w:vAlign w:val="center"/>
            <w:hideMark/>
          </w:tcPr>
          <w:p w14:paraId="374BCFED" w14:textId="77777777" w:rsidR="00113BBB" w:rsidRPr="002041AF" w:rsidRDefault="00113BBB" w:rsidP="00113BBB">
            <w:pPr>
              <w:spacing w:after="0" w:line="240" w:lineRule="auto"/>
              <w:jc w:val="center"/>
              <w:rPr>
                <w:rFonts w:asciiTheme="minorHAnsi" w:eastAsia="Times New Roman" w:hAnsiTheme="minorHAnsi" w:cstheme="minorHAnsi"/>
                <w:b/>
                <w:bCs/>
                <w:color w:val="000000"/>
                <w:sz w:val="18"/>
                <w:szCs w:val="18"/>
                <w:lang w:eastAsia="en-AU"/>
              </w:rPr>
            </w:pPr>
            <w:r w:rsidRPr="002041AF">
              <w:rPr>
                <w:rFonts w:asciiTheme="minorHAnsi" w:eastAsia="Times New Roman" w:hAnsiTheme="minorHAnsi" w:cstheme="minorHAnsi"/>
                <w:b/>
                <w:bCs/>
                <w:color w:val="000000"/>
                <w:sz w:val="18"/>
                <w:szCs w:val="18"/>
                <w:lang w:eastAsia="en-AU"/>
              </w:rPr>
              <w:t>Total</w:t>
            </w:r>
          </w:p>
        </w:tc>
        <w:tc>
          <w:tcPr>
            <w:tcW w:w="1932" w:type="dxa"/>
            <w:tcBorders>
              <w:top w:val="single" w:sz="4" w:space="0" w:color="auto"/>
              <w:left w:val="dashSmallGap" w:sz="4" w:space="0" w:color="auto"/>
              <w:bottom w:val="single" w:sz="4" w:space="0" w:color="auto"/>
              <w:right w:val="single" w:sz="4" w:space="0" w:color="auto"/>
            </w:tcBorders>
            <w:shd w:val="clear" w:color="000000" w:fill="D9D9D9"/>
            <w:noWrap/>
            <w:vAlign w:val="center"/>
            <w:hideMark/>
          </w:tcPr>
          <w:p w14:paraId="72748864" w14:textId="77777777" w:rsidR="00113BBB" w:rsidRPr="002041AF" w:rsidRDefault="00113BBB" w:rsidP="00113BBB">
            <w:pPr>
              <w:spacing w:after="0" w:line="240" w:lineRule="auto"/>
              <w:jc w:val="center"/>
              <w:rPr>
                <w:rFonts w:asciiTheme="minorHAnsi" w:eastAsia="Times New Roman" w:hAnsiTheme="minorHAnsi" w:cstheme="minorHAnsi"/>
                <w:b/>
                <w:bCs/>
                <w:color w:val="000000"/>
                <w:sz w:val="18"/>
                <w:szCs w:val="18"/>
                <w:lang w:eastAsia="en-AU"/>
              </w:rPr>
            </w:pPr>
            <w:r w:rsidRPr="002041AF">
              <w:rPr>
                <w:rFonts w:asciiTheme="minorHAnsi" w:eastAsia="Times New Roman" w:hAnsiTheme="minorHAnsi" w:cstheme="minorHAnsi"/>
                <w:b/>
                <w:bCs/>
                <w:color w:val="000000"/>
                <w:sz w:val="18"/>
                <w:szCs w:val="18"/>
                <w:lang w:eastAsia="en-AU"/>
              </w:rPr>
              <w:t>Percent (%)</w:t>
            </w:r>
          </w:p>
        </w:tc>
      </w:tr>
      <w:tr w:rsidR="00113BBB" w:rsidRPr="00147C24" w14:paraId="3B2C476F"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7A1061C6"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1</w:t>
            </w:r>
          </w:p>
        </w:tc>
        <w:tc>
          <w:tcPr>
            <w:tcW w:w="1756" w:type="dxa"/>
            <w:tcBorders>
              <w:top w:val="nil"/>
              <w:left w:val="nil"/>
              <w:bottom w:val="nil"/>
              <w:right w:val="nil"/>
            </w:tcBorders>
            <w:shd w:val="clear" w:color="auto" w:fill="auto"/>
            <w:noWrap/>
            <w:vAlign w:val="center"/>
            <w:hideMark/>
          </w:tcPr>
          <w:p w14:paraId="6183D93F"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297</w:t>
            </w:r>
          </w:p>
        </w:tc>
        <w:tc>
          <w:tcPr>
            <w:tcW w:w="1757" w:type="dxa"/>
            <w:tcBorders>
              <w:top w:val="nil"/>
              <w:left w:val="nil"/>
              <w:bottom w:val="nil"/>
              <w:right w:val="dashSmallGap" w:sz="4" w:space="0" w:color="auto"/>
            </w:tcBorders>
            <w:shd w:val="clear" w:color="auto" w:fill="auto"/>
            <w:noWrap/>
            <w:vAlign w:val="center"/>
            <w:hideMark/>
          </w:tcPr>
          <w:p w14:paraId="1A322A85"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1,960</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1195E19F"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2,257 </w:t>
            </w:r>
          </w:p>
        </w:tc>
        <w:tc>
          <w:tcPr>
            <w:tcW w:w="1932" w:type="dxa"/>
            <w:tcBorders>
              <w:top w:val="nil"/>
              <w:left w:val="dashSmallGap" w:sz="4" w:space="0" w:color="auto"/>
              <w:bottom w:val="nil"/>
              <w:right w:val="single" w:sz="4" w:space="0" w:color="auto"/>
            </w:tcBorders>
            <w:shd w:val="clear" w:color="auto" w:fill="auto"/>
            <w:noWrap/>
            <w:vAlign w:val="bottom"/>
            <w:hideMark/>
          </w:tcPr>
          <w:p w14:paraId="3DFD582B"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54%</w:t>
            </w:r>
          </w:p>
        </w:tc>
      </w:tr>
      <w:tr w:rsidR="00113BBB" w:rsidRPr="00147C24" w14:paraId="67D5B0D8"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2CBD30B0"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2</w:t>
            </w:r>
          </w:p>
        </w:tc>
        <w:tc>
          <w:tcPr>
            <w:tcW w:w="1756" w:type="dxa"/>
            <w:tcBorders>
              <w:top w:val="nil"/>
              <w:left w:val="nil"/>
              <w:bottom w:val="nil"/>
              <w:right w:val="nil"/>
            </w:tcBorders>
            <w:shd w:val="clear" w:color="auto" w:fill="auto"/>
            <w:noWrap/>
            <w:vAlign w:val="center"/>
            <w:hideMark/>
          </w:tcPr>
          <w:p w14:paraId="71018EBA"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145</w:t>
            </w:r>
          </w:p>
        </w:tc>
        <w:tc>
          <w:tcPr>
            <w:tcW w:w="1757" w:type="dxa"/>
            <w:tcBorders>
              <w:top w:val="nil"/>
              <w:left w:val="nil"/>
              <w:bottom w:val="nil"/>
              <w:right w:val="dashSmallGap" w:sz="4" w:space="0" w:color="auto"/>
            </w:tcBorders>
            <w:shd w:val="clear" w:color="auto" w:fill="auto"/>
            <w:noWrap/>
            <w:vAlign w:val="center"/>
            <w:hideMark/>
          </w:tcPr>
          <w:p w14:paraId="63CD57A6"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872</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57A872AA"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1,017 </w:t>
            </w:r>
          </w:p>
        </w:tc>
        <w:tc>
          <w:tcPr>
            <w:tcW w:w="1932" w:type="dxa"/>
            <w:tcBorders>
              <w:top w:val="nil"/>
              <w:left w:val="dashSmallGap" w:sz="4" w:space="0" w:color="auto"/>
              <w:bottom w:val="nil"/>
              <w:right w:val="single" w:sz="4" w:space="0" w:color="auto"/>
            </w:tcBorders>
            <w:shd w:val="clear" w:color="auto" w:fill="auto"/>
            <w:noWrap/>
            <w:vAlign w:val="bottom"/>
            <w:hideMark/>
          </w:tcPr>
          <w:p w14:paraId="7443CB28"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24%</w:t>
            </w:r>
          </w:p>
        </w:tc>
      </w:tr>
      <w:tr w:rsidR="00113BBB" w:rsidRPr="00147C24" w14:paraId="72FC77F1"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0BEE3D4B"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3</w:t>
            </w:r>
          </w:p>
        </w:tc>
        <w:tc>
          <w:tcPr>
            <w:tcW w:w="1756" w:type="dxa"/>
            <w:tcBorders>
              <w:top w:val="nil"/>
              <w:left w:val="nil"/>
              <w:bottom w:val="nil"/>
              <w:right w:val="nil"/>
            </w:tcBorders>
            <w:shd w:val="clear" w:color="auto" w:fill="auto"/>
            <w:noWrap/>
            <w:vAlign w:val="center"/>
            <w:hideMark/>
          </w:tcPr>
          <w:p w14:paraId="4DB20C29"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71 </w:t>
            </w:r>
          </w:p>
        </w:tc>
        <w:tc>
          <w:tcPr>
            <w:tcW w:w="1757" w:type="dxa"/>
            <w:tcBorders>
              <w:top w:val="nil"/>
              <w:left w:val="nil"/>
              <w:bottom w:val="nil"/>
              <w:right w:val="dashSmallGap" w:sz="4" w:space="0" w:color="auto"/>
            </w:tcBorders>
            <w:shd w:val="clear" w:color="auto" w:fill="auto"/>
            <w:noWrap/>
            <w:vAlign w:val="center"/>
            <w:hideMark/>
          </w:tcPr>
          <w:p w14:paraId="42895749"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398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29E675EB"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469 </w:t>
            </w:r>
          </w:p>
        </w:tc>
        <w:tc>
          <w:tcPr>
            <w:tcW w:w="1932" w:type="dxa"/>
            <w:tcBorders>
              <w:top w:val="nil"/>
              <w:left w:val="dashSmallGap" w:sz="4" w:space="0" w:color="auto"/>
              <w:bottom w:val="nil"/>
              <w:right w:val="single" w:sz="4" w:space="0" w:color="auto"/>
            </w:tcBorders>
            <w:shd w:val="clear" w:color="auto" w:fill="auto"/>
            <w:noWrap/>
            <w:vAlign w:val="bottom"/>
            <w:hideMark/>
          </w:tcPr>
          <w:p w14:paraId="09468F84"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11%</w:t>
            </w:r>
          </w:p>
        </w:tc>
      </w:tr>
      <w:tr w:rsidR="00113BBB" w:rsidRPr="00147C24" w14:paraId="1D455BFA"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5A925335"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4</w:t>
            </w:r>
          </w:p>
        </w:tc>
        <w:tc>
          <w:tcPr>
            <w:tcW w:w="1756" w:type="dxa"/>
            <w:tcBorders>
              <w:top w:val="nil"/>
              <w:left w:val="nil"/>
              <w:bottom w:val="nil"/>
              <w:right w:val="nil"/>
            </w:tcBorders>
            <w:shd w:val="clear" w:color="auto" w:fill="auto"/>
            <w:noWrap/>
            <w:vAlign w:val="center"/>
            <w:hideMark/>
          </w:tcPr>
          <w:p w14:paraId="3A8EFF6E"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34 </w:t>
            </w:r>
          </w:p>
        </w:tc>
        <w:tc>
          <w:tcPr>
            <w:tcW w:w="1757" w:type="dxa"/>
            <w:tcBorders>
              <w:top w:val="nil"/>
              <w:left w:val="nil"/>
              <w:bottom w:val="nil"/>
              <w:right w:val="dashSmallGap" w:sz="4" w:space="0" w:color="auto"/>
            </w:tcBorders>
            <w:shd w:val="clear" w:color="auto" w:fill="auto"/>
            <w:noWrap/>
            <w:vAlign w:val="center"/>
            <w:hideMark/>
          </w:tcPr>
          <w:p w14:paraId="1AE9FD60"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185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1DA9FA42"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219 </w:t>
            </w:r>
          </w:p>
        </w:tc>
        <w:tc>
          <w:tcPr>
            <w:tcW w:w="1932" w:type="dxa"/>
            <w:tcBorders>
              <w:top w:val="nil"/>
              <w:left w:val="dashSmallGap" w:sz="4" w:space="0" w:color="auto"/>
              <w:bottom w:val="nil"/>
              <w:right w:val="single" w:sz="4" w:space="0" w:color="auto"/>
            </w:tcBorders>
            <w:shd w:val="clear" w:color="auto" w:fill="auto"/>
            <w:noWrap/>
            <w:vAlign w:val="bottom"/>
            <w:hideMark/>
          </w:tcPr>
          <w:p w14:paraId="1CF27A2A"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5%</w:t>
            </w:r>
          </w:p>
        </w:tc>
      </w:tr>
      <w:tr w:rsidR="00113BBB" w:rsidRPr="00147C24" w14:paraId="390541C6"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08E63A93"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5</w:t>
            </w:r>
          </w:p>
        </w:tc>
        <w:tc>
          <w:tcPr>
            <w:tcW w:w="1756" w:type="dxa"/>
            <w:tcBorders>
              <w:top w:val="nil"/>
              <w:left w:val="nil"/>
              <w:bottom w:val="nil"/>
              <w:right w:val="nil"/>
            </w:tcBorders>
            <w:shd w:val="clear" w:color="auto" w:fill="auto"/>
            <w:noWrap/>
            <w:vAlign w:val="center"/>
            <w:hideMark/>
          </w:tcPr>
          <w:p w14:paraId="0361C816"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15 </w:t>
            </w:r>
          </w:p>
        </w:tc>
        <w:tc>
          <w:tcPr>
            <w:tcW w:w="1757" w:type="dxa"/>
            <w:tcBorders>
              <w:top w:val="nil"/>
              <w:left w:val="nil"/>
              <w:bottom w:val="nil"/>
              <w:right w:val="dashSmallGap" w:sz="4" w:space="0" w:color="auto"/>
            </w:tcBorders>
            <w:shd w:val="clear" w:color="auto" w:fill="auto"/>
            <w:noWrap/>
            <w:vAlign w:val="center"/>
            <w:hideMark/>
          </w:tcPr>
          <w:p w14:paraId="5945ADB0"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96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61250D88"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111 </w:t>
            </w:r>
          </w:p>
        </w:tc>
        <w:tc>
          <w:tcPr>
            <w:tcW w:w="1932" w:type="dxa"/>
            <w:tcBorders>
              <w:top w:val="nil"/>
              <w:left w:val="dashSmallGap" w:sz="4" w:space="0" w:color="auto"/>
              <w:bottom w:val="nil"/>
              <w:right w:val="single" w:sz="4" w:space="0" w:color="auto"/>
            </w:tcBorders>
            <w:shd w:val="clear" w:color="auto" w:fill="auto"/>
            <w:noWrap/>
            <w:vAlign w:val="bottom"/>
            <w:hideMark/>
          </w:tcPr>
          <w:p w14:paraId="6584F704"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3%</w:t>
            </w:r>
          </w:p>
        </w:tc>
      </w:tr>
      <w:tr w:rsidR="00113BBB" w:rsidRPr="00147C24" w14:paraId="44FBA5E1"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19B9234C"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6</w:t>
            </w:r>
          </w:p>
        </w:tc>
        <w:tc>
          <w:tcPr>
            <w:tcW w:w="1756" w:type="dxa"/>
            <w:tcBorders>
              <w:top w:val="nil"/>
              <w:left w:val="nil"/>
              <w:bottom w:val="nil"/>
              <w:right w:val="nil"/>
            </w:tcBorders>
            <w:shd w:val="clear" w:color="auto" w:fill="auto"/>
            <w:noWrap/>
            <w:vAlign w:val="center"/>
            <w:hideMark/>
          </w:tcPr>
          <w:p w14:paraId="6E8BD055"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10 </w:t>
            </w:r>
          </w:p>
        </w:tc>
        <w:tc>
          <w:tcPr>
            <w:tcW w:w="1757" w:type="dxa"/>
            <w:tcBorders>
              <w:top w:val="nil"/>
              <w:left w:val="nil"/>
              <w:bottom w:val="nil"/>
              <w:right w:val="dashSmallGap" w:sz="4" w:space="0" w:color="auto"/>
            </w:tcBorders>
            <w:shd w:val="clear" w:color="auto" w:fill="auto"/>
            <w:noWrap/>
            <w:vAlign w:val="center"/>
            <w:hideMark/>
          </w:tcPr>
          <w:p w14:paraId="04C42FCA"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45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756A02DD"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55 </w:t>
            </w:r>
          </w:p>
        </w:tc>
        <w:tc>
          <w:tcPr>
            <w:tcW w:w="1932" w:type="dxa"/>
            <w:tcBorders>
              <w:top w:val="nil"/>
              <w:left w:val="dashSmallGap" w:sz="4" w:space="0" w:color="auto"/>
              <w:bottom w:val="nil"/>
              <w:right w:val="single" w:sz="4" w:space="0" w:color="auto"/>
            </w:tcBorders>
            <w:shd w:val="clear" w:color="auto" w:fill="auto"/>
            <w:noWrap/>
            <w:vAlign w:val="bottom"/>
            <w:hideMark/>
          </w:tcPr>
          <w:p w14:paraId="7EFCD81C"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w:t>
            </w:r>
          </w:p>
        </w:tc>
      </w:tr>
      <w:tr w:rsidR="00113BBB" w:rsidRPr="00147C24" w14:paraId="44844F26"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05177E63"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7</w:t>
            </w:r>
          </w:p>
        </w:tc>
        <w:tc>
          <w:tcPr>
            <w:tcW w:w="1756" w:type="dxa"/>
            <w:tcBorders>
              <w:top w:val="nil"/>
              <w:left w:val="nil"/>
              <w:bottom w:val="nil"/>
              <w:right w:val="nil"/>
            </w:tcBorders>
            <w:shd w:val="clear" w:color="auto" w:fill="auto"/>
            <w:noWrap/>
            <w:vAlign w:val="center"/>
            <w:hideMark/>
          </w:tcPr>
          <w:p w14:paraId="715840AD"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6 </w:t>
            </w:r>
          </w:p>
        </w:tc>
        <w:tc>
          <w:tcPr>
            <w:tcW w:w="1757" w:type="dxa"/>
            <w:tcBorders>
              <w:top w:val="nil"/>
              <w:left w:val="nil"/>
              <w:bottom w:val="nil"/>
              <w:right w:val="dashSmallGap" w:sz="4" w:space="0" w:color="auto"/>
            </w:tcBorders>
            <w:shd w:val="clear" w:color="auto" w:fill="auto"/>
            <w:noWrap/>
            <w:vAlign w:val="center"/>
            <w:hideMark/>
          </w:tcPr>
          <w:p w14:paraId="61B62D33"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18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24F0DD36"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24 </w:t>
            </w:r>
          </w:p>
        </w:tc>
        <w:tc>
          <w:tcPr>
            <w:tcW w:w="1932" w:type="dxa"/>
            <w:tcBorders>
              <w:top w:val="nil"/>
              <w:left w:val="dashSmallGap" w:sz="4" w:space="0" w:color="auto"/>
              <w:bottom w:val="nil"/>
              <w:right w:val="single" w:sz="4" w:space="0" w:color="auto"/>
            </w:tcBorders>
            <w:shd w:val="clear" w:color="auto" w:fill="auto"/>
            <w:noWrap/>
            <w:vAlign w:val="bottom"/>
            <w:hideMark/>
          </w:tcPr>
          <w:p w14:paraId="476338BC"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w:t>
            </w:r>
          </w:p>
        </w:tc>
      </w:tr>
      <w:tr w:rsidR="00113BBB" w:rsidRPr="00147C24" w14:paraId="0D358AC7"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22DD5041"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8</w:t>
            </w:r>
          </w:p>
        </w:tc>
        <w:tc>
          <w:tcPr>
            <w:tcW w:w="1756" w:type="dxa"/>
            <w:tcBorders>
              <w:top w:val="nil"/>
              <w:left w:val="nil"/>
              <w:bottom w:val="nil"/>
              <w:right w:val="nil"/>
            </w:tcBorders>
            <w:shd w:val="clear" w:color="auto" w:fill="auto"/>
            <w:noWrap/>
            <w:vAlign w:val="center"/>
            <w:hideMark/>
          </w:tcPr>
          <w:p w14:paraId="1F5C9339"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0 </w:t>
            </w:r>
          </w:p>
        </w:tc>
        <w:tc>
          <w:tcPr>
            <w:tcW w:w="1757" w:type="dxa"/>
            <w:tcBorders>
              <w:top w:val="nil"/>
              <w:left w:val="nil"/>
              <w:bottom w:val="nil"/>
              <w:right w:val="dashSmallGap" w:sz="4" w:space="0" w:color="auto"/>
            </w:tcBorders>
            <w:shd w:val="clear" w:color="auto" w:fill="auto"/>
            <w:noWrap/>
            <w:vAlign w:val="center"/>
            <w:hideMark/>
          </w:tcPr>
          <w:p w14:paraId="3D88C1BB"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9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427CFC79"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9 </w:t>
            </w:r>
          </w:p>
        </w:tc>
        <w:tc>
          <w:tcPr>
            <w:tcW w:w="1932" w:type="dxa"/>
            <w:tcBorders>
              <w:top w:val="nil"/>
              <w:left w:val="dashSmallGap" w:sz="4" w:space="0" w:color="auto"/>
              <w:bottom w:val="nil"/>
              <w:right w:val="single" w:sz="4" w:space="0" w:color="auto"/>
            </w:tcBorders>
            <w:shd w:val="clear" w:color="auto" w:fill="auto"/>
            <w:noWrap/>
            <w:vAlign w:val="bottom"/>
            <w:hideMark/>
          </w:tcPr>
          <w:p w14:paraId="4FEE8A1E"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0%</w:t>
            </w:r>
          </w:p>
        </w:tc>
      </w:tr>
      <w:tr w:rsidR="00113BBB" w:rsidRPr="00147C24" w14:paraId="2D4F35C2"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5A199AA8"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9</w:t>
            </w:r>
          </w:p>
        </w:tc>
        <w:tc>
          <w:tcPr>
            <w:tcW w:w="1756" w:type="dxa"/>
            <w:tcBorders>
              <w:top w:val="nil"/>
              <w:left w:val="nil"/>
              <w:bottom w:val="nil"/>
              <w:right w:val="nil"/>
            </w:tcBorders>
            <w:shd w:val="clear" w:color="auto" w:fill="auto"/>
            <w:noWrap/>
            <w:vAlign w:val="center"/>
            <w:hideMark/>
          </w:tcPr>
          <w:p w14:paraId="234EF8DF"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0 </w:t>
            </w:r>
          </w:p>
        </w:tc>
        <w:tc>
          <w:tcPr>
            <w:tcW w:w="1757" w:type="dxa"/>
            <w:tcBorders>
              <w:top w:val="nil"/>
              <w:left w:val="nil"/>
              <w:bottom w:val="nil"/>
              <w:right w:val="dashSmallGap" w:sz="4" w:space="0" w:color="auto"/>
            </w:tcBorders>
            <w:shd w:val="clear" w:color="auto" w:fill="auto"/>
            <w:noWrap/>
            <w:vAlign w:val="center"/>
            <w:hideMark/>
          </w:tcPr>
          <w:p w14:paraId="27AE54AF"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2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65F396F6"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2 </w:t>
            </w:r>
          </w:p>
        </w:tc>
        <w:tc>
          <w:tcPr>
            <w:tcW w:w="1932" w:type="dxa"/>
            <w:tcBorders>
              <w:top w:val="nil"/>
              <w:left w:val="dashSmallGap" w:sz="4" w:space="0" w:color="auto"/>
              <w:bottom w:val="nil"/>
              <w:right w:val="single" w:sz="4" w:space="0" w:color="auto"/>
            </w:tcBorders>
            <w:shd w:val="clear" w:color="auto" w:fill="auto"/>
            <w:noWrap/>
            <w:vAlign w:val="bottom"/>
            <w:hideMark/>
          </w:tcPr>
          <w:p w14:paraId="4CF34FF5"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0%</w:t>
            </w:r>
          </w:p>
        </w:tc>
      </w:tr>
      <w:tr w:rsidR="00113BBB" w:rsidRPr="00147C24" w14:paraId="7BAB0B4C" w14:textId="77777777" w:rsidTr="00113BBB">
        <w:trPr>
          <w:trHeight w:val="353"/>
        </w:trPr>
        <w:tc>
          <w:tcPr>
            <w:tcW w:w="1927" w:type="dxa"/>
            <w:tcBorders>
              <w:top w:val="nil"/>
              <w:left w:val="single" w:sz="4" w:space="0" w:color="auto"/>
              <w:bottom w:val="nil"/>
              <w:right w:val="single" w:sz="4" w:space="0" w:color="auto"/>
            </w:tcBorders>
            <w:shd w:val="clear" w:color="auto" w:fill="auto"/>
            <w:noWrap/>
            <w:vAlign w:val="bottom"/>
            <w:hideMark/>
          </w:tcPr>
          <w:p w14:paraId="52CE1F74" w14:textId="77777777" w:rsidR="00113BBB" w:rsidRPr="00147C24" w:rsidRDefault="00113BBB" w:rsidP="00113BBB">
            <w:pPr>
              <w:spacing w:after="0" w:line="240" w:lineRule="auto"/>
              <w:rPr>
                <w:rFonts w:ascii="Calibri" w:eastAsia="Times New Roman" w:hAnsi="Calibri" w:cs="Calibri"/>
                <w:color w:val="000000"/>
                <w:lang w:eastAsia="en-AU"/>
              </w:rPr>
            </w:pPr>
            <w:r w:rsidRPr="00147C24">
              <w:rPr>
                <w:rFonts w:ascii="Calibri" w:eastAsia="Times New Roman" w:hAnsi="Calibri" w:cs="Calibri"/>
                <w:color w:val="000000"/>
                <w:lang w:eastAsia="en-AU"/>
              </w:rPr>
              <w:t>10+</w:t>
            </w:r>
          </w:p>
        </w:tc>
        <w:tc>
          <w:tcPr>
            <w:tcW w:w="1756" w:type="dxa"/>
            <w:tcBorders>
              <w:top w:val="nil"/>
              <w:left w:val="nil"/>
              <w:bottom w:val="nil"/>
              <w:right w:val="nil"/>
            </w:tcBorders>
            <w:shd w:val="clear" w:color="auto" w:fill="auto"/>
            <w:noWrap/>
            <w:vAlign w:val="center"/>
            <w:hideMark/>
          </w:tcPr>
          <w:p w14:paraId="48998606"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0 </w:t>
            </w:r>
          </w:p>
        </w:tc>
        <w:tc>
          <w:tcPr>
            <w:tcW w:w="1757" w:type="dxa"/>
            <w:tcBorders>
              <w:top w:val="nil"/>
              <w:left w:val="nil"/>
              <w:bottom w:val="nil"/>
              <w:right w:val="dashSmallGap" w:sz="4" w:space="0" w:color="auto"/>
            </w:tcBorders>
            <w:shd w:val="clear" w:color="auto" w:fill="auto"/>
            <w:noWrap/>
            <w:vAlign w:val="center"/>
            <w:hideMark/>
          </w:tcPr>
          <w:p w14:paraId="44B768B3"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0 </w:t>
            </w:r>
          </w:p>
        </w:tc>
        <w:tc>
          <w:tcPr>
            <w:tcW w:w="1757" w:type="dxa"/>
            <w:tcBorders>
              <w:top w:val="nil"/>
              <w:left w:val="dashSmallGap" w:sz="4" w:space="0" w:color="auto"/>
              <w:bottom w:val="nil"/>
              <w:right w:val="dashSmallGap" w:sz="4" w:space="0" w:color="auto"/>
            </w:tcBorders>
            <w:shd w:val="clear" w:color="auto" w:fill="auto"/>
            <w:noWrap/>
            <w:vAlign w:val="center"/>
            <w:hideMark/>
          </w:tcPr>
          <w:p w14:paraId="4B3870AC"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 xml:space="preserve">0 </w:t>
            </w:r>
          </w:p>
        </w:tc>
        <w:tc>
          <w:tcPr>
            <w:tcW w:w="1932" w:type="dxa"/>
            <w:tcBorders>
              <w:top w:val="nil"/>
              <w:left w:val="dashSmallGap" w:sz="4" w:space="0" w:color="auto"/>
              <w:bottom w:val="nil"/>
              <w:right w:val="single" w:sz="4" w:space="0" w:color="auto"/>
            </w:tcBorders>
            <w:shd w:val="clear" w:color="auto" w:fill="auto"/>
            <w:noWrap/>
            <w:vAlign w:val="bottom"/>
            <w:hideMark/>
          </w:tcPr>
          <w:p w14:paraId="4F474190" w14:textId="77777777" w:rsidR="00113BBB" w:rsidRPr="00147C24"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0%</w:t>
            </w:r>
          </w:p>
        </w:tc>
      </w:tr>
      <w:tr w:rsidR="00113BBB" w:rsidRPr="00147C24" w14:paraId="11555F4F" w14:textId="77777777" w:rsidTr="00113BBB">
        <w:trPr>
          <w:trHeight w:val="706"/>
        </w:trPr>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D6894" w14:textId="77777777" w:rsidR="00113BBB" w:rsidRPr="002041AF" w:rsidRDefault="00113BBB" w:rsidP="00D71277">
            <w:pPr>
              <w:spacing w:after="0" w:line="240" w:lineRule="auto"/>
              <w:rPr>
                <w:rFonts w:ascii="Calibri" w:eastAsia="Times New Roman" w:hAnsi="Calibri" w:cs="Calibri"/>
                <w:b/>
                <w:bCs/>
                <w:color w:val="000000"/>
                <w:sz w:val="18"/>
                <w:szCs w:val="18"/>
                <w:lang w:eastAsia="en-AU"/>
              </w:rPr>
            </w:pPr>
            <w:r w:rsidRPr="002041AF">
              <w:rPr>
                <w:rFonts w:ascii="Calibri" w:eastAsia="Times New Roman" w:hAnsi="Calibri" w:cs="Calibri"/>
                <w:b/>
                <w:bCs/>
                <w:color w:val="000000"/>
                <w:sz w:val="18"/>
                <w:szCs w:val="18"/>
                <w:lang w:eastAsia="en-AU"/>
              </w:rPr>
              <w:t xml:space="preserve">Total number of </w:t>
            </w:r>
            <w:r w:rsidR="00D71277">
              <w:rPr>
                <w:rFonts w:ascii="Calibri" w:eastAsia="Times New Roman" w:hAnsi="Calibri" w:cs="Calibri"/>
                <w:b/>
                <w:bCs/>
                <w:color w:val="000000"/>
                <w:sz w:val="18"/>
                <w:szCs w:val="18"/>
                <w:lang w:eastAsia="en-AU"/>
              </w:rPr>
              <w:t xml:space="preserve">participants </w:t>
            </w:r>
            <w:r w:rsidRPr="002041AF">
              <w:rPr>
                <w:rFonts w:ascii="Calibri" w:eastAsia="Times New Roman" w:hAnsi="Calibri" w:cs="Calibri"/>
                <w:b/>
                <w:bCs/>
                <w:color w:val="000000"/>
                <w:sz w:val="18"/>
                <w:szCs w:val="18"/>
                <w:lang w:eastAsia="en-AU"/>
              </w:rPr>
              <w:t>receiving a specified unauthorised chemical restraint</w:t>
            </w:r>
            <w:r w:rsidRPr="002041AF">
              <w:rPr>
                <w:rStyle w:val="FootnoteReference"/>
                <w:rFonts w:ascii="Calibri" w:eastAsia="Times New Roman" w:hAnsi="Calibri" w:cs="Calibri"/>
                <w:b/>
                <w:bCs/>
                <w:color w:val="000000"/>
                <w:sz w:val="18"/>
                <w:szCs w:val="18"/>
                <w:lang w:eastAsia="en-AU"/>
              </w:rPr>
              <w:footnoteReference w:id="7"/>
            </w:r>
          </w:p>
        </w:tc>
        <w:tc>
          <w:tcPr>
            <w:tcW w:w="1756" w:type="dxa"/>
            <w:tcBorders>
              <w:top w:val="single" w:sz="4" w:space="0" w:color="auto"/>
              <w:left w:val="nil"/>
              <w:bottom w:val="single" w:sz="4" w:space="0" w:color="auto"/>
              <w:right w:val="nil"/>
            </w:tcBorders>
            <w:shd w:val="clear" w:color="auto" w:fill="auto"/>
            <w:noWrap/>
            <w:vAlign w:val="center"/>
            <w:hideMark/>
          </w:tcPr>
          <w:p w14:paraId="2801ED47" w14:textId="77777777" w:rsidR="00113BBB" w:rsidRPr="00147C24" w:rsidRDefault="00113BBB" w:rsidP="00113BBB">
            <w:pPr>
              <w:spacing w:after="0" w:line="240" w:lineRule="auto"/>
              <w:jc w:val="center"/>
              <w:rPr>
                <w:rFonts w:ascii="Calibri" w:eastAsia="Times New Roman" w:hAnsi="Calibri" w:cs="Calibri"/>
                <w:b/>
                <w:bCs/>
                <w:color w:val="000000"/>
                <w:lang w:eastAsia="en-AU"/>
              </w:rPr>
            </w:pPr>
            <w:r>
              <w:rPr>
                <w:rFonts w:ascii="Calibri" w:hAnsi="Calibri"/>
                <w:b/>
                <w:bCs/>
                <w:color w:val="000000"/>
              </w:rPr>
              <w:t>578</w:t>
            </w:r>
          </w:p>
        </w:tc>
        <w:tc>
          <w:tcPr>
            <w:tcW w:w="1757" w:type="dxa"/>
            <w:tcBorders>
              <w:top w:val="single" w:sz="4" w:space="0" w:color="auto"/>
              <w:left w:val="nil"/>
              <w:bottom w:val="single" w:sz="4" w:space="0" w:color="auto"/>
              <w:right w:val="dashSmallGap" w:sz="4" w:space="0" w:color="auto"/>
            </w:tcBorders>
            <w:shd w:val="clear" w:color="auto" w:fill="auto"/>
            <w:noWrap/>
            <w:vAlign w:val="center"/>
            <w:hideMark/>
          </w:tcPr>
          <w:p w14:paraId="6CF88BD7" w14:textId="77777777" w:rsidR="00113BBB" w:rsidRPr="00147C24" w:rsidRDefault="00113BBB" w:rsidP="00113BBB">
            <w:pPr>
              <w:spacing w:after="0" w:line="240" w:lineRule="auto"/>
              <w:jc w:val="center"/>
              <w:rPr>
                <w:rFonts w:ascii="Calibri" w:eastAsia="Times New Roman" w:hAnsi="Calibri" w:cs="Calibri"/>
                <w:b/>
                <w:bCs/>
                <w:color w:val="000000"/>
                <w:lang w:eastAsia="en-AU"/>
              </w:rPr>
            </w:pPr>
            <w:r>
              <w:rPr>
                <w:rFonts w:ascii="Calibri" w:hAnsi="Calibri"/>
                <w:b/>
                <w:bCs/>
                <w:color w:val="000000"/>
              </w:rPr>
              <w:t>3,585</w:t>
            </w:r>
          </w:p>
        </w:tc>
        <w:tc>
          <w:tcPr>
            <w:tcW w:w="1757"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14:paraId="1619A926" w14:textId="77777777" w:rsidR="00113BBB" w:rsidRPr="00147C24" w:rsidRDefault="00113BBB" w:rsidP="00113BBB">
            <w:pPr>
              <w:spacing w:after="0" w:line="240" w:lineRule="auto"/>
              <w:jc w:val="center"/>
              <w:rPr>
                <w:rFonts w:ascii="Calibri" w:eastAsia="Times New Roman" w:hAnsi="Calibri" w:cs="Calibri"/>
                <w:b/>
                <w:bCs/>
                <w:color w:val="000000"/>
                <w:lang w:eastAsia="en-AU"/>
              </w:rPr>
            </w:pPr>
            <w:r>
              <w:rPr>
                <w:rFonts w:ascii="Calibri" w:hAnsi="Calibri"/>
                <w:b/>
                <w:bCs/>
                <w:color w:val="000000"/>
              </w:rPr>
              <w:t xml:space="preserve">4,163 </w:t>
            </w:r>
          </w:p>
        </w:tc>
        <w:tc>
          <w:tcPr>
            <w:tcW w:w="193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17ADBF6" w14:textId="77777777" w:rsidR="00113BBB" w:rsidRPr="00147C24" w:rsidRDefault="00113BBB" w:rsidP="00113BBB">
            <w:pPr>
              <w:spacing w:after="0" w:line="240" w:lineRule="auto"/>
              <w:jc w:val="center"/>
              <w:rPr>
                <w:rFonts w:ascii="Calibri" w:eastAsia="Times New Roman" w:hAnsi="Calibri" w:cs="Calibri"/>
                <w:b/>
                <w:bCs/>
                <w:color w:val="000000"/>
                <w:lang w:eastAsia="en-AU"/>
              </w:rPr>
            </w:pPr>
            <w:r>
              <w:rPr>
                <w:rFonts w:ascii="Calibri" w:hAnsi="Calibri"/>
                <w:b/>
                <w:bCs/>
                <w:color w:val="000000"/>
              </w:rPr>
              <w:t>100%</w:t>
            </w:r>
          </w:p>
        </w:tc>
      </w:tr>
    </w:tbl>
    <w:p w14:paraId="133625C1" w14:textId="77777777" w:rsidR="00113BBB" w:rsidRDefault="00113BBB" w:rsidP="00113BBB">
      <w:pPr>
        <w:rPr>
          <w:highlight w:val="yellow"/>
        </w:rPr>
      </w:pPr>
    </w:p>
    <w:p w14:paraId="1F531E9A" w14:textId="77777777" w:rsidR="0040278F" w:rsidRDefault="0040278F" w:rsidP="0040278F">
      <w:pPr>
        <w:rPr>
          <w:rFonts w:asciiTheme="minorHAnsi" w:hAnsiTheme="minorHAnsi" w:cstheme="minorHAnsi"/>
        </w:rPr>
      </w:pPr>
      <w:r>
        <w:rPr>
          <w:rFonts w:asciiTheme="minorHAnsi" w:hAnsiTheme="minorHAnsi" w:cstheme="minorHAnsi"/>
        </w:rPr>
        <w:t>A majority of participants (54%) who were subject to the unauthorised use of a chemical restraint in 2020-21 where the medication or chemical substance was named were subject to only one medication or chemical substance used as a chemical restraint. 90% of the participants who were subject to the unauthorised use of a chemical restraint in 2020-21 where the medication or chemical substance was named were subject to three or fewer medications or chemical substances used as chemical restraints.</w:t>
      </w:r>
    </w:p>
    <w:p w14:paraId="52C9CA58" w14:textId="6F7F68F5" w:rsidR="0040278F" w:rsidRPr="00C838E0" w:rsidRDefault="0040278F" w:rsidP="0040278F">
      <w:pPr>
        <w:rPr>
          <w:rFonts w:asciiTheme="minorHAnsi" w:hAnsiTheme="minorHAnsi" w:cstheme="minorHAnsi"/>
        </w:rPr>
      </w:pPr>
      <w:r>
        <w:rPr>
          <w:rFonts w:asciiTheme="minorHAnsi" w:hAnsiTheme="minorHAnsi" w:cstheme="minorHAnsi"/>
        </w:rPr>
        <w:t xml:space="preserve">86% of the participants who were subject to the unauthorised use of a chemical restraint in 2020-21 where the medication or chemical substance was named were 19 years of age or older. However, notifications of URPs received by the NDIS Commission may understate the comparable use of chemical restraints in relation to children if chemical restraints are more often administered to child participants by persons other than NDIS providers (for example, parents or other family members or within the education system) than occurs in relation to </w:t>
      </w:r>
      <w:r w:rsidR="00E67319">
        <w:rPr>
          <w:rFonts w:asciiTheme="minorHAnsi" w:hAnsiTheme="minorHAnsi" w:cstheme="minorHAnsi"/>
        </w:rPr>
        <w:t xml:space="preserve">older </w:t>
      </w:r>
      <w:r>
        <w:rPr>
          <w:rFonts w:asciiTheme="minorHAnsi" w:hAnsiTheme="minorHAnsi" w:cstheme="minorHAnsi"/>
        </w:rPr>
        <w:t xml:space="preserve">participants. </w:t>
      </w:r>
    </w:p>
    <w:p w14:paraId="226467FD" w14:textId="77777777" w:rsidR="00113BBB" w:rsidRDefault="007A3349" w:rsidP="005B3540">
      <w:pPr>
        <w:rPr>
          <w:rFonts w:asciiTheme="minorHAnsi" w:hAnsiTheme="minorHAnsi" w:cstheme="minorHAnsi"/>
        </w:rPr>
      </w:pPr>
      <w:r w:rsidRPr="005B3540">
        <w:rPr>
          <w:rFonts w:asciiTheme="minorHAnsi" w:hAnsiTheme="minorHAnsi" w:cstheme="minorHAnsi"/>
        </w:rPr>
        <w:fldChar w:fldCharType="begin"/>
      </w:r>
      <w:r w:rsidRPr="005B3540">
        <w:rPr>
          <w:rFonts w:asciiTheme="minorHAnsi" w:hAnsiTheme="minorHAnsi" w:cstheme="minorHAnsi"/>
        </w:rPr>
        <w:instrText xml:space="preserve"> REF _Ref92714711 \h </w:instrText>
      </w:r>
      <w:r>
        <w:rPr>
          <w:rFonts w:asciiTheme="minorHAnsi" w:hAnsiTheme="minorHAnsi" w:cstheme="minorHAnsi"/>
        </w:rPr>
        <w:instrText xml:space="preserve"> \* MERGEFORMAT </w:instrText>
      </w:r>
      <w:r w:rsidRPr="005B3540">
        <w:rPr>
          <w:rFonts w:asciiTheme="minorHAnsi" w:hAnsiTheme="minorHAnsi" w:cstheme="minorHAnsi"/>
        </w:rPr>
      </w:r>
      <w:r w:rsidRPr="005B3540">
        <w:rPr>
          <w:rFonts w:asciiTheme="minorHAnsi" w:hAnsiTheme="minorHAnsi" w:cstheme="minorHAnsi"/>
        </w:rPr>
        <w:fldChar w:fldCharType="separate"/>
      </w:r>
      <w:r w:rsidRPr="005B3540">
        <w:rPr>
          <w:rFonts w:asciiTheme="minorHAnsi" w:hAnsiTheme="minorHAnsi" w:cstheme="minorHAnsi"/>
        </w:rPr>
        <w:t>Table 8</w:t>
      </w:r>
      <w:r w:rsidRPr="005B3540">
        <w:rPr>
          <w:rFonts w:asciiTheme="minorHAnsi" w:hAnsiTheme="minorHAnsi" w:cstheme="minorHAnsi"/>
        </w:rPr>
        <w:fldChar w:fldCharType="end"/>
      </w:r>
      <w:r w:rsidRPr="005B3540">
        <w:rPr>
          <w:rFonts w:asciiTheme="minorHAnsi" w:hAnsiTheme="minorHAnsi" w:cstheme="minorHAnsi"/>
        </w:rPr>
        <w:t xml:space="preserve"> </w:t>
      </w:r>
      <w:r w:rsidR="0040278F">
        <w:rPr>
          <w:rFonts w:asciiTheme="minorHAnsi" w:hAnsiTheme="minorHAnsi" w:cstheme="minorHAnsi"/>
        </w:rPr>
        <w:t xml:space="preserve">below shows </w:t>
      </w:r>
      <w:r w:rsidR="00C60E5E">
        <w:rPr>
          <w:rFonts w:asciiTheme="minorHAnsi" w:hAnsiTheme="minorHAnsi" w:cstheme="minorHAnsi"/>
        </w:rPr>
        <w:t xml:space="preserve">the types of medication reported as unauthorised chemical restraints in 2020-21 by medication class, showing both the number of instances of use of each type of medication and the number of participants in respect of whom the type of medication was used. </w:t>
      </w:r>
    </w:p>
    <w:p w14:paraId="00F61C79" w14:textId="77777777" w:rsidR="007871A9" w:rsidRDefault="007871A9" w:rsidP="005B3540">
      <w:pPr>
        <w:rPr>
          <w:rFonts w:asciiTheme="minorHAnsi" w:hAnsiTheme="minorHAnsi" w:cstheme="minorHAnsi"/>
        </w:rPr>
      </w:pPr>
    </w:p>
    <w:p w14:paraId="7CAEECF9" w14:textId="77777777" w:rsidR="007871A9" w:rsidRPr="002041AF" w:rsidRDefault="007871A9" w:rsidP="005B3540"/>
    <w:p w14:paraId="5DC6144D" w14:textId="77777777" w:rsidR="007A3349" w:rsidRPr="00A40863" w:rsidRDefault="007A3349" w:rsidP="005B3540">
      <w:pPr>
        <w:pStyle w:val="Caption"/>
        <w:keepNext/>
        <w:rPr>
          <w:rFonts w:cs="Arial"/>
          <w:sz w:val="18"/>
        </w:rPr>
      </w:pPr>
      <w:bookmarkStart w:id="18" w:name="_Ref92714711"/>
      <w:r w:rsidRPr="00A40863">
        <w:rPr>
          <w:rFonts w:cs="Arial"/>
          <w:caps w:val="0"/>
          <w:sz w:val="18"/>
        </w:rPr>
        <w:lastRenderedPageBreak/>
        <w:t xml:space="preserve">Table </w:t>
      </w:r>
      <w:r w:rsidRPr="00A40863">
        <w:rPr>
          <w:rFonts w:cs="Arial"/>
          <w:sz w:val="18"/>
        </w:rPr>
        <w:fldChar w:fldCharType="begin"/>
      </w:r>
      <w:r w:rsidRPr="00A40863">
        <w:rPr>
          <w:rFonts w:cs="Arial"/>
          <w:sz w:val="18"/>
        </w:rPr>
        <w:instrText xml:space="preserve"> SEQ Table \* ARABIC </w:instrText>
      </w:r>
      <w:r w:rsidRPr="00A40863">
        <w:rPr>
          <w:rFonts w:cs="Arial"/>
          <w:sz w:val="18"/>
        </w:rPr>
        <w:fldChar w:fldCharType="separate"/>
      </w:r>
      <w:r w:rsidRPr="00A40863">
        <w:rPr>
          <w:rFonts w:cs="Arial"/>
          <w:noProof/>
          <w:sz w:val="18"/>
        </w:rPr>
        <w:t>8</w:t>
      </w:r>
      <w:r w:rsidRPr="00A40863">
        <w:rPr>
          <w:rFonts w:cs="Arial"/>
          <w:sz w:val="18"/>
        </w:rPr>
        <w:fldChar w:fldCharType="end"/>
      </w:r>
      <w:bookmarkEnd w:id="18"/>
      <w:r w:rsidRPr="00A40863">
        <w:rPr>
          <w:rFonts w:cs="Arial"/>
          <w:sz w:val="18"/>
        </w:rPr>
        <w:t xml:space="preserve"> - </w:t>
      </w:r>
      <w:r w:rsidRPr="00A40863">
        <w:rPr>
          <w:rFonts w:cs="Arial"/>
          <w:caps w:val="0"/>
          <w:sz w:val="18"/>
        </w:rPr>
        <w:t>Types of medication reported as unauthorised chemical restraint in 2020-21</w:t>
      </w:r>
    </w:p>
    <w:tbl>
      <w:tblPr>
        <w:tblW w:w="7083" w:type="dxa"/>
        <w:tblLayout w:type="fixed"/>
        <w:tblLook w:val="04A0" w:firstRow="1" w:lastRow="0" w:firstColumn="1" w:lastColumn="0" w:noHBand="0" w:noVBand="1"/>
      </w:tblPr>
      <w:tblGrid>
        <w:gridCol w:w="3270"/>
        <w:gridCol w:w="1828"/>
        <w:gridCol w:w="1985"/>
      </w:tblGrid>
      <w:tr w:rsidR="00113BBB" w:rsidRPr="00CC7A21" w14:paraId="430702BD" w14:textId="77777777" w:rsidTr="00113BBB">
        <w:trPr>
          <w:trHeight w:val="294"/>
        </w:trPr>
        <w:tc>
          <w:tcPr>
            <w:tcW w:w="32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305BF7E" w14:textId="77777777" w:rsidR="00113BBB" w:rsidRPr="002041AF" w:rsidRDefault="00113BBB" w:rsidP="00113BBB">
            <w:pPr>
              <w:spacing w:after="0" w:line="240" w:lineRule="auto"/>
              <w:rPr>
                <w:rFonts w:ascii="Calibri" w:eastAsia="Times New Roman" w:hAnsi="Calibri" w:cs="Calibri"/>
                <w:b/>
                <w:bCs/>
                <w:color w:val="000000"/>
                <w:sz w:val="18"/>
                <w:szCs w:val="18"/>
                <w:lang w:eastAsia="en-AU"/>
              </w:rPr>
            </w:pPr>
            <w:r w:rsidRPr="002041AF">
              <w:rPr>
                <w:rFonts w:ascii="Calibri" w:eastAsia="Times New Roman" w:hAnsi="Calibri" w:cs="Calibri"/>
                <w:b/>
                <w:bCs/>
                <w:color w:val="000000"/>
                <w:sz w:val="18"/>
                <w:szCs w:val="18"/>
                <w:lang w:eastAsia="en-AU"/>
              </w:rPr>
              <w:t>Medication class</w:t>
            </w:r>
          </w:p>
        </w:tc>
        <w:tc>
          <w:tcPr>
            <w:tcW w:w="1828" w:type="dxa"/>
            <w:tcBorders>
              <w:top w:val="single" w:sz="4" w:space="0" w:color="auto"/>
              <w:left w:val="nil"/>
              <w:bottom w:val="single" w:sz="4" w:space="0" w:color="auto"/>
              <w:right w:val="nil"/>
            </w:tcBorders>
            <w:shd w:val="clear" w:color="000000" w:fill="D9D9D9"/>
            <w:noWrap/>
            <w:vAlign w:val="center"/>
            <w:hideMark/>
          </w:tcPr>
          <w:p w14:paraId="5E8FFF5E" w14:textId="77777777" w:rsidR="00113BBB" w:rsidRPr="002041AF" w:rsidRDefault="00113BBB" w:rsidP="00113BBB">
            <w:pPr>
              <w:spacing w:after="0" w:line="240" w:lineRule="auto"/>
              <w:jc w:val="center"/>
              <w:rPr>
                <w:rFonts w:ascii="Calibri" w:eastAsia="Times New Roman" w:hAnsi="Calibri" w:cs="Calibri"/>
                <w:b/>
                <w:bCs/>
                <w:color w:val="000000"/>
                <w:sz w:val="18"/>
                <w:szCs w:val="18"/>
                <w:lang w:eastAsia="en-AU"/>
              </w:rPr>
            </w:pPr>
            <w:r w:rsidRPr="002041AF">
              <w:rPr>
                <w:rFonts w:ascii="Calibri" w:eastAsia="Times New Roman" w:hAnsi="Calibri" w:cs="Calibri"/>
                <w:b/>
                <w:bCs/>
                <w:color w:val="000000"/>
                <w:sz w:val="18"/>
                <w:szCs w:val="18"/>
                <w:lang w:eastAsia="en-AU"/>
              </w:rPr>
              <w:t>Number of instances</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14:paraId="554494A3" w14:textId="77777777" w:rsidR="00113BBB" w:rsidRPr="002041AF" w:rsidRDefault="00113BBB" w:rsidP="00D71277">
            <w:pPr>
              <w:spacing w:after="0" w:line="240" w:lineRule="auto"/>
              <w:jc w:val="center"/>
              <w:rPr>
                <w:rFonts w:ascii="Calibri" w:eastAsia="Times New Roman" w:hAnsi="Calibri" w:cs="Calibri"/>
                <w:b/>
                <w:bCs/>
                <w:color w:val="000000"/>
                <w:sz w:val="18"/>
                <w:szCs w:val="18"/>
                <w:lang w:eastAsia="en-AU"/>
              </w:rPr>
            </w:pPr>
            <w:r w:rsidRPr="002041AF">
              <w:rPr>
                <w:rFonts w:ascii="Calibri" w:eastAsia="Times New Roman" w:hAnsi="Calibri" w:cs="Calibri"/>
                <w:b/>
                <w:bCs/>
                <w:color w:val="000000"/>
                <w:sz w:val="18"/>
                <w:szCs w:val="18"/>
                <w:lang w:eastAsia="en-AU"/>
              </w:rPr>
              <w:t xml:space="preserve">Number of </w:t>
            </w:r>
            <w:r w:rsidR="00D71277">
              <w:rPr>
                <w:rFonts w:ascii="Calibri" w:eastAsia="Times New Roman" w:hAnsi="Calibri" w:cs="Calibri"/>
                <w:b/>
                <w:bCs/>
                <w:color w:val="000000"/>
                <w:sz w:val="18"/>
                <w:szCs w:val="18"/>
                <w:lang w:eastAsia="en-AU"/>
              </w:rPr>
              <w:t>participants</w:t>
            </w:r>
            <w:r w:rsidRPr="002041AF">
              <w:rPr>
                <w:rStyle w:val="FootnoteReference"/>
                <w:rFonts w:ascii="Calibri" w:eastAsia="Times New Roman" w:hAnsi="Calibri" w:cs="Calibri"/>
                <w:b/>
                <w:bCs/>
                <w:color w:val="000000"/>
                <w:sz w:val="18"/>
                <w:szCs w:val="18"/>
                <w:lang w:eastAsia="en-AU"/>
              </w:rPr>
              <w:footnoteReference w:id="8"/>
            </w:r>
          </w:p>
        </w:tc>
      </w:tr>
      <w:tr w:rsidR="00113BBB" w:rsidRPr="00CC7A21" w14:paraId="078F54EA"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7F00D81C"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Antipsychotic</w:t>
            </w:r>
          </w:p>
        </w:tc>
        <w:tc>
          <w:tcPr>
            <w:tcW w:w="1828" w:type="dxa"/>
            <w:tcBorders>
              <w:top w:val="nil"/>
              <w:left w:val="nil"/>
              <w:bottom w:val="nil"/>
              <w:right w:val="nil"/>
            </w:tcBorders>
            <w:shd w:val="clear" w:color="auto" w:fill="auto"/>
            <w:noWrap/>
            <w:vAlign w:val="center"/>
            <w:hideMark/>
          </w:tcPr>
          <w:p w14:paraId="5E6FA700"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281,440</w:t>
            </w:r>
          </w:p>
        </w:tc>
        <w:tc>
          <w:tcPr>
            <w:tcW w:w="1985" w:type="dxa"/>
            <w:tcBorders>
              <w:top w:val="nil"/>
              <w:left w:val="nil"/>
              <w:bottom w:val="nil"/>
              <w:right w:val="single" w:sz="4" w:space="0" w:color="auto"/>
            </w:tcBorders>
            <w:shd w:val="clear" w:color="auto" w:fill="auto"/>
            <w:noWrap/>
            <w:vAlign w:val="center"/>
            <w:hideMark/>
          </w:tcPr>
          <w:p w14:paraId="7C669C83"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2,590</w:t>
            </w:r>
          </w:p>
        </w:tc>
      </w:tr>
      <w:tr w:rsidR="00113BBB" w:rsidRPr="00CC7A21" w14:paraId="17C80AF7"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20B94A49"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Anticonvulsant</w:t>
            </w:r>
          </w:p>
        </w:tc>
        <w:tc>
          <w:tcPr>
            <w:tcW w:w="1828" w:type="dxa"/>
            <w:tcBorders>
              <w:top w:val="nil"/>
              <w:left w:val="nil"/>
              <w:bottom w:val="nil"/>
              <w:right w:val="nil"/>
            </w:tcBorders>
            <w:shd w:val="clear" w:color="auto" w:fill="auto"/>
            <w:noWrap/>
            <w:vAlign w:val="center"/>
            <w:hideMark/>
          </w:tcPr>
          <w:p w14:paraId="7F638B9D"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107,359</w:t>
            </w:r>
          </w:p>
        </w:tc>
        <w:tc>
          <w:tcPr>
            <w:tcW w:w="1985" w:type="dxa"/>
            <w:tcBorders>
              <w:top w:val="nil"/>
              <w:left w:val="nil"/>
              <w:bottom w:val="nil"/>
              <w:right w:val="single" w:sz="4" w:space="0" w:color="auto"/>
            </w:tcBorders>
            <w:shd w:val="clear" w:color="auto" w:fill="auto"/>
            <w:noWrap/>
            <w:vAlign w:val="center"/>
            <w:hideMark/>
          </w:tcPr>
          <w:p w14:paraId="28EFEF9C"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769</w:t>
            </w:r>
          </w:p>
        </w:tc>
      </w:tr>
      <w:tr w:rsidR="00113BBB" w:rsidRPr="00CC7A21" w14:paraId="609D50F8"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705970A8"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Antidepressant</w:t>
            </w:r>
          </w:p>
        </w:tc>
        <w:tc>
          <w:tcPr>
            <w:tcW w:w="1828" w:type="dxa"/>
            <w:tcBorders>
              <w:top w:val="nil"/>
              <w:left w:val="nil"/>
              <w:bottom w:val="nil"/>
              <w:right w:val="nil"/>
            </w:tcBorders>
            <w:shd w:val="clear" w:color="auto" w:fill="auto"/>
            <w:noWrap/>
            <w:vAlign w:val="center"/>
            <w:hideMark/>
          </w:tcPr>
          <w:p w14:paraId="3243CF73"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78,801</w:t>
            </w:r>
          </w:p>
        </w:tc>
        <w:tc>
          <w:tcPr>
            <w:tcW w:w="1985" w:type="dxa"/>
            <w:tcBorders>
              <w:top w:val="nil"/>
              <w:left w:val="nil"/>
              <w:bottom w:val="nil"/>
              <w:right w:val="single" w:sz="4" w:space="0" w:color="auto"/>
            </w:tcBorders>
            <w:shd w:val="clear" w:color="auto" w:fill="auto"/>
            <w:noWrap/>
            <w:vAlign w:val="center"/>
            <w:hideMark/>
          </w:tcPr>
          <w:p w14:paraId="6E7A3056"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1,029</w:t>
            </w:r>
          </w:p>
        </w:tc>
      </w:tr>
      <w:tr w:rsidR="00113BBB" w:rsidRPr="00CC7A21" w14:paraId="507529FF"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0E383282"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Benzodiazepine</w:t>
            </w:r>
          </w:p>
        </w:tc>
        <w:tc>
          <w:tcPr>
            <w:tcW w:w="1828" w:type="dxa"/>
            <w:tcBorders>
              <w:top w:val="nil"/>
              <w:left w:val="nil"/>
              <w:bottom w:val="nil"/>
              <w:right w:val="nil"/>
            </w:tcBorders>
            <w:shd w:val="clear" w:color="auto" w:fill="auto"/>
            <w:noWrap/>
            <w:vAlign w:val="center"/>
            <w:hideMark/>
          </w:tcPr>
          <w:p w14:paraId="1CF654BC"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34,238</w:t>
            </w:r>
          </w:p>
        </w:tc>
        <w:tc>
          <w:tcPr>
            <w:tcW w:w="1985" w:type="dxa"/>
            <w:tcBorders>
              <w:top w:val="nil"/>
              <w:left w:val="nil"/>
              <w:bottom w:val="nil"/>
              <w:right w:val="single" w:sz="4" w:space="0" w:color="auto"/>
            </w:tcBorders>
            <w:shd w:val="clear" w:color="auto" w:fill="auto"/>
            <w:noWrap/>
            <w:vAlign w:val="center"/>
            <w:hideMark/>
          </w:tcPr>
          <w:p w14:paraId="311D69EB"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753</w:t>
            </w:r>
          </w:p>
        </w:tc>
      </w:tr>
      <w:tr w:rsidR="00113BBB" w:rsidRPr="00CC7A21" w14:paraId="322C29A3"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39D8FC5F"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Antihypertensive</w:t>
            </w:r>
          </w:p>
        </w:tc>
        <w:tc>
          <w:tcPr>
            <w:tcW w:w="1828" w:type="dxa"/>
            <w:tcBorders>
              <w:top w:val="nil"/>
              <w:left w:val="nil"/>
              <w:bottom w:val="nil"/>
              <w:right w:val="nil"/>
            </w:tcBorders>
            <w:shd w:val="clear" w:color="auto" w:fill="auto"/>
            <w:noWrap/>
            <w:vAlign w:val="center"/>
            <w:hideMark/>
          </w:tcPr>
          <w:p w14:paraId="54568F18"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27,588</w:t>
            </w:r>
          </w:p>
        </w:tc>
        <w:tc>
          <w:tcPr>
            <w:tcW w:w="1985" w:type="dxa"/>
            <w:tcBorders>
              <w:top w:val="nil"/>
              <w:left w:val="nil"/>
              <w:bottom w:val="nil"/>
              <w:right w:val="single" w:sz="4" w:space="0" w:color="auto"/>
            </w:tcBorders>
            <w:shd w:val="clear" w:color="auto" w:fill="auto"/>
            <w:noWrap/>
            <w:vAlign w:val="center"/>
            <w:hideMark/>
          </w:tcPr>
          <w:p w14:paraId="17BC699B"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412</w:t>
            </w:r>
          </w:p>
        </w:tc>
      </w:tr>
      <w:tr w:rsidR="00113BBB" w:rsidRPr="00CC7A21" w14:paraId="4D1F1B57"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6346333F"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Hormone treatment</w:t>
            </w:r>
          </w:p>
        </w:tc>
        <w:tc>
          <w:tcPr>
            <w:tcW w:w="1828" w:type="dxa"/>
            <w:tcBorders>
              <w:top w:val="nil"/>
              <w:left w:val="nil"/>
              <w:bottom w:val="nil"/>
              <w:right w:val="nil"/>
            </w:tcBorders>
            <w:shd w:val="clear" w:color="auto" w:fill="auto"/>
            <w:noWrap/>
            <w:vAlign w:val="center"/>
            <w:hideMark/>
          </w:tcPr>
          <w:p w14:paraId="1728DA58"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11,954</w:t>
            </w:r>
          </w:p>
        </w:tc>
        <w:tc>
          <w:tcPr>
            <w:tcW w:w="1985" w:type="dxa"/>
            <w:tcBorders>
              <w:top w:val="nil"/>
              <w:left w:val="nil"/>
              <w:bottom w:val="nil"/>
              <w:right w:val="single" w:sz="4" w:space="0" w:color="auto"/>
            </w:tcBorders>
            <w:shd w:val="clear" w:color="auto" w:fill="auto"/>
            <w:noWrap/>
            <w:vAlign w:val="center"/>
            <w:hideMark/>
          </w:tcPr>
          <w:p w14:paraId="154D2F5F"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252</w:t>
            </w:r>
          </w:p>
        </w:tc>
      </w:tr>
      <w:tr w:rsidR="00113BBB" w:rsidRPr="00CC7A21" w14:paraId="112AF540"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3D68AB8D"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Anti-Parkinsonian</w:t>
            </w:r>
          </w:p>
        </w:tc>
        <w:tc>
          <w:tcPr>
            <w:tcW w:w="1828" w:type="dxa"/>
            <w:tcBorders>
              <w:top w:val="nil"/>
              <w:left w:val="nil"/>
              <w:bottom w:val="nil"/>
              <w:right w:val="nil"/>
            </w:tcBorders>
            <w:shd w:val="clear" w:color="auto" w:fill="auto"/>
            <w:noWrap/>
            <w:vAlign w:val="center"/>
            <w:hideMark/>
          </w:tcPr>
          <w:p w14:paraId="738A1CFB"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7,407</w:t>
            </w:r>
          </w:p>
        </w:tc>
        <w:tc>
          <w:tcPr>
            <w:tcW w:w="1985" w:type="dxa"/>
            <w:tcBorders>
              <w:top w:val="nil"/>
              <w:left w:val="nil"/>
              <w:bottom w:val="nil"/>
              <w:right w:val="single" w:sz="4" w:space="0" w:color="auto"/>
            </w:tcBorders>
            <w:shd w:val="clear" w:color="auto" w:fill="auto"/>
            <w:noWrap/>
            <w:vAlign w:val="center"/>
            <w:hideMark/>
          </w:tcPr>
          <w:p w14:paraId="1486C472"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54</w:t>
            </w:r>
          </w:p>
        </w:tc>
      </w:tr>
      <w:tr w:rsidR="00113BBB" w:rsidRPr="00CC7A21" w14:paraId="3A96B134"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380F55B1"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Contraceptive</w:t>
            </w:r>
          </w:p>
        </w:tc>
        <w:tc>
          <w:tcPr>
            <w:tcW w:w="1828" w:type="dxa"/>
            <w:tcBorders>
              <w:top w:val="nil"/>
              <w:left w:val="nil"/>
              <w:bottom w:val="nil"/>
              <w:right w:val="nil"/>
            </w:tcBorders>
            <w:shd w:val="clear" w:color="auto" w:fill="auto"/>
            <w:noWrap/>
            <w:vAlign w:val="center"/>
            <w:hideMark/>
          </w:tcPr>
          <w:p w14:paraId="3F573F0B"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7,161</w:t>
            </w:r>
          </w:p>
        </w:tc>
        <w:tc>
          <w:tcPr>
            <w:tcW w:w="1985" w:type="dxa"/>
            <w:tcBorders>
              <w:top w:val="nil"/>
              <w:left w:val="nil"/>
              <w:bottom w:val="nil"/>
              <w:right w:val="single" w:sz="4" w:space="0" w:color="auto"/>
            </w:tcBorders>
            <w:shd w:val="clear" w:color="auto" w:fill="auto"/>
            <w:noWrap/>
            <w:vAlign w:val="center"/>
            <w:hideMark/>
          </w:tcPr>
          <w:p w14:paraId="111A5760"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93</w:t>
            </w:r>
          </w:p>
        </w:tc>
      </w:tr>
      <w:tr w:rsidR="00113BBB" w:rsidRPr="00CC7A21" w14:paraId="51B4A070"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4218DBA0"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Stimulant</w:t>
            </w:r>
          </w:p>
        </w:tc>
        <w:tc>
          <w:tcPr>
            <w:tcW w:w="1828" w:type="dxa"/>
            <w:tcBorders>
              <w:top w:val="nil"/>
              <w:left w:val="nil"/>
              <w:bottom w:val="nil"/>
              <w:right w:val="nil"/>
            </w:tcBorders>
            <w:shd w:val="clear" w:color="auto" w:fill="auto"/>
            <w:noWrap/>
            <w:vAlign w:val="center"/>
            <w:hideMark/>
          </w:tcPr>
          <w:p w14:paraId="4EAE6AC2"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6,121</w:t>
            </w:r>
          </w:p>
        </w:tc>
        <w:tc>
          <w:tcPr>
            <w:tcW w:w="1985" w:type="dxa"/>
            <w:tcBorders>
              <w:top w:val="nil"/>
              <w:left w:val="nil"/>
              <w:bottom w:val="nil"/>
              <w:right w:val="single" w:sz="4" w:space="0" w:color="auto"/>
            </w:tcBorders>
            <w:shd w:val="clear" w:color="auto" w:fill="auto"/>
            <w:noWrap/>
            <w:vAlign w:val="center"/>
            <w:hideMark/>
          </w:tcPr>
          <w:p w14:paraId="144261F5"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188</w:t>
            </w:r>
          </w:p>
        </w:tc>
      </w:tr>
      <w:tr w:rsidR="00113BBB" w:rsidRPr="00CC7A21" w14:paraId="4A04726E"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197BB784"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Bipolar disorder treatment</w:t>
            </w:r>
          </w:p>
        </w:tc>
        <w:tc>
          <w:tcPr>
            <w:tcW w:w="1828" w:type="dxa"/>
            <w:tcBorders>
              <w:top w:val="nil"/>
              <w:left w:val="nil"/>
              <w:bottom w:val="nil"/>
              <w:right w:val="nil"/>
            </w:tcBorders>
            <w:shd w:val="clear" w:color="auto" w:fill="auto"/>
            <w:noWrap/>
            <w:vAlign w:val="center"/>
            <w:hideMark/>
          </w:tcPr>
          <w:p w14:paraId="3A3BF9BA"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5,743</w:t>
            </w:r>
          </w:p>
        </w:tc>
        <w:tc>
          <w:tcPr>
            <w:tcW w:w="1985" w:type="dxa"/>
            <w:tcBorders>
              <w:top w:val="nil"/>
              <w:left w:val="nil"/>
              <w:bottom w:val="nil"/>
              <w:right w:val="single" w:sz="4" w:space="0" w:color="auto"/>
            </w:tcBorders>
            <w:shd w:val="clear" w:color="auto" w:fill="auto"/>
            <w:noWrap/>
            <w:vAlign w:val="center"/>
            <w:hideMark/>
          </w:tcPr>
          <w:p w14:paraId="29E825F2"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51</w:t>
            </w:r>
          </w:p>
        </w:tc>
      </w:tr>
      <w:tr w:rsidR="00113BBB" w:rsidRPr="00CC7A21" w14:paraId="6A9E7FC8" w14:textId="77777777" w:rsidTr="00113BBB">
        <w:trPr>
          <w:trHeight w:val="294"/>
        </w:trPr>
        <w:tc>
          <w:tcPr>
            <w:tcW w:w="3270" w:type="dxa"/>
            <w:tcBorders>
              <w:top w:val="nil"/>
              <w:left w:val="single" w:sz="4" w:space="0" w:color="auto"/>
              <w:bottom w:val="nil"/>
              <w:right w:val="single" w:sz="4" w:space="0" w:color="auto"/>
            </w:tcBorders>
            <w:shd w:val="clear" w:color="auto" w:fill="auto"/>
            <w:noWrap/>
            <w:vAlign w:val="bottom"/>
            <w:hideMark/>
          </w:tcPr>
          <w:p w14:paraId="27A6C4AC"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Antiandrogen</w:t>
            </w:r>
          </w:p>
        </w:tc>
        <w:tc>
          <w:tcPr>
            <w:tcW w:w="1828" w:type="dxa"/>
            <w:tcBorders>
              <w:top w:val="nil"/>
              <w:left w:val="nil"/>
              <w:bottom w:val="nil"/>
              <w:right w:val="nil"/>
            </w:tcBorders>
            <w:shd w:val="clear" w:color="auto" w:fill="auto"/>
            <w:noWrap/>
            <w:vAlign w:val="center"/>
            <w:hideMark/>
          </w:tcPr>
          <w:p w14:paraId="43D3C4BD"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3,555</w:t>
            </w:r>
          </w:p>
        </w:tc>
        <w:tc>
          <w:tcPr>
            <w:tcW w:w="1985" w:type="dxa"/>
            <w:tcBorders>
              <w:top w:val="nil"/>
              <w:left w:val="nil"/>
              <w:bottom w:val="nil"/>
              <w:right w:val="single" w:sz="4" w:space="0" w:color="auto"/>
            </w:tcBorders>
            <w:shd w:val="clear" w:color="auto" w:fill="auto"/>
            <w:noWrap/>
            <w:vAlign w:val="center"/>
            <w:hideMark/>
          </w:tcPr>
          <w:p w14:paraId="2E2F60BA"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37</w:t>
            </w:r>
          </w:p>
        </w:tc>
      </w:tr>
      <w:tr w:rsidR="00113BBB" w:rsidRPr="00CC7A21" w14:paraId="5A491439" w14:textId="77777777" w:rsidTr="00113BBB">
        <w:trPr>
          <w:trHeight w:val="294"/>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5D990F0B" w14:textId="77777777" w:rsidR="00113BBB" w:rsidRPr="00CC7A21" w:rsidRDefault="00113BBB" w:rsidP="00113BBB">
            <w:pPr>
              <w:spacing w:after="0" w:line="240" w:lineRule="auto"/>
              <w:rPr>
                <w:rFonts w:ascii="Calibri" w:eastAsia="Times New Roman" w:hAnsi="Calibri" w:cs="Calibri"/>
                <w:color w:val="000000"/>
                <w:lang w:eastAsia="en-AU"/>
              </w:rPr>
            </w:pPr>
            <w:r>
              <w:rPr>
                <w:rFonts w:ascii="Calibri" w:hAnsi="Calibri"/>
                <w:color w:val="000000"/>
              </w:rPr>
              <w:t>Other</w:t>
            </w:r>
          </w:p>
        </w:tc>
        <w:tc>
          <w:tcPr>
            <w:tcW w:w="1828" w:type="dxa"/>
            <w:tcBorders>
              <w:top w:val="nil"/>
              <w:left w:val="nil"/>
              <w:bottom w:val="single" w:sz="4" w:space="0" w:color="auto"/>
              <w:right w:val="nil"/>
            </w:tcBorders>
            <w:shd w:val="clear" w:color="auto" w:fill="auto"/>
            <w:noWrap/>
            <w:vAlign w:val="center"/>
            <w:hideMark/>
          </w:tcPr>
          <w:p w14:paraId="53E30EB5"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14,480</w:t>
            </w:r>
          </w:p>
        </w:tc>
        <w:tc>
          <w:tcPr>
            <w:tcW w:w="1985" w:type="dxa"/>
            <w:tcBorders>
              <w:top w:val="nil"/>
              <w:left w:val="nil"/>
              <w:bottom w:val="single" w:sz="4" w:space="0" w:color="auto"/>
              <w:right w:val="single" w:sz="4" w:space="0" w:color="auto"/>
            </w:tcBorders>
            <w:shd w:val="clear" w:color="auto" w:fill="auto"/>
            <w:noWrap/>
            <w:vAlign w:val="center"/>
            <w:hideMark/>
          </w:tcPr>
          <w:p w14:paraId="48B81D4E" w14:textId="77777777" w:rsidR="00113BBB" w:rsidRPr="00CC7A21" w:rsidRDefault="00113BBB" w:rsidP="00113BBB">
            <w:pPr>
              <w:spacing w:after="0" w:line="240" w:lineRule="auto"/>
              <w:jc w:val="center"/>
              <w:rPr>
                <w:rFonts w:ascii="Calibri" w:eastAsia="Times New Roman" w:hAnsi="Calibri" w:cs="Calibri"/>
                <w:color w:val="000000"/>
                <w:lang w:eastAsia="en-AU"/>
              </w:rPr>
            </w:pPr>
            <w:r>
              <w:rPr>
                <w:rFonts w:ascii="Calibri" w:hAnsi="Calibri"/>
                <w:color w:val="000000"/>
              </w:rPr>
              <w:t>312</w:t>
            </w:r>
          </w:p>
        </w:tc>
      </w:tr>
    </w:tbl>
    <w:p w14:paraId="4099B536" w14:textId="77777777" w:rsidR="00C60E5E" w:rsidRDefault="00C60E5E" w:rsidP="00C60E5E">
      <w:pPr>
        <w:rPr>
          <w:highlight w:val="yellow"/>
        </w:rPr>
      </w:pPr>
    </w:p>
    <w:p w14:paraId="63C99EAC" w14:textId="77777777" w:rsidR="00C60E5E" w:rsidRDefault="00C60E5E" w:rsidP="004E6074">
      <w:pPr>
        <w:rPr>
          <w:rFonts w:asciiTheme="minorHAnsi" w:hAnsiTheme="minorHAnsi" w:cstheme="minorHAnsi"/>
        </w:rPr>
      </w:pPr>
      <w:r>
        <w:rPr>
          <w:rFonts w:asciiTheme="minorHAnsi" w:hAnsiTheme="minorHAnsi" w:cstheme="minorHAnsi"/>
        </w:rPr>
        <w:t xml:space="preserve">The most frequently used medications, both in terms of the number of times they were used and the number of participants in relation to whom they were used, were antipsychotics. The next most frequently used medications in terms of the number of times they were used were anticonvulsants; however, antidepressants were used with more participants (1,029) than anticonvulsants (769). </w:t>
      </w:r>
    </w:p>
    <w:p w14:paraId="48D92651" w14:textId="6BF1445C" w:rsidR="00241C96" w:rsidRDefault="00241C96" w:rsidP="004E6074">
      <w:pPr>
        <w:rPr>
          <w:rFonts w:asciiTheme="minorHAnsi" w:hAnsiTheme="minorHAnsi" w:cstheme="minorHAnsi"/>
        </w:rPr>
      </w:pPr>
      <w:r>
        <w:rPr>
          <w:rFonts w:asciiTheme="minorHAnsi" w:hAnsiTheme="minorHAnsi" w:cstheme="minorHAnsi"/>
        </w:rPr>
        <w:t xml:space="preserve">The Senior Practitioner is undertaking </w:t>
      </w:r>
      <w:r w:rsidR="00E67319">
        <w:rPr>
          <w:rFonts w:asciiTheme="minorHAnsi" w:hAnsiTheme="minorHAnsi" w:cstheme="minorHAnsi"/>
        </w:rPr>
        <w:t xml:space="preserve">work to assist NDIS </w:t>
      </w:r>
      <w:r>
        <w:rPr>
          <w:rFonts w:asciiTheme="minorHAnsi" w:hAnsiTheme="minorHAnsi" w:cstheme="minorHAnsi"/>
        </w:rPr>
        <w:t xml:space="preserve">providers </w:t>
      </w:r>
      <w:r w:rsidR="00E67319">
        <w:rPr>
          <w:rFonts w:asciiTheme="minorHAnsi" w:hAnsiTheme="minorHAnsi" w:cstheme="minorHAnsi"/>
        </w:rPr>
        <w:t>to engage with, and obtain clarification from</w:t>
      </w:r>
      <w:r w:rsidR="00FC49C3">
        <w:rPr>
          <w:rFonts w:asciiTheme="minorHAnsi" w:hAnsiTheme="minorHAnsi" w:cstheme="minorHAnsi"/>
        </w:rPr>
        <w:t xml:space="preserve"> </w:t>
      </w:r>
      <w:r w:rsidR="00E67319">
        <w:rPr>
          <w:rFonts w:asciiTheme="minorHAnsi" w:hAnsiTheme="minorHAnsi" w:cstheme="minorHAnsi"/>
        </w:rPr>
        <w:t>prescribers</w:t>
      </w:r>
      <w:r w:rsidR="00FC49C3">
        <w:rPr>
          <w:rFonts w:asciiTheme="minorHAnsi" w:hAnsiTheme="minorHAnsi" w:cstheme="minorHAnsi"/>
        </w:rPr>
        <w:t xml:space="preserve">, </w:t>
      </w:r>
      <w:r w:rsidR="00E67319">
        <w:rPr>
          <w:rFonts w:asciiTheme="minorHAnsi" w:hAnsiTheme="minorHAnsi" w:cstheme="minorHAnsi"/>
        </w:rPr>
        <w:t>where required</w:t>
      </w:r>
      <w:r w:rsidR="00FC49C3">
        <w:rPr>
          <w:rFonts w:asciiTheme="minorHAnsi" w:hAnsiTheme="minorHAnsi" w:cstheme="minorHAnsi"/>
        </w:rPr>
        <w:t>,</w:t>
      </w:r>
      <w:r w:rsidR="00E67319">
        <w:rPr>
          <w:rFonts w:asciiTheme="minorHAnsi" w:hAnsiTheme="minorHAnsi" w:cstheme="minorHAnsi"/>
        </w:rPr>
        <w:t xml:space="preserve"> about the purpose for which the medication is prescribed, thereby enabling the provider to determine whether the use of the medication should be reported </w:t>
      </w:r>
      <w:r w:rsidR="00FC49C3">
        <w:rPr>
          <w:rFonts w:asciiTheme="minorHAnsi" w:hAnsiTheme="minorHAnsi" w:cstheme="minorHAnsi"/>
        </w:rPr>
        <w:t>to</w:t>
      </w:r>
      <w:r w:rsidR="00E67319">
        <w:rPr>
          <w:rFonts w:asciiTheme="minorHAnsi" w:hAnsiTheme="minorHAnsi" w:cstheme="minorHAnsi"/>
        </w:rPr>
        <w:t xml:space="preserve"> the NDIS Commission as a chemical restraint, or contained in a behaviour support plan</w:t>
      </w:r>
      <w:r>
        <w:rPr>
          <w:rFonts w:asciiTheme="minorHAnsi" w:hAnsiTheme="minorHAnsi" w:cstheme="minorHAnsi"/>
        </w:rPr>
        <w:t xml:space="preserve">. </w:t>
      </w:r>
    </w:p>
    <w:p w14:paraId="4D9FD89A" w14:textId="77777777" w:rsidR="007871A9" w:rsidRDefault="007871A9">
      <w:pPr>
        <w:rPr>
          <w:rFonts w:asciiTheme="minorHAnsi" w:eastAsiaTheme="majorEastAsia" w:hAnsiTheme="minorHAnsi" w:cstheme="minorHAnsi"/>
          <w:b/>
          <w:bCs/>
          <w:sz w:val="32"/>
          <w:szCs w:val="28"/>
        </w:rPr>
      </w:pPr>
      <w:bookmarkStart w:id="19" w:name="_Toc90626685"/>
      <w:r>
        <w:rPr>
          <w:rFonts w:asciiTheme="minorHAnsi" w:eastAsiaTheme="majorEastAsia" w:hAnsiTheme="minorHAnsi" w:cstheme="minorHAnsi"/>
          <w:b/>
          <w:bCs/>
          <w:sz w:val="32"/>
          <w:szCs w:val="28"/>
        </w:rPr>
        <w:br w:type="page"/>
      </w:r>
    </w:p>
    <w:p w14:paraId="08456A5C" w14:textId="77777777" w:rsidR="00BF04DC" w:rsidRPr="00764BE0" w:rsidRDefault="00C60E5E" w:rsidP="007871A9">
      <w:pPr>
        <w:pBdr>
          <w:bottom w:val="single" w:sz="4" w:space="1" w:color="auto"/>
        </w:pBdr>
        <w:spacing w:before="480" w:after="0"/>
        <w:contextualSpacing/>
        <w:outlineLvl w:val="0"/>
        <w:rPr>
          <w:rFonts w:asciiTheme="minorHAnsi" w:eastAsiaTheme="majorEastAsia" w:hAnsiTheme="minorHAnsi" w:cstheme="minorHAnsi"/>
          <w:b/>
          <w:bCs/>
          <w:sz w:val="32"/>
          <w:szCs w:val="28"/>
        </w:rPr>
      </w:pPr>
      <w:r>
        <w:rPr>
          <w:rFonts w:asciiTheme="minorHAnsi" w:eastAsiaTheme="majorEastAsia" w:hAnsiTheme="minorHAnsi" w:cstheme="minorHAnsi"/>
          <w:b/>
          <w:bCs/>
          <w:sz w:val="32"/>
          <w:szCs w:val="28"/>
        </w:rPr>
        <w:lastRenderedPageBreak/>
        <w:t xml:space="preserve">NDIS providers that notified URPs </w:t>
      </w:r>
      <w:bookmarkEnd w:id="19"/>
    </w:p>
    <w:p w14:paraId="6A0DF9CD" w14:textId="77777777" w:rsidR="00C60E5E" w:rsidRDefault="004C3DB1" w:rsidP="004C1725">
      <w:pPr>
        <w:spacing w:line="240" w:lineRule="auto"/>
        <w:rPr>
          <w:rFonts w:asciiTheme="minorHAnsi" w:hAnsiTheme="minorHAnsi" w:cstheme="minorHAnsi"/>
        </w:rPr>
      </w:pPr>
      <w:r w:rsidRPr="005B3540">
        <w:rPr>
          <w:rFonts w:asciiTheme="minorHAnsi" w:hAnsiTheme="minorHAnsi" w:cstheme="minorHAnsi"/>
        </w:rPr>
        <w:fldChar w:fldCharType="begin"/>
      </w:r>
      <w:r w:rsidRPr="00667C0C">
        <w:rPr>
          <w:rFonts w:asciiTheme="minorHAnsi" w:hAnsiTheme="minorHAnsi" w:cstheme="minorHAnsi"/>
        </w:rPr>
        <w:instrText xml:space="preserve"> REF _Ref92718098 \h </w:instrText>
      </w:r>
      <w:r>
        <w:rPr>
          <w:rFonts w:asciiTheme="minorHAnsi" w:hAnsiTheme="minorHAnsi" w:cstheme="minorHAnsi"/>
        </w:rPr>
        <w:instrText xml:space="preserve"> \* MERGEFORMAT </w:instrText>
      </w:r>
      <w:r w:rsidRPr="005B3540">
        <w:rPr>
          <w:rFonts w:asciiTheme="minorHAnsi" w:hAnsiTheme="minorHAnsi" w:cstheme="minorHAnsi"/>
        </w:rPr>
      </w:r>
      <w:r w:rsidRPr="005B3540">
        <w:rPr>
          <w:rFonts w:asciiTheme="minorHAnsi" w:hAnsiTheme="minorHAnsi" w:cstheme="minorHAnsi"/>
        </w:rPr>
        <w:fldChar w:fldCharType="separate"/>
      </w:r>
      <w:r w:rsidRPr="005B3540">
        <w:rPr>
          <w:rFonts w:asciiTheme="minorHAnsi" w:hAnsiTheme="minorHAnsi" w:cstheme="minorHAnsi"/>
        </w:rPr>
        <w:t xml:space="preserve">Table </w:t>
      </w:r>
      <w:r w:rsidRPr="00667C0C">
        <w:rPr>
          <w:rFonts w:asciiTheme="minorHAnsi" w:hAnsiTheme="minorHAnsi" w:cstheme="minorHAnsi"/>
        </w:rPr>
        <w:t>9</w:t>
      </w:r>
      <w:r w:rsidRPr="005B3540">
        <w:rPr>
          <w:rFonts w:asciiTheme="minorHAnsi" w:hAnsiTheme="minorHAnsi" w:cstheme="minorHAnsi"/>
        </w:rPr>
        <w:fldChar w:fldCharType="end"/>
      </w:r>
      <w:r w:rsidRPr="005B3540">
        <w:rPr>
          <w:rFonts w:asciiTheme="minorHAnsi" w:hAnsiTheme="minorHAnsi" w:cstheme="minorHAnsi"/>
        </w:rPr>
        <w:t xml:space="preserve"> </w:t>
      </w:r>
      <w:r w:rsidR="00C60E5E">
        <w:rPr>
          <w:rFonts w:asciiTheme="minorHAnsi" w:hAnsiTheme="minorHAnsi" w:cstheme="minorHAnsi"/>
        </w:rPr>
        <w:t>below shows:</w:t>
      </w:r>
    </w:p>
    <w:p w14:paraId="35351806" w14:textId="7DC3FFB1" w:rsidR="00C60E5E" w:rsidRDefault="00C60E5E"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 xml:space="preserve">the number of providers in each </w:t>
      </w:r>
      <w:r w:rsidR="001255C1">
        <w:rPr>
          <w:rFonts w:asciiTheme="minorHAnsi" w:hAnsiTheme="minorHAnsi" w:cstheme="minorHAnsi"/>
        </w:rPr>
        <w:t>s</w:t>
      </w:r>
      <w:r>
        <w:rPr>
          <w:rFonts w:asciiTheme="minorHAnsi" w:hAnsiTheme="minorHAnsi" w:cstheme="minorHAnsi"/>
        </w:rPr>
        <w:t xml:space="preserve">tate and </w:t>
      </w:r>
      <w:r w:rsidR="001255C1">
        <w:rPr>
          <w:rFonts w:asciiTheme="minorHAnsi" w:hAnsiTheme="minorHAnsi" w:cstheme="minorHAnsi"/>
        </w:rPr>
        <w:t>t</w:t>
      </w:r>
      <w:r>
        <w:rPr>
          <w:rFonts w:asciiTheme="minorHAnsi" w:hAnsiTheme="minorHAnsi" w:cstheme="minorHAnsi"/>
        </w:rPr>
        <w:t>erritory that reported URPs in 2020-21</w:t>
      </w:r>
      <w:r w:rsidR="00B13522">
        <w:rPr>
          <w:rFonts w:asciiTheme="minorHAnsi" w:hAnsiTheme="minorHAnsi" w:cstheme="minorHAnsi"/>
        </w:rPr>
        <w:t>;</w:t>
      </w:r>
    </w:p>
    <w:p w14:paraId="50E75CE5" w14:textId="54828140" w:rsidR="004E6074" w:rsidRDefault="004E6074"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the number of individual instances of URPs in 2020-21</w:t>
      </w:r>
      <w:r w:rsidR="00C36330">
        <w:rPr>
          <w:rFonts w:asciiTheme="minorHAnsi" w:hAnsiTheme="minorHAnsi" w:cstheme="minorHAnsi"/>
        </w:rPr>
        <w:t>;</w:t>
      </w:r>
    </w:p>
    <w:p w14:paraId="56E3984E" w14:textId="1DEA7DF1" w:rsidR="004E6074" w:rsidRPr="00B13522" w:rsidRDefault="004E6074" w:rsidP="003A1DA0">
      <w:pPr>
        <w:pStyle w:val="ListParagraph"/>
        <w:numPr>
          <w:ilvl w:val="0"/>
          <w:numId w:val="1"/>
        </w:numPr>
        <w:ind w:left="714" w:hanging="357"/>
        <w:contextualSpacing w:val="0"/>
        <w:rPr>
          <w:rFonts w:asciiTheme="minorHAnsi" w:hAnsiTheme="minorHAnsi" w:cstheme="minorHAnsi"/>
        </w:rPr>
      </w:pPr>
      <w:r w:rsidRPr="00B13522">
        <w:rPr>
          <w:rFonts w:asciiTheme="minorHAnsi" w:hAnsiTheme="minorHAnsi" w:cstheme="minorHAnsi"/>
        </w:rPr>
        <w:t>the number of individual instances of URPs in 2020-21 that were notified by the 10 providers who notified the highest numbers of URPs in 2020-21</w:t>
      </w:r>
      <w:r w:rsidR="00D33346" w:rsidRPr="00B13522">
        <w:rPr>
          <w:rFonts w:asciiTheme="minorHAnsi" w:hAnsiTheme="minorHAnsi" w:cstheme="minorHAnsi"/>
        </w:rPr>
        <w:t xml:space="preserve"> in the relevant </w:t>
      </w:r>
      <w:r w:rsidR="001255C1">
        <w:rPr>
          <w:rFonts w:asciiTheme="minorHAnsi" w:hAnsiTheme="minorHAnsi" w:cstheme="minorHAnsi"/>
        </w:rPr>
        <w:t>s</w:t>
      </w:r>
      <w:r w:rsidR="00D33346" w:rsidRPr="00B13522">
        <w:rPr>
          <w:rFonts w:asciiTheme="minorHAnsi" w:hAnsiTheme="minorHAnsi" w:cstheme="minorHAnsi"/>
        </w:rPr>
        <w:t xml:space="preserve">tate or </w:t>
      </w:r>
      <w:r w:rsidR="001255C1">
        <w:rPr>
          <w:rFonts w:asciiTheme="minorHAnsi" w:hAnsiTheme="minorHAnsi" w:cstheme="minorHAnsi"/>
        </w:rPr>
        <w:t>t</w:t>
      </w:r>
      <w:r w:rsidR="00D33346" w:rsidRPr="00B13522">
        <w:rPr>
          <w:rFonts w:asciiTheme="minorHAnsi" w:hAnsiTheme="minorHAnsi" w:cstheme="minorHAnsi"/>
        </w:rPr>
        <w:t>erritory or nationally</w:t>
      </w:r>
      <w:r w:rsidRPr="00B13522">
        <w:rPr>
          <w:rFonts w:asciiTheme="minorHAnsi" w:hAnsiTheme="minorHAnsi" w:cstheme="minorHAnsi"/>
        </w:rPr>
        <w:t xml:space="preserve"> (the ‘top 10 providers’</w:t>
      </w:r>
      <w:r w:rsidR="00D33346" w:rsidRPr="00B13522">
        <w:rPr>
          <w:rFonts w:asciiTheme="minorHAnsi" w:hAnsiTheme="minorHAnsi" w:cstheme="minorHAnsi"/>
        </w:rPr>
        <w:t>, noting that the group of top 10 providers will be different in each State or Territory and nationally</w:t>
      </w:r>
      <w:r w:rsidRPr="00B13522">
        <w:rPr>
          <w:rFonts w:asciiTheme="minorHAnsi" w:hAnsiTheme="minorHAnsi" w:cstheme="minorHAnsi"/>
        </w:rPr>
        <w:t>)</w:t>
      </w:r>
      <w:r w:rsidR="00B13522" w:rsidRPr="00B13522">
        <w:rPr>
          <w:rFonts w:asciiTheme="minorHAnsi" w:hAnsiTheme="minorHAnsi" w:cstheme="minorHAnsi"/>
        </w:rPr>
        <w:t>;</w:t>
      </w:r>
    </w:p>
    <w:p w14:paraId="7456BD60" w14:textId="34D01A3E" w:rsidR="004C1725" w:rsidRPr="001255C1" w:rsidRDefault="004E6074" w:rsidP="003A1DA0">
      <w:pPr>
        <w:pStyle w:val="ListParagraph"/>
        <w:numPr>
          <w:ilvl w:val="0"/>
          <w:numId w:val="1"/>
        </w:numPr>
        <w:ind w:left="714" w:hanging="357"/>
        <w:contextualSpacing w:val="0"/>
        <w:rPr>
          <w:rFonts w:cs="Arial"/>
          <w:caps/>
          <w:sz w:val="24"/>
        </w:rPr>
      </w:pPr>
      <w:r w:rsidRPr="00B13522">
        <w:rPr>
          <w:rFonts w:asciiTheme="minorHAnsi" w:hAnsiTheme="minorHAnsi" w:cstheme="minorHAnsi"/>
        </w:rPr>
        <w:t xml:space="preserve">the percentage of URPs in 2020-21 that were notified by the </w:t>
      </w:r>
      <w:r w:rsidR="00D33346" w:rsidRPr="00B13522">
        <w:rPr>
          <w:rFonts w:asciiTheme="minorHAnsi" w:hAnsiTheme="minorHAnsi" w:cstheme="minorHAnsi"/>
        </w:rPr>
        <w:t xml:space="preserve">relevant group of </w:t>
      </w:r>
      <w:r w:rsidRPr="00B13522">
        <w:rPr>
          <w:rFonts w:asciiTheme="minorHAnsi" w:hAnsiTheme="minorHAnsi" w:cstheme="minorHAnsi"/>
        </w:rPr>
        <w:t>top 10 providers</w:t>
      </w:r>
      <w:r w:rsidR="00C36330">
        <w:rPr>
          <w:rFonts w:asciiTheme="minorHAnsi" w:hAnsiTheme="minorHAnsi" w:cstheme="minorHAnsi"/>
        </w:rPr>
        <w:t xml:space="preserve"> (for each state, or nationally)</w:t>
      </w:r>
      <w:r w:rsidRPr="00B13522">
        <w:rPr>
          <w:rFonts w:asciiTheme="minorHAnsi" w:hAnsiTheme="minorHAnsi" w:cstheme="minorHAnsi"/>
        </w:rPr>
        <w:t xml:space="preserve">. </w:t>
      </w:r>
    </w:p>
    <w:p w14:paraId="3EAC124C" w14:textId="77777777" w:rsidR="004C3DB1" w:rsidRPr="001255C1" w:rsidRDefault="004C3DB1" w:rsidP="00667C0C">
      <w:pPr>
        <w:pStyle w:val="Caption"/>
        <w:keepNext/>
        <w:rPr>
          <w:rFonts w:cs="Arial"/>
          <w:sz w:val="18"/>
        </w:rPr>
      </w:pPr>
      <w:bookmarkStart w:id="20" w:name="_Ref92718098"/>
      <w:r w:rsidRPr="001255C1">
        <w:rPr>
          <w:rFonts w:cs="Arial"/>
          <w:caps w:val="0"/>
          <w:sz w:val="18"/>
        </w:rPr>
        <w:t xml:space="preserve">Table </w:t>
      </w:r>
      <w:r w:rsidRPr="001255C1">
        <w:rPr>
          <w:rFonts w:cs="Arial"/>
          <w:sz w:val="18"/>
        </w:rPr>
        <w:fldChar w:fldCharType="begin"/>
      </w:r>
      <w:r w:rsidRPr="001255C1">
        <w:rPr>
          <w:rFonts w:cs="Arial"/>
          <w:sz w:val="18"/>
        </w:rPr>
        <w:instrText xml:space="preserve"> SEQ Table \* ARABIC </w:instrText>
      </w:r>
      <w:r w:rsidRPr="001255C1">
        <w:rPr>
          <w:rFonts w:cs="Arial"/>
          <w:sz w:val="18"/>
        </w:rPr>
        <w:fldChar w:fldCharType="separate"/>
      </w:r>
      <w:r w:rsidRPr="001255C1">
        <w:rPr>
          <w:rFonts w:cs="Arial"/>
          <w:noProof/>
          <w:sz w:val="18"/>
        </w:rPr>
        <w:t>9</w:t>
      </w:r>
      <w:r w:rsidRPr="001255C1">
        <w:rPr>
          <w:rFonts w:cs="Arial"/>
          <w:sz w:val="18"/>
        </w:rPr>
        <w:fldChar w:fldCharType="end"/>
      </w:r>
      <w:bookmarkEnd w:id="20"/>
      <w:r w:rsidRPr="001255C1">
        <w:rPr>
          <w:rFonts w:cs="Arial"/>
          <w:sz w:val="18"/>
        </w:rPr>
        <w:t xml:space="preserve"> - </w:t>
      </w:r>
      <w:r w:rsidRPr="001255C1">
        <w:rPr>
          <w:rFonts w:cs="Arial"/>
          <w:caps w:val="0"/>
          <w:sz w:val="18"/>
        </w:rPr>
        <w:t>providers reporting URPs in 2020-21 by state and territory and by highest usage</w:t>
      </w:r>
    </w:p>
    <w:tbl>
      <w:tblPr>
        <w:tblW w:w="5424" w:type="pct"/>
        <w:tblInd w:w="-289" w:type="dxa"/>
        <w:tblLook w:val="04A0" w:firstRow="1" w:lastRow="0" w:firstColumn="1" w:lastColumn="0" w:noHBand="0" w:noVBand="1"/>
      </w:tblPr>
      <w:tblGrid>
        <w:gridCol w:w="1953"/>
        <w:gridCol w:w="1954"/>
        <w:gridCol w:w="2015"/>
        <w:gridCol w:w="1954"/>
        <w:gridCol w:w="1954"/>
      </w:tblGrid>
      <w:tr w:rsidR="004C1725" w:rsidRPr="004E0A33" w14:paraId="435B48D5" w14:textId="77777777" w:rsidTr="00667C0C">
        <w:trPr>
          <w:trHeight w:val="1200"/>
        </w:trPr>
        <w:tc>
          <w:tcPr>
            <w:tcW w:w="99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46C25A" w14:textId="77777777" w:rsidR="004C1725" w:rsidRPr="00AD019A" w:rsidRDefault="004C1725" w:rsidP="00A90C2E">
            <w:pPr>
              <w:spacing w:after="0" w:line="240" w:lineRule="auto"/>
              <w:rPr>
                <w:rFonts w:ascii="Calibri" w:eastAsia="Times New Roman" w:hAnsi="Calibri" w:cs="Calibri"/>
                <w:b/>
                <w:bCs/>
                <w:color w:val="000000"/>
                <w:sz w:val="18"/>
                <w:szCs w:val="18"/>
                <w:lang w:eastAsia="en-AU"/>
              </w:rPr>
            </w:pPr>
            <w:r w:rsidRPr="00AD019A">
              <w:rPr>
                <w:rFonts w:ascii="Calibri" w:eastAsia="Times New Roman" w:hAnsi="Calibri" w:cs="Calibri"/>
                <w:b/>
                <w:bCs/>
                <w:color w:val="000000"/>
                <w:sz w:val="18"/>
                <w:szCs w:val="18"/>
                <w:lang w:eastAsia="en-AU"/>
              </w:rPr>
              <w:t>Jurisdiction</w:t>
            </w:r>
          </w:p>
        </w:tc>
        <w:tc>
          <w:tcPr>
            <w:tcW w:w="994" w:type="pct"/>
            <w:tcBorders>
              <w:top w:val="single" w:sz="4" w:space="0" w:color="auto"/>
              <w:left w:val="nil"/>
              <w:bottom w:val="single" w:sz="4" w:space="0" w:color="auto"/>
              <w:right w:val="dotted" w:sz="4" w:space="0" w:color="auto"/>
            </w:tcBorders>
            <w:shd w:val="clear" w:color="000000" w:fill="D9D9D9"/>
            <w:noWrap/>
            <w:vAlign w:val="center"/>
            <w:hideMark/>
          </w:tcPr>
          <w:p w14:paraId="379AE13F" w14:textId="77777777" w:rsidR="004C1725" w:rsidRPr="00AD019A" w:rsidRDefault="004C1725" w:rsidP="00A90C2E">
            <w:pPr>
              <w:spacing w:after="0" w:line="240" w:lineRule="auto"/>
              <w:jc w:val="center"/>
              <w:rPr>
                <w:rFonts w:ascii="Calibri" w:eastAsia="Times New Roman" w:hAnsi="Calibri" w:cs="Calibri"/>
                <w:b/>
                <w:bCs/>
                <w:color w:val="000000"/>
                <w:sz w:val="18"/>
                <w:szCs w:val="18"/>
                <w:lang w:eastAsia="en-AU"/>
              </w:rPr>
            </w:pPr>
            <w:r w:rsidRPr="00AD019A">
              <w:rPr>
                <w:rFonts w:ascii="Calibri" w:eastAsia="Times New Roman" w:hAnsi="Calibri" w:cs="Calibri"/>
                <w:b/>
                <w:bCs/>
                <w:color w:val="000000"/>
                <w:sz w:val="18"/>
                <w:szCs w:val="18"/>
                <w:lang w:eastAsia="en-AU"/>
              </w:rPr>
              <w:t># of providers</w:t>
            </w:r>
            <w:r w:rsidRPr="00AD019A">
              <w:rPr>
                <w:rStyle w:val="FootnoteReference"/>
                <w:rFonts w:ascii="Calibri" w:eastAsia="Times New Roman" w:hAnsi="Calibri" w:cs="Calibri"/>
                <w:b/>
                <w:bCs/>
                <w:color w:val="000000"/>
                <w:sz w:val="18"/>
                <w:szCs w:val="18"/>
                <w:lang w:eastAsia="en-AU"/>
              </w:rPr>
              <w:footnoteReference w:id="9"/>
            </w:r>
          </w:p>
        </w:tc>
        <w:tc>
          <w:tcPr>
            <w:tcW w:w="1025" w:type="pct"/>
            <w:tcBorders>
              <w:top w:val="single" w:sz="4" w:space="0" w:color="auto"/>
              <w:left w:val="nil"/>
              <w:bottom w:val="single" w:sz="4" w:space="0" w:color="auto"/>
              <w:right w:val="nil"/>
            </w:tcBorders>
            <w:shd w:val="clear" w:color="000000" w:fill="D9D9D9"/>
            <w:vAlign w:val="center"/>
            <w:hideMark/>
          </w:tcPr>
          <w:p w14:paraId="4BBFEC9A" w14:textId="77777777" w:rsidR="004C1725" w:rsidRPr="00AD019A" w:rsidRDefault="004C1725" w:rsidP="00A90C2E">
            <w:pPr>
              <w:spacing w:after="0" w:line="240" w:lineRule="auto"/>
              <w:jc w:val="center"/>
              <w:rPr>
                <w:rFonts w:ascii="Calibri" w:eastAsia="Times New Roman" w:hAnsi="Calibri" w:cs="Calibri"/>
                <w:b/>
                <w:bCs/>
                <w:color w:val="000000"/>
                <w:sz w:val="18"/>
                <w:szCs w:val="18"/>
                <w:lang w:eastAsia="en-AU"/>
              </w:rPr>
            </w:pPr>
            <w:r w:rsidRPr="00AD019A">
              <w:rPr>
                <w:rFonts w:ascii="Calibri" w:eastAsia="Times New Roman" w:hAnsi="Calibri" w:cs="Calibri"/>
                <w:b/>
                <w:bCs/>
                <w:color w:val="000000"/>
                <w:sz w:val="18"/>
                <w:szCs w:val="18"/>
                <w:lang w:eastAsia="en-AU"/>
              </w:rPr>
              <w:t># Instances of unauthorised restrictive practices implemented</w:t>
            </w:r>
          </w:p>
        </w:tc>
        <w:tc>
          <w:tcPr>
            <w:tcW w:w="994" w:type="pct"/>
            <w:tcBorders>
              <w:top w:val="single" w:sz="4" w:space="0" w:color="auto"/>
              <w:left w:val="nil"/>
              <w:bottom w:val="single" w:sz="4" w:space="0" w:color="auto"/>
              <w:right w:val="dotted" w:sz="4" w:space="0" w:color="auto"/>
            </w:tcBorders>
            <w:shd w:val="clear" w:color="000000" w:fill="D9D9D9"/>
            <w:vAlign w:val="center"/>
            <w:hideMark/>
          </w:tcPr>
          <w:p w14:paraId="1CE4AB10" w14:textId="77777777" w:rsidR="004C1725" w:rsidRPr="00AD019A" w:rsidRDefault="004C1725" w:rsidP="00A90C2E">
            <w:pPr>
              <w:spacing w:after="0" w:line="240" w:lineRule="auto"/>
              <w:jc w:val="center"/>
              <w:rPr>
                <w:rFonts w:ascii="Calibri" w:eastAsia="Times New Roman" w:hAnsi="Calibri" w:cs="Calibri"/>
                <w:b/>
                <w:bCs/>
                <w:color w:val="000000"/>
                <w:sz w:val="18"/>
                <w:szCs w:val="18"/>
                <w:lang w:eastAsia="en-AU"/>
              </w:rPr>
            </w:pPr>
            <w:r w:rsidRPr="00AD019A">
              <w:rPr>
                <w:rFonts w:ascii="Calibri" w:eastAsia="Times New Roman" w:hAnsi="Calibri" w:cs="Calibri"/>
                <w:b/>
                <w:bCs/>
                <w:color w:val="000000"/>
                <w:sz w:val="18"/>
                <w:szCs w:val="18"/>
                <w:lang w:eastAsia="en-AU"/>
              </w:rPr>
              <w:t># Instances of unauthorised restrictive practices implemented by top 10 providers</w:t>
            </w:r>
          </w:p>
        </w:tc>
        <w:tc>
          <w:tcPr>
            <w:tcW w:w="994" w:type="pct"/>
            <w:tcBorders>
              <w:top w:val="single" w:sz="4" w:space="0" w:color="auto"/>
              <w:left w:val="nil"/>
              <w:bottom w:val="single" w:sz="4" w:space="0" w:color="auto"/>
              <w:right w:val="single" w:sz="4" w:space="0" w:color="auto"/>
            </w:tcBorders>
            <w:shd w:val="clear" w:color="000000" w:fill="D9D9D9"/>
            <w:vAlign w:val="center"/>
            <w:hideMark/>
          </w:tcPr>
          <w:p w14:paraId="0B83337F" w14:textId="77777777" w:rsidR="004C1725" w:rsidRPr="00AD019A" w:rsidRDefault="004C1725" w:rsidP="00A90C2E">
            <w:pPr>
              <w:spacing w:after="0" w:line="240" w:lineRule="auto"/>
              <w:jc w:val="center"/>
              <w:rPr>
                <w:rFonts w:ascii="Calibri" w:eastAsia="Times New Roman" w:hAnsi="Calibri" w:cs="Calibri"/>
                <w:b/>
                <w:bCs/>
                <w:color w:val="000000"/>
                <w:sz w:val="18"/>
                <w:szCs w:val="18"/>
                <w:lang w:eastAsia="en-AU"/>
              </w:rPr>
            </w:pPr>
            <w:r w:rsidRPr="00AD019A">
              <w:rPr>
                <w:rFonts w:ascii="Calibri" w:eastAsia="Times New Roman" w:hAnsi="Calibri" w:cs="Calibri"/>
                <w:b/>
                <w:bCs/>
                <w:color w:val="000000"/>
                <w:sz w:val="18"/>
                <w:szCs w:val="18"/>
                <w:lang w:eastAsia="en-AU"/>
              </w:rPr>
              <w:t>% of unauthorised restrictive practices implemented by the top 10 providers</w:t>
            </w:r>
          </w:p>
        </w:tc>
      </w:tr>
      <w:tr w:rsidR="004C1725" w:rsidRPr="004E0A33" w14:paraId="05276667"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2005E7FA"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NSW</w:t>
            </w:r>
          </w:p>
        </w:tc>
        <w:tc>
          <w:tcPr>
            <w:tcW w:w="994" w:type="pct"/>
            <w:tcBorders>
              <w:top w:val="nil"/>
              <w:left w:val="nil"/>
              <w:bottom w:val="nil"/>
              <w:right w:val="dotted" w:sz="4" w:space="0" w:color="auto"/>
            </w:tcBorders>
            <w:shd w:val="clear" w:color="auto" w:fill="auto"/>
            <w:noWrap/>
            <w:vAlign w:val="bottom"/>
            <w:hideMark/>
          </w:tcPr>
          <w:p w14:paraId="1DA11812"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243</w:t>
            </w:r>
          </w:p>
        </w:tc>
        <w:tc>
          <w:tcPr>
            <w:tcW w:w="1025" w:type="pct"/>
            <w:tcBorders>
              <w:top w:val="nil"/>
              <w:left w:val="nil"/>
              <w:bottom w:val="nil"/>
              <w:right w:val="nil"/>
            </w:tcBorders>
            <w:shd w:val="clear" w:color="auto" w:fill="auto"/>
            <w:noWrap/>
            <w:vAlign w:val="bottom"/>
            <w:hideMark/>
          </w:tcPr>
          <w:p w14:paraId="4825317F"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360,722</w:t>
            </w:r>
          </w:p>
        </w:tc>
        <w:tc>
          <w:tcPr>
            <w:tcW w:w="994" w:type="pct"/>
            <w:tcBorders>
              <w:top w:val="nil"/>
              <w:left w:val="nil"/>
              <w:bottom w:val="nil"/>
              <w:right w:val="dotted" w:sz="4" w:space="0" w:color="auto"/>
            </w:tcBorders>
            <w:shd w:val="clear" w:color="auto" w:fill="auto"/>
            <w:noWrap/>
            <w:vAlign w:val="bottom"/>
            <w:hideMark/>
          </w:tcPr>
          <w:p w14:paraId="55E8AF80"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221,558</w:t>
            </w:r>
          </w:p>
        </w:tc>
        <w:tc>
          <w:tcPr>
            <w:tcW w:w="994" w:type="pct"/>
            <w:tcBorders>
              <w:top w:val="nil"/>
              <w:left w:val="nil"/>
              <w:bottom w:val="nil"/>
              <w:right w:val="single" w:sz="4" w:space="0" w:color="auto"/>
            </w:tcBorders>
            <w:shd w:val="clear" w:color="auto" w:fill="auto"/>
            <w:noWrap/>
            <w:vAlign w:val="bottom"/>
            <w:hideMark/>
          </w:tcPr>
          <w:p w14:paraId="5AA19D96"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61%</w:t>
            </w:r>
          </w:p>
        </w:tc>
      </w:tr>
      <w:tr w:rsidR="004C1725" w:rsidRPr="004E0A33" w14:paraId="0E78083D"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539027E7"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VIC</w:t>
            </w:r>
          </w:p>
        </w:tc>
        <w:tc>
          <w:tcPr>
            <w:tcW w:w="994" w:type="pct"/>
            <w:tcBorders>
              <w:top w:val="nil"/>
              <w:left w:val="nil"/>
              <w:bottom w:val="nil"/>
              <w:right w:val="dotted" w:sz="4" w:space="0" w:color="auto"/>
            </w:tcBorders>
            <w:shd w:val="clear" w:color="auto" w:fill="auto"/>
            <w:noWrap/>
            <w:vAlign w:val="bottom"/>
            <w:hideMark/>
          </w:tcPr>
          <w:p w14:paraId="5C57A262"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161</w:t>
            </w:r>
          </w:p>
        </w:tc>
        <w:tc>
          <w:tcPr>
            <w:tcW w:w="1025" w:type="pct"/>
            <w:tcBorders>
              <w:top w:val="nil"/>
              <w:left w:val="nil"/>
              <w:bottom w:val="nil"/>
              <w:right w:val="nil"/>
            </w:tcBorders>
            <w:shd w:val="clear" w:color="auto" w:fill="auto"/>
            <w:noWrap/>
            <w:vAlign w:val="bottom"/>
            <w:hideMark/>
          </w:tcPr>
          <w:p w14:paraId="28FD5ECC"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163,580</w:t>
            </w:r>
          </w:p>
        </w:tc>
        <w:tc>
          <w:tcPr>
            <w:tcW w:w="994" w:type="pct"/>
            <w:tcBorders>
              <w:top w:val="nil"/>
              <w:left w:val="nil"/>
              <w:bottom w:val="nil"/>
              <w:right w:val="dotted" w:sz="4" w:space="0" w:color="auto"/>
            </w:tcBorders>
            <w:shd w:val="clear" w:color="auto" w:fill="auto"/>
            <w:noWrap/>
            <w:vAlign w:val="bottom"/>
            <w:hideMark/>
          </w:tcPr>
          <w:p w14:paraId="1B2A7FBE"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106,840</w:t>
            </w:r>
          </w:p>
        </w:tc>
        <w:tc>
          <w:tcPr>
            <w:tcW w:w="994" w:type="pct"/>
            <w:tcBorders>
              <w:top w:val="nil"/>
              <w:left w:val="nil"/>
              <w:bottom w:val="nil"/>
              <w:right w:val="single" w:sz="4" w:space="0" w:color="auto"/>
            </w:tcBorders>
            <w:shd w:val="clear" w:color="auto" w:fill="auto"/>
            <w:noWrap/>
            <w:vAlign w:val="bottom"/>
            <w:hideMark/>
          </w:tcPr>
          <w:p w14:paraId="48736860"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65%</w:t>
            </w:r>
          </w:p>
        </w:tc>
      </w:tr>
      <w:tr w:rsidR="004C1725" w:rsidRPr="004E0A33" w14:paraId="7948351D"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2DE0CC13"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QLD</w:t>
            </w:r>
          </w:p>
        </w:tc>
        <w:tc>
          <w:tcPr>
            <w:tcW w:w="994" w:type="pct"/>
            <w:tcBorders>
              <w:top w:val="nil"/>
              <w:left w:val="nil"/>
              <w:bottom w:val="nil"/>
              <w:right w:val="dotted" w:sz="4" w:space="0" w:color="auto"/>
            </w:tcBorders>
            <w:shd w:val="clear" w:color="auto" w:fill="auto"/>
            <w:noWrap/>
            <w:vAlign w:val="bottom"/>
            <w:hideMark/>
          </w:tcPr>
          <w:p w14:paraId="2401CC6C"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222</w:t>
            </w:r>
          </w:p>
        </w:tc>
        <w:tc>
          <w:tcPr>
            <w:tcW w:w="1025" w:type="pct"/>
            <w:tcBorders>
              <w:top w:val="nil"/>
              <w:left w:val="nil"/>
              <w:bottom w:val="nil"/>
              <w:right w:val="nil"/>
            </w:tcBorders>
            <w:shd w:val="clear" w:color="auto" w:fill="auto"/>
            <w:noWrap/>
            <w:vAlign w:val="bottom"/>
            <w:hideMark/>
          </w:tcPr>
          <w:p w14:paraId="740C04B4"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101,580</w:t>
            </w:r>
          </w:p>
        </w:tc>
        <w:tc>
          <w:tcPr>
            <w:tcW w:w="994" w:type="pct"/>
            <w:tcBorders>
              <w:top w:val="nil"/>
              <w:left w:val="nil"/>
              <w:bottom w:val="nil"/>
              <w:right w:val="dotted" w:sz="4" w:space="0" w:color="auto"/>
            </w:tcBorders>
            <w:shd w:val="clear" w:color="auto" w:fill="auto"/>
            <w:noWrap/>
            <w:vAlign w:val="bottom"/>
            <w:hideMark/>
          </w:tcPr>
          <w:p w14:paraId="0C1D5372"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66,992</w:t>
            </w:r>
          </w:p>
        </w:tc>
        <w:tc>
          <w:tcPr>
            <w:tcW w:w="994" w:type="pct"/>
            <w:tcBorders>
              <w:top w:val="nil"/>
              <w:left w:val="nil"/>
              <w:bottom w:val="nil"/>
              <w:right w:val="single" w:sz="4" w:space="0" w:color="auto"/>
            </w:tcBorders>
            <w:shd w:val="clear" w:color="auto" w:fill="auto"/>
            <w:noWrap/>
            <w:vAlign w:val="bottom"/>
            <w:hideMark/>
          </w:tcPr>
          <w:p w14:paraId="5C16FF2C"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66%</w:t>
            </w:r>
          </w:p>
        </w:tc>
      </w:tr>
      <w:tr w:rsidR="004C1725" w:rsidRPr="004E0A33" w14:paraId="48F7DACA"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622A9C95"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WA</w:t>
            </w:r>
          </w:p>
        </w:tc>
        <w:tc>
          <w:tcPr>
            <w:tcW w:w="994" w:type="pct"/>
            <w:tcBorders>
              <w:top w:val="nil"/>
              <w:left w:val="nil"/>
              <w:bottom w:val="nil"/>
              <w:right w:val="dotted" w:sz="4" w:space="0" w:color="auto"/>
            </w:tcBorders>
            <w:shd w:val="clear" w:color="auto" w:fill="auto"/>
            <w:noWrap/>
            <w:vAlign w:val="bottom"/>
            <w:hideMark/>
          </w:tcPr>
          <w:p w14:paraId="17C5F47F"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72</w:t>
            </w:r>
          </w:p>
        </w:tc>
        <w:tc>
          <w:tcPr>
            <w:tcW w:w="1025" w:type="pct"/>
            <w:tcBorders>
              <w:top w:val="nil"/>
              <w:left w:val="nil"/>
              <w:bottom w:val="nil"/>
              <w:right w:val="nil"/>
            </w:tcBorders>
            <w:shd w:val="clear" w:color="auto" w:fill="auto"/>
            <w:noWrap/>
            <w:vAlign w:val="bottom"/>
            <w:hideMark/>
          </w:tcPr>
          <w:p w14:paraId="204162FD"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53,056</w:t>
            </w:r>
          </w:p>
        </w:tc>
        <w:tc>
          <w:tcPr>
            <w:tcW w:w="994" w:type="pct"/>
            <w:tcBorders>
              <w:top w:val="nil"/>
              <w:left w:val="nil"/>
              <w:bottom w:val="nil"/>
              <w:right w:val="dotted" w:sz="4" w:space="0" w:color="auto"/>
            </w:tcBorders>
            <w:shd w:val="clear" w:color="auto" w:fill="auto"/>
            <w:noWrap/>
            <w:vAlign w:val="bottom"/>
            <w:hideMark/>
          </w:tcPr>
          <w:p w14:paraId="077F35E4"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42,825</w:t>
            </w:r>
          </w:p>
        </w:tc>
        <w:tc>
          <w:tcPr>
            <w:tcW w:w="994" w:type="pct"/>
            <w:tcBorders>
              <w:top w:val="nil"/>
              <w:left w:val="nil"/>
              <w:bottom w:val="nil"/>
              <w:right w:val="single" w:sz="4" w:space="0" w:color="auto"/>
            </w:tcBorders>
            <w:shd w:val="clear" w:color="auto" w:fill="auto"/>
            <w:noWrap/>
            <w:vAlign w:val="bottom"/>
            <w:hideMark/>
          </w:tcPr>
          <w:p w14:paraId="36432539"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81%</w:t>
            </w:r>
          </w:p>
        </w:tc>
      </w:tr>
      <w:tr w:rsidR="004C1725" w:rsidRPr="004E0A33" w14:paraId="52F12DBB"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6791647A"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SA</w:t>
            </w:r>
          </w:p>
        </w:tc>
        <w:tc>
          <w:tcPr>
            <w:tcW w:w="994" w:type="pct"/>
            <w:tcBorders>
              <w:top w:val="nil"/>
              <w:left w:val="nil"/>
              <w:bottom w:val="nil"/>
              <w:right w:val="dotted" w:sz="4" w:space="0" w:color="auto"/>
            </w:tcBorders>
            <w:shd w:val="clear" w:color="auto" w:fill="auto"/>
            <w:noWrap/>
            <w:vAlign w:val="bottom"/>
            <w:hideMark/>
          </w:tcPr>
          <w:p w14:paraId="4FC88824"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102</w:t>
            </w:r>
          </w:p>
        </w:tc>
        <w:tc>
          <w:tcPr>
            <w:tcW w:w="1025" w:type="pct"/>
            <w:tcBorders>
              <w:top w:val="nil"/>
              <w:left w:val="nil"/>
              <w:bottom w:val="nil"/>
              <w:right w:val="nil"/>
            </w:tcBorders>
            <w:shd w:val="clear" w:color="auto" w:fill="auto"/>
            <w:noWrap/>
            <w:vAlign w:val="bottom"/>
            <w:hideMark/>
          </w:tcPr>
          <w:p w14:paraId="5B1BB587"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169,895</w:t>
            </w:r>
          </w:p>
        </w:tc>
        <w:tc>
          <w:tcPr>
            <w:tcW w:w="994" w:type="pct"/>
            <w:tcBorders>
              <w:top w:val="nil"/>
              <w:left w:val="nil"/>
              <w:bottom w:val="nil"/>
              <w:right w:val="dotted" w:sz="4" w:space="0" w:color="auto"/>
            </w:tcBorders>
            <w:shd w:val="clear" w:color="auto" w:fill="auto"/>
            <w:noWrap/>
            <w:vAlign w:val="bottom"/>
            <w:hideMark/>
          </w:tcPr>
          <w:p w14:paraId="510FDDD3"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124,816</w:t>
            </w:r>
          </w:p>
        </w:tc>
        <w:tc>
          <w:tcPr>
            <w:tcW w:w="994" w:type="pct"/>
            <w:tcBorders>
              <w:top w:val="nil"/>
              <w:left w:val="nil"/>
              <w:bottom w:val="nil"/>
              <w:right w:val="single" w:sz="4" w:space="0" w:color="auto"/>
            </w:tcBorders>
            <w:shd w:val="clear" w:color="auto" w:fill="auto"/>
            <w:noWrap/>
            <w:vAlign w:val="bottom"/>
            <w:hideMark/>
          </w:tcPr>
          <w:p w14:paraId="68BDC310"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73%</w:t>
            </w:r>
          </w:p>
        </w:tc>
      </w:tr>
      <w:tr w:rsidR="004C1725" w:rsidRPr="004E0A33" w14:paraId="15801E21"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09742E83"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TAS</w:t>
            </w:r>
          </w:p>
        </w:tc>
        <w:tc>
          <w:tcPr>
            <w:tcW w:w="994" w:type="pct"/>
            <w:tcBorders>
              <w:top w:val="nil"/>
              <w:left w:val="nil"/>
              <w:bottom w:val="nil"/>
              <w:right w:val="dotted" w:sz="4" w:space="0" w:color="auto"/>
            </w:tcBorders>
            <w:shd w:val="clear" w:color="auto" w:fill="auto"/>
            <w:noWrap/>
            <w:vAlign w:val="bottom"/>
            <w:hideMark/>
          </w:tcPr>
          <w:p w14:paraId="49290752"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44</w:t>
            </w:r>
          </w:p>
        </w:tc>
        <w:tc>
          <w:tcPr>
            <w:tcW w:w="1025" w:type="pct"/>
            <w:tcBorders>
              <w:top w:val="nil"/>
              <w:left w:val="nil"/>
              <w:bottom w:val="nil"/>
              <w:right w:val="nil"/>
            </w:tcBorders>
            <w:shd w:val="clear" w:color="auto" w:fill="auto"/>
            <w:noWrap/>
            <w:vAlign w:val="bottom"/>
            <w:hideMark/>
          </w:tcPr>
          <w:p w14:paraId="460AA350"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133,259</w:t>
            </w:r>
          </w:p>
        </w:tc>
        <w:tc>
          <w:tcPr>
            <w:tcW w:w="994" w:type="pct"/>
            <w:tcBorders>
              <w:top w:val="nil"/>
              <w:left w:val="nil"/>
              <w:bottom w:val="nil"/>
              <w:right w:val="dotted" w:sz="4" w:space="0" w:color="auto"/>
            </w:tcBorders>
            <w:shd w:val="clear" w:color="auto" w:fill="auto"/>
            <w:noWrap/>
            <w:vAlign w:val="bottom"/>
            <w:hideMark/>
          </w:tcPr>
          <w:p w14:paraId="21281BB1"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109,259</w:t>
            </w:r>
          </w:p>
        </w:tc>
        <w:tc>
          <w:tcPr>
            <w:tcW w:w="994" w:type="pct"/>
            <w:tcBorders>
              <w:top w:val="nil"/>
              <w:left w:val="nil"/>
              <w:bottom w:val="nil"/>
              <w:right w:val="single" w:sz="4" w:space="0" w:color="auto"/>
            </w:tcBorders>
            <w:shd w:val="clear" w:color="auto" w:fill="auto"/>
            <w:noWrap/>
            <w:vAlign w:val="bottom"/>
            <w:hideMark/>
          </w:tcPr>
          <w:p w14:paraId="1ABB10CC"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82%</w:t>
            </w:r>
          </w:p>
        </w:tc>
      </w:tr>
      <w:tr w:rsidR="004C1725" w:rsidRPr="004E0A33" w14:paraId="569D4F98"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6F109E6B"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ACT</w:t>
            </w:r>
          </w:p>
        </w:tc>
        <w:tc>
          <w:tcPr>
            <w:tcW w:w="994" w:type="pct"/>
            <w:tcBorders>
              <w:top w:val="nil"/>
              <w:left w:val="nil"/>
              <w:bottom w:val="nil"/>
              <w:right w:val="dotted" w:sz="4" w:space="0" w:color="auto"/>
            </w:tcBorders>
            <w:shd w:val="clear" w:color="auto" w:fill="auto"/>
            <w:noWrap/>
            <w:vAlign w:val="bottom"/>
            <w:hideMark/>
          </w:tcPr>
          <w:p w14:paraId="6B9A652E"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61</w:t>
            </w:r>
          </w:p>
        </w:tc>
        <w:tc>
          <w:tcPr>
            <w:tcW w:w="1025" w:type="pct"/>
            <w:tcBorders>
              <w:top w:val="nil"/>
              <w:left w:val="nil"/>
              <w:bottom w:val="nil"/>
              <w:right w:val="nil"/>
            </w:tcBorders>
            <w:shd w:val="clear" w:color="auto" w:fill="auto"/>
            <w:noWrap/>
            <w:vAlign w:val="bottom"/>
            <w:hideMark/>
          </w:tcPr>
          <w:p w14:paraId="1D288EB9"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14,035</w:t>
            </w:r>
          </w:p>
        </w:tc>
        <w:tc>
          <w:tcPr>
            <w:tcW w:w="994" w:type="pct"/>
            <w:tcBorders>
              <w:top w:val="nil"/>
              <w:left w:val="nil"/>
              <w:bottom w:val="nil"/>
              <w:right w:val="dotted" w:sz="4" w:space="0" w:color="auto"/>
            </w:tcBorders>
            <w:shd w:val="clear" w:color="auto" w:fill="auto"/>
            <w:noWrap/>
            <w:vAlign w:val="bottom"/>
            <w:hideMark/>
          </w:tcPr>
          <w:p w14:paraId="37F8102C"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11,070</w:t>
            </w:r>
          </w:p>
        </w:tc>
        <w:tc>
          <w:tcPr>
            <w:tcW w:w="994" w:type="pct"/>
            <w:tcBorders>
              <w:top w:val="nil"/>
              <w:left w:val="nil"/>
              <w:bottom w:val="nil"/>
              <w:right w:val="single" w:sz="4" w:space="0" w:color="auto"/>
            </w:tcBorders>
            <w:shd w:val="clear" w:color="auto" w:fill="auto"/>
            <w:noWrap/>
            <w:vAlign w:val="bottom"/>
            <w:hideMark/>
          </w:tcPr>
          <w:p w14:paraId="42912DF8"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79%</w:t>
            </w:r>
          </w:p>
        </w:tc>
      </w:tr>
      <w:tr w:rsidR="004C1725" w:rsidRPr="004E0A33" w14:paraId="27C2C00A" w14:textId="77777777" w:rsidTr="00667C0C">
        <w:trPr>
          <w:trHeight w:val="288"/>
        </w:trPr>
        <w:tc>
          <w:tcPr>
            <w:tcW w:w="993" w:type="pct"/>
            <w:tcBorders>
              <w:top w:val="nil"/>
              <w:left w:val="single" w:sz="4" w:space="0" w:color="auto"/>
              <w:bottom w:val="nil"/>
              <w:right w:val="single" w:sz="4" w:space="0" w:color="auto"/>
            </w:tcBorders>
            <w:shd w:val="clear" w:color="auto" w:fill="auto"/>
            <w:noWrap/>
            <w:vAlign w:val="bottom"/>
            <w:hideMark/>
          </w:tcPr>
          <w:p w14:paraId="6C036584" w14:textId="77777777" w:rsidR="004C1725" w:rsidRPr="004E0A33" w:rsidRDefault="004C1725" w:rsidP="00A90C2E">
            <w:pPr>
              <w:spacing w:after="0" w:line="240" w:lineRule="auto"/>
              <w:rPr>
                <w:rFonts w:ascii="Calibri" w:eastAsia="Times New Roman" w:hAnsi="Calibri" w:cs="Calibri"/>
                <w:color w:val="000000"/>
                <w:lang w:eastAsia="en-AU"/>
              </w:rPr>
            </w:pPr>
            <w:r w:rsidRPr="004E0A33">
              <w:rPr>
                <w:rFonts w:ascii="Calibri" w:eastAsia="Times New Roman" w:hAnsi="Calibri" w:cs="Calibri"/>
                <w:color w:val="000000"/>
                <w:lang w:eastAsia="en-AU"/>
              </w:rPr>
              <w:t>NT</w:t>
            </w:r>
          </w:p>
        </w:tc>
        <w:tc>
          <w:tcPr>
            <w:tcW w:w="994" w:type="pct"/>
            <w:tcBorders>
              <w:top w:val="nil"/>
              <w:left w:val="nil"/>
              <w:bottom w:val="nil"/>
              <w:right w:val="dotted" w:sz="4" w:space="0" w:color="auto"/>
            </w:tcBorders>
            <w:shd w:val="clear" w:color="auto" w:fill="auto"/>
            <w:noWrap/>
            <w:vAlign w:val="bottom"/>
            <w:hideMark/>
          </w:tcPr>
          <w:p w14:paraId="595A56FD"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25</w:t>
            </w:r>
          </w:p>
        </w:tc>
        <w:tc>
          <w:tcPr>
            <w:tcW w:w="1025" w:type="pct"/>
            <w:tcBorders>
              <w:top w:val="nil"/>
              <w:left w:val="nil"/>
              <w:bottom w:val="nil"/>
              <w:right w:val="nil"/>
            </w:tcBorders>
            <w:shd w:val="clear" w:color="auto" w:fill="auto"/>
            <w:noWrap/>
            <w:vAlign w:val="bottom"/>
            <w:hideMark/>
          </w:tcPr>
          <w:p w14:paraId="79C8003F"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35,937</w:t>
            </w:r>
          </w:p>
        </w:tc>
        <w:tc>
          <w:tcPr>
            <w:tcW w:w="994" w:type="pct"/>
            <w:tcBorders>
              <w:top w:val="nil"/>
              <w:left w:val="nil"/>
              <w:bottom w:val="nil"/>
              <w:right w:val="dotted" w:sz="4" w:space="0" w:color="auto"/>
            </w:tcBorders>
            <w:shd w:val="clear" w:color="auto" w:fill="auto"/>
            <w:noWrap/>
            <w:vAlign w:val="bottom"/>
            <w:hideMark/>
          </w:tcPr>
          <w:p w14:paraId="08BE7703"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33,357</w:t>
            </w:r>
          </w:p>
        </w:tc>
        <w:tc>
          <w:tcPr>
            <w:tcW w:w="994" w:type="pct"/>
            <w:tcBorders>
              <w:top w:val="nil"/>
              <w:left w:val="nil"/>
              <w:bottom w:val="nil"/>
              <w:right w:val="single" w:sz="4" w:space="0" w:color="auto"/>
            </w:tcBorders>
            <w:shd w:val="clear" w:color="auto" w:fill="auto"/>
            <w:noWrap/>
            <w:vAlign w:val="bottom"/>
            <w:hideMark/>
          </w:tcPr>
          <w:p w14:paraId="0DE866F7"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93%</w:t>
            </w:r>
          </w:p>
        </w:tc>
      </w:tr>
      <w:tr w:rsidR="004C1725" w:rsidRPr="004E0A33" w14:paraId="52048FC3" w14:textId="77777777" w:rsidTr="00667C0C">
        <w:trPr>
          <w:trHeight w:val="288"/>
        </w:trPr>
        <w:tc>
          <w:tcPr>
            <w:tcW w:w="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DFCD9" w14:textId="77777777" w:rsidR="004C1725" w:rsidRPr="004E0A33" w:rsidRDefault="004C1725" w:rsidP="00A90C2E">
            <w:pPr>
              <w:spacing w:after="0" w:line="240" w:lineRule="auto"/>
              <w:rPr>
                <w:rFonts w:ascii="Calibri" w:eastAsia="Times New Roman" w:hAnsi="Calibri" w:cs="Calibri"/>
                <w:b/>
                <w:bCs/>
                <w:color w:val="000000"/>
                <w:lang w:eastAsia="en-AU"/>
              </w:rPr>
            </w:pPr>
            <w:r w:rsidRPr="004E0A33">
              <w:rPr>
                <w:rFonts w:ascii="Calibri" w:eastAsia="Times New Roman" w:hAnsi="Calibri" w:cs="Calibri"/>
                <w:b/>
                <w:bCs/>
                <w:color w:val="000000"/>
                <w:lang w:eastAsia="en-AU"/>
              </w:rPr>
              <w:t>National</w:t>
            </w:r>
            <w:r w:rsidR="00CA2A45">
              <w:rPr>
                <w:rStyle w:val="FootnoteReference"/>
                <w:rFonts w:ascii="Calibri" w:eastAsia="Times New Roman" w:hAnsi="Calibri" w:cs="Calibri"/>
                <w:b/>
                <w:bCs/>
                <w:color w:val="000000"/>
                <w:lang w:eastAsia="en-AU"/>
              </w:rPr>
              <w:footnoteReference w:id="10"/>
            </w:r>
          </w:p>
        </w:tc>
        <w:tc>
          <w:tcPr>
            <w:tcW w:w="994" w:type="pct"/>
            <w:tcBorders>
              <w:top w:val="single" w:sz="4" w:space="0" w:color="auto"/>
              <w:left w:val="nil"/>
              <w:bottom w:val="single" w:sz="4" w:space="0" w:color="auto"/>
              <w:right w:val="dotted" w:sz="4" w:space="0" w:color="auto"/>
            </w:tcBorders>
            <w:shd w:val="clear" w:color="auto" w:fill="auto"/>
            <w:noWrap/>
            <w:vAlign w:val="bottom"/>
            <w:hideMark/>
          </w:tcPr>
          <w:p w14:paraId="4BE9FA08" w14:textId="77777777" w:rsidR="004C1725" w:rsidRPr="004E0A33" w:rsidRDefault="004C1725" w:rsidP="00A90C2E">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792</w:t>
            </w:r>
          </w:p>
        </w:tc>
        <w:tc>
          <w:tcPr>
            <w:tcW w:w="1025" w:type="pct"/>
            <w:tcBorders>
              <w:top w:val="single" w:sz="4" w:space="0" w:color="auto"/>
              <w:left w:val="nil"/>
              <w:bottom w:val="single" w:sz="4" w:space="0" w:color="auto"/>
              <w:right w:val="nil"/>
            </w:tcBorders>
            <w:shd w:val="clear" w:color="auto" w:fill="auto"/>
            <w:noWrap/>
            <w:vAlign w:val="bottom"/>
            <w:hideMark/>
          </w:tcPr>
          <w:p w14:paraId="6A29DFA4" w14:textId="77777777" w:rsidR="004C1725" w:rsidRPr="004E0A33" w:rsidRDefault="004C1725">
            <w:pPr>
              <w:spacing w:after="0" w:line="240" w:lineRule="auto"/>
              <w:jc w:val="center"/>
              <w:rPr>
                <w:rFonts w:ascii="Calibri" w:eastAsia="Times New Roman" w:hAnsi="Calibri" w:cs="Calibri"/>
                <w:color w:val="000000"/>
                <w:lang w:eastAsia="en-AU"/>
              </w:rPr>
            </w:pPr>
            <w:r w:rsidRPr="004E0A33">
              <w:rPr>
                <w:rFonts w:ascii="Calibri" w:eastAsia="Times New Roman" w:hAnsi="Calibri" w:cs="Calibri"/>
                <w:color w:val="000000"/>
                <w:lang w:eastAsia="en-AU"/>
              </w:rPr>
              <w:t>1,032,06</w:t>
            </w:r>
            <w:r w:rsidR="000258A5">
              <w:rPr>
                <w:rFonts w:ascii="Calibri" w:eastAsia="Times New Roman" w:hAnsi="Calibri" w:cs="Calibri"/>
                <w:color w:val="000000"/>
                <w:lang w:eastAsia="en-AU"/>
              </w:rPr>
              <w:t>4</w:t>
            </w:r>
          </w:p>
        </w:tc>
        <w:tc>
          <w:tcPr>
            <w:tcW w:w="994" w:type="pct"/>
            <w:tcBorders>
              <w:top w:val="single" w:sz="4" w:space="0" w:color="auto"/>
              <w:left w:val="nil"/>
              <w:bottom w:val="single" w:sz="4" w:space="0" w:color="auto"/>
              <w:right w:val="dotted" w:sz="4" w:space="0" w:color="auto"/>
            </w:tcBorders>
            <w:shd w:val="clear" w:color="auto" w:fill="auto"/>
            <w:noWrap/>
            <w:vAlign w:val="bottom"/>
            <w:hideMark/>
          </w:tcPr>
          <w:p w14:paraId="63759581" w14:textId="77777777" w:rsidR="004C1725" w:rsidRPr="004E0A33" w:rsidRDefault="00CA2A45" w:rsidP="004E6074">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380,654</w:t>
            </w:r>
          </w:p>
        </w:tc>
        <w:tc>
          <w:tcPr>
            <w:tcW w:w="994" w:type="pct"/>
            <w:tcBorders>
              <w:top w:val="single" w:sz="4" w:space="0" w:color="auto"/>
              <w:left w:val="nil"/>
              <w:bottom w:val="single" w:sz="4" w:space="0" w:color="auto"/>
              <w:right w:val="single" w:sz="4" w:space="0" w:color="auto"/>
            </w:tcBorders>
            <w:shd w:val="clear" w:color="auto" w:fill="auto"/>
            <w:noWrap/>
            <w:vAlign w:val="bottom"/>
            <w:hideMark/>
          </w:tcPr>
          <w:p w14:paraId="30F56A87" w14:textId="77777777" w:rsidR="004C1725" w:rsidRPr="004E0A33" w:rsidRDefault="00CA2A45" w:rsidP="00A90C2E">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37</w:t>
            </w:r>
            <w:r w:rsidR="004C1725" w:rsidRPr="004E0A33">
              <w:rPr>
                <w:rFonts w:ascii="Calibri" w:eastAsia="Times New Roman" w:hAnsi="Calibri" w:cs="Calibri"/>
                <w:color w:val="000000"/>
                <w:lang w:eastAsia="en-AU"/>
              </w:rPr>
              <w:t>%</w:t>
            </w:r>
          </w:p>
        </w:tc>
      </w:tr>
    </w:tbl>
    <w:p w14:paraId="140C1A10" w14:textId="77777777" w:rsidR="004C1725" w:rsidRPr="00764BE0" w:rsidRDefault="004C1725" w:rsidP="00BF04DC">
      <w:pPr>
        <w:rPr>
          <w:rFonts w:asciiTheme="minorHAnsi" w:hAnsiTheme="minorHAnsi" w:cstheme="minorHAnsi"/>
        </w:rPr>
      </w:pPr>
    </w:p>
    <w:p w14:paraId="2F5092B5" w14:textId="77777777" w:rsidR="004E6074" w:rsidRDefault="004E6074" w:rsidP="004E6074">
      <w:pPr>
        <w:rPr>
          <w:rFonts w:asciiTheme="minorHAnsi" w:hAnsiTheme="minorHAnsi" w:cstheme="minorHAnsi"/>
        </w:rPr>
      </w:pPr>
      <w:bookmarkStart w:id="21" w:name="_Toc90626686"/>
      <w:r w:rsidRPr="00AD019A">
        <w:rPr>
          <w:rFonts w:asciiTheme="minorHAnsi" w:hAnsiTheme="minorHAnsi" w:cstheme="minorHAnsi"/>
        </w:rPr>
        <w:t xml:space="preserve">In 2020-21, 792 </w:t>
      </w:r>
      <w:r>
        <w:rPr>
          <w:rFonts w:asciiTheme="minorHAnsi" w:hAnsiTheme="minorHAnsi" w:cstheme="minorHAnsi"/>
        </w:rPr>
        <w:t xml:space="preserve">registered NDIS </w:t>
      </w:r>
      <w:r w:rsidRPr="00AD019A">
        <w:rPr>
          <w:rFonts w:asciiTheme="minorHAnsi" w:hAnsiTheme="minorHAnsi" w:cstheme="minorHAnsi"/>
        </w:rPr>
        <w:t xml:space="preserve">providers </w:t>
      </w:r>
      <w:r>
        <w:rPr>
          <w:rFonts w:asciiTheme="minorHAnsi" w:hAnsiTheme="minorHAnsi" w:cstheme="minorHAnsi"/>
        </w:rPr>
        <w:t xml:space="preserve">notified the NDIS Commission of reportable incidents involving URPs in relation to the participants they support. </w:t>
      </w:r>
    </w:p>
    <w:p w14:paraId="4118FAC0" w14:textId="77777777" w:rsidR="004E6074" w:rsidRPr="00C6708F" w:rsidRDefault="004E6074" w:rsidP="004E6074">
      <w:pPr>
        <w:rPr>
          <w:rFonts w:asciiTheme="minorHAnsi" w:hAnsiTheme="minorHAnsi" w:cstheme="minorHAnsi"/>
        </w:rPr>
      </w:pPr>
      <w:r w:rsidRPr="00C6708F">
        <w:rPr>
          <w:rFonts w:asciiTheme="minorHAnsi" w:hAnsiTheme="minorHAnsi" w:cstheme="minorHAnsi"/>
        </w:rPr>
        <w:t xml:space="preserve">The number of </w:t>
      </w:r>
      <w:r>
        <w:rPr>
          <w:rFonts w:asciiTheme="minorHAnsi" w:hAnsiTheme="minorHAnsi" w:cstheme="minorHAnsi"/>
        </w:rPr>
        <w:t xml:space="preserve">URPs reported in Western Australia is likely to be an understatement as the NDIS Commission only commenced jurisdiction in Western Australia on 1 December 2020 and the transitional arrangements under the Restrictive Practices and Behaviour Support Rules applied in Western Australia following transition. </w:t>
      </w:r>
      <w:r>
        <w:rPr>
          <w:rFonts w:asciiTheme="minorHAnsi" w:hAnsiTheme="minorHAnsi" w:cstheme="minorHAnsi"/>
          <w:shd w:val="clear" w:color="auto" w:fill="FFFFFF"/>
        </w:rPr>
        <w:t>Some Western Australian providers are still transitioning to the full reporting requirements and so the number of reports of URPs in Western Australia may continue to grow in the 2021-21 reporting period</w:t>
      </w:r>
    </w:p>
    <w:p w14:paraId="76587F26" w14:textId="77777777" w:rsidR="004E6074" w:rsidRDefault="004E6074" w:rsidP="004E6074">
      <w:pPr>
        <w:rPr>
          <w:rFonts w:asciiTheme="minorHAnsi" w:hAnsiTheme="minorHAnsi" w:cstheme="minorHAnsi"/>
        </w:rPr>
      </w:pPr>
      <w:r>
        <w:rPr>
          <w:rFonts w:asciiTheme="minorHAnsi" w:hAnsiTheme="minorHAnsi" w:cstheme="minorHAnsi"/>
        </w:rPr>
        <w:lastRenderedPageBreak/>
        <w:t>The NDIS Commission analysed URPs reported in 2020-21 to identify the 10 providers that notified the most URPs in 2020-21.  The NDIS Commission then analysed the proportion of total URPs that were used by the top 10 providers</w:t>
      </w:r>
      <w:r w:rsidR="003B37A9">
        <w:rPr>
          <w:rFonts w:asciiTheme="minorHAnsi" w:hAnsiTheme="minorHAnsi" w:cstheme="minorHAnsi"/>
        </w:rPr>
        <w:t>.</w:t>
      </w:r>
      <w:r>
        <w:rPr>
          <w:rFonts w:asciiTheme="minorHAnsi" w:hAnsiTheme="minorHAnsi" w:cstheme="minorHAnsi"/>
        </w:rPr>
        <w:t xml:space="preserve"> </w:t>
      </w:r>
      <w:r w:rsidR="003B37A9">
        <w:rPr>
          <w:rFonts w:asciiTheme="minorHAnsi" w:hAnsiTheme="minorHAnsi" w:cstheme="minorHAnsi"/>
        </w:rPr>
        <w:t>These analyses show that a small number of providers (10) used most of the URPs notified in 2020-21 (69%). Excluding Western Australia, t</w:t>
      </w:r>
      <w:r w:rsidRPr="00AD019A">
        <w:rPr>
          <w:rFonts w:asciiTheme="minorHAnsi" w:hAnsiTheme="minorHAnsi" w:cstheme="minorHAnsi"/>
        </w:rPr>
        <w:t xml:space="preserve">he proportion of </w:t>
      </w:r>
      <w:r w:rsidR="003B37A9">
        <w:rPr>
          <w:rFonts w:asciiTheme="minorHAnsi" w:hAnsiTheme="minorHAnsi" w:cstheme="minorHAnsi"/>
        </w:rPr>
        <w:t xml:space="preserve">URPs used </w:t>
      </w:r>
      <w:r w:rsidRPr="00AD019A">
        <w:rPr>
          <w:rFonts w:asciiTheme="minorHAnsi" w:hAnsiTheme="minorHAnsi" w:cstheme="minorHAnsi"/>
        </w:rPr>
        <w:t xml:space="preserve">by the top 10 providers </w:t>
      </w:r>
      <w:r w:rsidR="003B37A9">
        <w:rPr>
          <w:rFonts w:asciiTheme="minorHAnsi" w:hAnsiTheme="minorHAnsi" w:cstheme="minorHAnsi"/>
        </w:rPr>
        <w:t xml:space="preserve">ranged from 61% to 66% </w:t>
      </w:r>
      <w:r w:rsidRPr="00AD019A">
        <w:rPr>
          <w:rFonts w:asciiTheme="minorHAnsi" w:hAnsiTheme="minorHAnsi" w:cstheme="minorHAnsi"/>
        </w:rPr>
        <w:t>in the larger states (</w:t>
      </w:r>
      <w:r w:rsidR="003B37A9">
        <w:rPr>
          <w:rFonts w:asciiTheme="minorHAnsi" w:hAnsiTheme="minorHAnsi" w:cstheme="minorHAnsi"/>
        </w:rPr>
        <w:t>New South Wales, Victoria and Queensland)</w:t>
      </w:r>
      <w:r w:rsidRPr="00AD019A">
        <w:rPr>
          <w:rFonts w:asciiTheme="minorHAnsi" w:hAnsiTheme="minorHAnsi" w:cstheme="minorHAnsi"/>
        </w:rPr>
        <w:t xml:space="preserve"> and </w:t>
      </w:r>
      <w:r w:rsidR="003B37A9">
        <w:rPr>
          <w:rFonts w:asciiTheme="minorHAnsi" w:hAnsiTheme="minorHAnsi" w:cstheme="minorHAnsi"/>
        </w:rPr>
        <w:t xml:space="preserve">from 73% to 93% in the smaller jurisdictions </w:t>
      </w:r>
      <w:r w:rsidRPr="00AD019A">
        <w:rPr>
          <w:rFonts w:asciiTheme="minorHAnsi" w:hAnsiTheme="minorHAnsi" w:cstheme="minorHAnsi"/>
        </w:rPr>
        <w:t>(</w:t>
      </w:r>
      <w:r w:rsidR="003B37A9">
        <w:rPr>
          <w:rFonts w:asciiTheme="minorHAnsi" w:hAnsiTheme="minorHAnsi" w:cstheme="minorHAnsi"/>
        </w:rPr>
        <w:t>South Australia, Tasmania, the Australian Capital Territory and the Northern Territory</w:t>
      </w:r>
      <w:r w:rsidRPr="00AD019A">
        <w:rPr>
          <w:rFonts w:asciiTheme="minorHAnsi" w:hAnsiTheme="minorHAnsi" w:cstheme="minorHAnsi"/>
        </w:rPr>
        <w:t xml:space="preserve">). </w:t>
      </w:r>
    </w:p>
    <w:p w14:paraId="3C12C81F" w14:textId="1E352F66" w:rsidR="00FC49C3" w:rsidRDefault="00FC49C3">
      <w:pPr>
        <w:rPr>
          <w:rFonts w:asciiTheme="minorHAnsi" w:hAnsiTheme="minorHAnsi" w:cstheme="minorHAnsi"/>
        </w:rPr>
      </w:pPr>
      <w:r>
        <w:rPr>
          <w:rFonts w:asciiTheme="minorHAnsi" w:hAnsiTheme="minorHAnsi" w:cstheme="minorHAnsi"/>
        </w:rPr>
        <w:br w:type="page"/>
      </w:r>
    </w:p>
    <w:p w14:paraId="189B7BA8" w14:textId="77777777" w:rsidR="00BF04DC" w:rsidRPr="00764BE0" w:rsidRDefault="00BF04DC" w:rsidP="00FC49C3">
      <w:pPr>
        <w:pStyle w:val="Heading1"/>
        <w:pBdr>
          <w:bottom w:val="single" w:sz="4" w:space="1" w:color="auto"/>
        </w:pBdr>
      </w:pPr>
      <w:r w:rsidRPr="00764BE0">
        <w:lastRenderedPageBreak/>
        <w:t xml:space="preserve">Reducing </w:t>
      </w:r>
      <w:bookmarkEnd w:id="21"/>
      <w:r w:rsidR="00CE344E">
        <w:t xml:space="preserve">URPs </w:t>
      </w:r>
    </w:p>
    <w:p w14:paraId="1FE3A012" w14:textId="77777777" w:rsidR="00BF04DC" w:rsidRPr="00764BE0" w:rsidRDefault="00BF04DC" w:rsidP="003B37A9">
      <w:pPr>
        <w:pStyle w:val="Heading2"/>
      </w:pPr>
      <w:bookmarkStart w:id="22" w:name="_Toc90626687"/>
      <w:r w:rsidRPr="00764BE0">
        <w:t>How the regulatory requirements are intended to work</w:t>
      </w:r>
      <w:bookmarkEnd w:id="22"/>
    </w:p>
    <w:p w14:paraId="7A808350" w14:textId="77777777" w:rsidR="00BF04DC" w:rsidRPr="00764BE0" w:rsidRDefault="00BF04DC" w:rsidP="00C838E0">
      <w:pPr>
        <w:rPr>
          <w:rFonts w:asciiTheme="minorHAnsi" w:hAnsiTheme="minorHAnsi" w:cstheme="minorHAnsi"/>
        </w:rPr>
      </w:pPr>
      <w:r w:rsidRPr="00764BE0">
        <w:rPr>
          <w:rFonts w:asciiTheme="minorHAnsi" w:hAnsiTheme="minorHAnsi" w:cstheme="minorHAnsi"/>
        </w:rPr>
        <w:t xml:space="preserve">Ideally, only single, emergency uses of restrictive practices by NDIS providers will be notified as reportable incidents, while all ongoing uses of restrictive practices by NDIS providers will be authorised (if required) and will occur in accordance with a behaviour support plan for the participant. Authorisation and behaviour support planning are the best way to uphold the human rights of affected participants and reduce and eliminate the use of restrictive practices. </w:t>
      </w:r>
    </w:p>
    <w:p w14:paraId="2F3A9DC8" w14:textId="77777777" w:rsidR="00BF04DC" w:rsidRPr="00764BE0" w:rsidRDefault="00BF04DC" w:rsidP="00C838E0">
      <w:pPr>
        <w:rPr>
          <w:rFonts w:asciiTheme="minorHAnsi" w:hAnsiTheme="minorHAnsi" w:cstheme="minorHAnsi"/>
        </w:rPr>
      </w:pPr>
      <w:r w:rsidRPr="00764BE0">
        <w:rPr>
          <w:rFonts w:asciiTheme="minorHAnsi" w:hAnsiTheme="minorHAnsi" w:cstheme="minorHAnsi"/>
        </w:rPr>
        <w:t>However, there are circumstances in which ongoing uses of restrictive practices will need to be notified as reportable incidents:</w:t>
      </w:r>
    </w:p>
    <w:p w14:paraId="76C3D619" w14:textId="77777777" w:rsidR="00BF04DC" w:rsidRPr="00764BE0" w:rsidRDefault="00BF04DC" w:rsidP="003A1DA0">
      <w:pPr>
        <w:numPr>
          <w:ilvl w:val="0"/>
          <w:numId w:val="14"/>
        </w:numPr>
        <w:rPr>
          <w:rFonts w:asciiTheme="minorHAnsi" w:hAnsiTheme="minorHAnsi" w:cstheme="minorHAnsi"/>
        </w:rPr>
      </w:pPr>
      <w:r w:rsidRPr="00764BE0">
        <w:rPr>
          <w:rFonts w:asciiTheme="minorHAnsi" w:hAnsiTheme="minorHAnsi" w:cstheme="minorHAnsi"/>
        </w:rPr>
        <w:t>when an NDIS provider starts using restrictive practices in relation to a participant, each use will need to be notified as a reportable incident until the restrictive practice is authorised (if required) and a behaviour support plan is prepared – this could occur when a person with disability first becomes a participant, when an NDIS provider first decides that it needs to use a restrictive practice in relation to a participant, or when a participant moves from being supported in the family home (where they are subject to restrictive practices used by family members) to supported accommodation (where the restrictive practices are used by an NDIS provider);</w:t>
      </w:r>
    </w:p>
    <w:p w14:paraId="51F9721F" w14:textId="77BD5292" w:rsidR="00BF04DC" w:rsidRPr="00764BE0" w:rsidRDefault="00BF04DC" w:rsidP="003A1DA0">
      <w:pPr>
        <w:numPr>
          <w:ilvl w:val="0"/>
          <w:numId w:val="14"/>
        </w:numPr>
        <w:rPr>
          <w:rFonts w:asciiTheme="minorHAnsi" w:hAnsiTheme="minorHAnsi" w:cstheme="minorHAnsi"/>
        </w:rPr>
      </w:pPr>
      <w:r w:rsidRPr="00764BE0">
        <w:rPr>
          <w:rFonts w:asciiTheme="minorHAnsi" w:hAnsiTheme="minorHAnsi" w:cstheme="minorHAnsi"/>
        </w:rPr>
        <w:t>when the restrictive practices being used in relation to a participant change so that a new restrictive practice is used – this could occur if the participant’s prescribing health practitioner changes the participant’s medication to a different medication or a different dosage or adds an additional medication, or if an additional type of environmental restraint is used i</w:t>
      </w:r>
      <w:r w:rsidR="001255C1">
        <w:rPr>
          <w:rFonts w:asciiTheme="minorHAnsi" w:hAnsiTheme="minorHAnsi" w:cstheme="minorHAnsi"/>
        </w:rPr>
        <w:t xml:space="preserve">n relation to the participant; </w:t>
      </w:r>
      <w:r w:rsidRPr="00764BE0">
        <w:rPr>
          <w:rFonts w:asciiTheme="minorHAnsi" w:hAnsiTheme="minorHAnsi" w:cstheme="minorHAnsi"/>
        </w:rPr>
        <w:t>and</w:t>
      </w:r>
    </w:p>
    <w:p w14:paraId="699BDE9C" w14:textId="77777777" w:rsidR="00BF04DC" w:rsidRPr="00764BE0" w:rsidRDefault="00BF04DC" w:rsidP="003A1DA0">
      <w:pPr>
        <w:numPr>
          <w:ilvl w:val="0"/>
          <w:numId w:val="14"/>
        </w:numPr>
        <w:rPr>
          <w:rFonts w:asciiTheme="minorHAnsi" w:hAnsiTheme="minorHAnsi" w:cstheme="minorHAnsi"/>
        </w:rPr>
      </w:pPr>
      <w:r w:rsidRPr="00764BE0">
        <w:rPr>
          <w:rFonts w:asciiTheme="minorHAnsi" w:hAnsiTheme="minorHAnsi" w:cstheme="minorHAnsi"/>
        </w:rPr>
        <w:t>when the authorisation (if required) for the use of the restrictive practice or the behaviour support plan for the participant expire or are no longer current – the NDIS provider will need to report each use of the previously authorised restrictive practice as a reportable incident until authorisation (if required) and a current behaviour support plan for the participant are in place.</w:t>
      </w:r>
    </w:p>
    <w:p w14:paraId="1BB7EE3A" w14:textId="77777777" w:rsidR="00BF04DC" w:rsidRPr="00C838E0" w:rsidRDefault="00BF04DC" w:rsidP="00C838E0">
      <w:pPr>
        <w:rPr>
          <w:rFonts w:asciiTheme="minorHAnsi" w:hAnsiTheme="minorHAnsi" w:cstheme="minorHAnsi"/>
        </w:rPr>
      </w:pPr>
      <w:r w:rsidRPr="00764BE0">
        <w:rPr>
          <w:rFonts w:asciiTheme="minorHAnsi" w:hAnsiTheme="minorHAnsi" w:cstheme="minorHAnsi"/>
        </w:rPr>
        <w:t xml:space="preserve">In these circumstances, the NDIS Commission’s objective as regulator is to require the use of the restrictive practice to be authorised (if required) and for a behaviour support plan for the participant covering the use of the restrictive practice to be prepared and </w:t>
      </w:r>
      <w:r w:rsidRPr="00C838E0">
        <w:rPr>
          <w:rFonts w:asciiTheme="minorHAnsi" w:hAnsiTheme="minorHAnsi" w:cstheme="minorHAnsi"/>
        </w:rPr>
        <w:t>submitted to the NDIS Commission as soon as possible.</w:t>
      </w:r>
    </w:p>
    <w:p w14:paraId="7A3ADB98"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Obtaining authorisation (if required) and a behaviour support plan for a participant involves two different NDIS providers</w:t>
      </w:r>
      <w:r w:rsidRPr="00C838E0">
        <w:rPr>
          <w:rStyle w:val="FootnoteReference"/>
          <w:rFonts w:asciiTheme="minorHAnsi" w:hAnsiTheme="minorHAnsi" w:cstheme="minorHAnsi"/>
        </w:rPr>
        <w:footnoteReference w:id="11"/>
      </w:r>
      <w:r w:rsidRPr="00C838E0">
        <w:rPr>
          <w:rFonts w:asciiTheme="minorHAnsi" w:hAnsiTheme="minorHAnsi" w:cstheme="minorHAnsi"/>
        </w:rPr>
        <w:t xml:space="preserve"> and an NDIS behaviour support practitioner as follows:</w:t>
      </w:r>
    </w:p>
    <w:p w14:paraId="3F073CB9" w14:textId="77777777" w:rsidR="00C838E0" w:rsidRPr="00C838E0" w:rsidRDefault="00C838E0" w:rsidP="00C838E0">
      <w:pPr>
        <w:ind w:left="720" w:hanging="720"/>
        <w:rPr>
          <w:rFonts w:asciiTheme="minorHAnsi" w:hAnsiTheme="minorHAnsi" w:cstheme="minorHAnsi"/>
        </w:rPr>
      </w:pPr>
      <w:r w:rsidRPr="00C838E0">
        <w:rPr>
          <w:rFonts w:asciiTheme="minorHAnsi" w:hAnsiTheme="minorHAnsi" w:cstheme="minorHAnsi"/>
        </w:rPr>
        <w:t xml:space="preserve">(a) </w:t>
      </w:r>
      <w:r w:rsidRPr="00C838E0">
        <w:rPr>
          <w:rFonts w:asciiTheme="minorHAnsi" w:hAnsiTheme="minorHAnsi" w:cstheme="minorHAnsi"/>
        </w:rPr>
        <w:tab/>
      </w:r>
      <w:r w:rsidRPr="00C838E0">
        <w:rPr>
          <w:rFonts w:asciiTheme="minorHAnsi" w:hAnsiTheme="minorHAnsi" w:cstheme="minorHAnsi"/>
          <w:b/>
        </w:rPr>
        <w:t>Implementing provider</w:t>
      </w:r>
      <w:r w:rsidRPr="00C838E0">
        <w:rPr>
          <w:rFonts w:asciiTheme="minorHAnsi" w:hAnsiTheme="minorHAnsi" w:cstheme="minorHAnsi"/>
        </w:rPr>
        <w:t xml:space="preserve">: This is the NDIS provider who uses a restrictive practice in relation to a participant in the course of providing NDIS supports and services to the participant. It is </w:t>
      </w:r>
      <w:r w:rsidRPr="00C838E0">
        <w:rPr>
          <w:rFonts w:asciiTheme="minorHAnsi" w:hAnsiTheme="minorHAnsi" w:cstheme="minorHAnsi"/>
        </w:rPr>
        <w:lastRenderedPageBreak/>
        <w:t xml:space="preserve">the implementing provider that is required to notify the NDIS Commission of any </w:t>
      </w:r>
      <w:r w:rsidR="00CE344E">
        <w:rPr>
          <w:rFonts w:asciiTheme="minorHAnsi" w:hAnsiTheme="minorHAnsi" w:cstheme="minorHAnsi"/>
        </w:rPr>
        <w:t xml:space="preserve">URP </w:t>
      </w:r>
      <w:r w:rsidRPr="00C838E0">
        <w:rPr>
          <w:rFonts w:asciiTheme="minorHAnsi" w:hAnsiTheme="minorHAnsi" w:cstheme="minorHAnsi"/>
        </w:rPr>
        <w:t>as a reportable incident.</w:t>
      </w:r>
    </w:p>
    <w:p w14:paraId="13B14B45" w14:textId="77777777" w:rsidR="00C838E0" w:rsidRPr="00C838E0" w:rsidRDefault="00C838E0" w:rsidP="00C838E0">
      <w:pPr>
        <w:ind w:left="720" w:hanging="720"/>
        <w:rPr>
          <w:rFonts w:asciiTheme="minorHAnsi" w:hAnsiTheme="minorHAnsi" w:cstheme="minorHAnsi"/>
        </w:rPr>
      </w:pPr>
      <w:r w:rsidRPr="00C838E0">
        <w:rPr>
          <w:rFonts w:asciiTheme="minorHAnsi" w:hAnsiTheme="minorHAnsi" w:cstheme="minorHAnsi"/>
        </w:rPr>
        <w:t xml:space="preserve">(b) </w:t>
      </w:r>
      <w:r w:rsidRPr="00C838E0">
        <w:rPr>
          <w:rFonts w:asciiTheme="minorHAnsi" w:hAnsiTheme="minorHAnsi" w:cstheme="minorHAnsi"/>
        </w:rPr>
        <w:tab/>
      </w:r>
      <w:r w:rsidRPr="00C838E0">
        <w:rPr>
          <w:rFonts w:asciiTheme="minorHAnsi" w:hAnsiTheme="minorHAnsi" w:cstheme="minorHAnsi"/>
          <w:b/>
        </w:rPr>
        <w:t>Specialist behaviour support provider</w:t>
      </w:r>
      <w:r w:rsidRPr="00C838E0">
        <w:rPr>
          <w:rFonts w:asciiTheme="minorHAnsi" w:hAnsiTheme="minorHAnsi" w:cstheme="minorHAnsi"/>
        </w:rPr>
        <w:t>: This is the NDIS provider who is responsible for the development of</w:t>
      </w:r>
      <w:r w:rsidRPr="00C838E0">
        <w:rPr>
          <w:rFonts w:asciiTheme="minorHAnsi" w:hAnsiTheme="minorHAnsi" w:cstheme="minorHAnsi"/>
          <w:b/>
        </w:rPr>
        <w:t xml:space="preserve"> </w:t>
      </w:r>
      <w:r w:rsidRPr="00C838E0">
        <w:rPr>
          <w:rFonts w:asciiTheme="minorHAnsi" w:hAnsiTheme="minorHAnsi" w:cstheme="minorHAnsi"/>
        </w:rPr>
        <w:t>behaviour support plans for participants. Specialist behaviour support providers must comply with particular requirements under the NDIS Practice Standards to be registered to provide specialist behaviour support services.</w:t>
      </w:r>
    </w:p>
    <w:p w14:paraId="13A1432D" w14:textId="77777777" w:rsidR="00C838E0" w:rsidRPr="00C838E0" w:rsidRDefault="00C838E0" w:rsidP="00C838E0">
      <w:pPr>
        <w:ind w:left="720" w:hanging="720"/>
        <w:rPr>
          <w:rFonts w:asciiTheme="minorHAnsi" w:hAnsiTheme="minorHAnsi" w:cstheme="minorHAnsi"/>
          <w:u w:val="single"/>
        </w:rPr>
      </w:pPr>
      <w:r w:rsidRPr="00C838E0">
        <w:rPr>
          <w:rFonts w:asciiTheme="minorHAnsi" w:hAnsiTheme="minorHAnsi" w:cstheme="minorHAnsi"/>
        </w:rPr>
        <w:t>(c)</w:t>
      </w:r>
      <w:r w:rsidRPr="00C838E0">
        <w:rPr>
          <w:rFonts w:asciiTheme="minorHAnsi" w:hAnsiTheme="minorHAnsi" w:cstheme="minorHAnsi"/>
        </w:rPr>
        <w:tab/>
      </w:r>
      <w:r w:rsidRPr="00C838E0">
        <w:rPr>
          <w:rFonts w:asciiTheme="minorHAnsi" w:hAnsiTheme="minorHAnsi" w:cstheme="minorHAnsi"/>
          <w:b/>
        </w:rPr>
        <w:t>NDIS behaviour support practitioner</w:t>
      </w:r>
      <w:r w:rsidRPr="00C838E0">
        <w:rPr>
          <w:rFonts w:asciiTheme="minorHAnsi" w:hAnsiTheme="minorHAnsi" w:cstheme="minorHAnsi"/>
        </w:rPr>
        <w:t xml:space="preserve">: This is the individual who undertakes the behaviour support assessment, including the functional behavioural assessment, and develops the behaviour support plan for the participant. </w:t>
      </w:r>
      <w:r w:rsidRPr="00C838E0">
        <w:rPr>
          <w:rFonts w:asciiTheme="minorHAnsi" w:hAnsiTheme="minorHAnsi" w:cstheme="minorHAnsi"/>
          <w:u w:val="single"/>
        </w:rPr>
        <w:t>A person can be an NDIS behaviour support practitioner only if the NDIS Commissioner considers the person to be suitable to undertake behaviour support assessments and to develop behaviour support plans that may contain the use of restrictive practices.</w:t>
      </w:r>
    </w:p>
    <w:p w14:paraId="2C9AD62A" w14:textId="0CA6D898" w:rsidR="00C838E0" w:rsidRPr="00C838E0" w:rsidRDefault="00C838E0" w:rsidP="00C838E0">
      <w:pPr>
        <w:rPr>
          <w:rFonts w:asciiTheme="minorHAnsi" w:hAnsiTheme="minorHAnsi" w:cstheme="minorHAnsi"/>
        </w:rPr>
      </w:pPr>
      <w:r w:rsidRPr="00C838E0">
        <w:rPr>
          <w:rFonts w:asciiTheme="minorHAnsi" w:hAnsiTheme="minorHAnsi" w:cstheme="minorHAnsi"/>
        </w:rPr>
        <w:t xml:space="preserve">In addition to notifying the NDIS Commission of any </w:t>
      </w:r>
      <w:r w:rsidR="00CE344E">
        <w:rPr>
          <w:rFonts w:asciiTheme="minorHAnsi" w:hAnsiTheme="minorHAnsi" w:cstheme="minorHAnsi"/>
        </w:rPr>
        <w:t>URPs</w:t>
      </w:r>
      <w:r w:rsidRPr="00C838E0">
        <w:rPr>
          <w:rFonts w:asciiTheme="minorHAnsi" w:hAnsiTheme="minorHAnsi" w:cstheme="minorHAnsi"/>
        </w:rPr>
        <w:t xml:space="preserve">, the implementing provider is also obliged to obtain authorisation (if required) for the ongoing use of any regulated restrictive practice and to take all reasonable steps to facilitate the development of an interim behaviour support plan and then a comprehensive behaviour support plan for the participant. Authorisation (if required) cannot usually be obtained under </w:t>
      </w:r>
      <w:r w:rsidR="001255C1">
        <w:rPr>
          <w:rFonts w:asciiTheme="minorHAnsi" w:hAnsiTheme="minorHAnsi" w:cstheme="minorHAnsi"/>
        </w:rPr>
        <w:t>s</w:t>
      </w:r>
      <w:r w:rsidRPr="00C838E0">
        <w:rPr>
          <w:rFonts w:asciiTheme="minorHAnsi" w:hAnsiTheme="minorHAnsi" w:cstheme="minorHAnsi"/>
        </w:rPr>
        <w:t xml:space="preserve">tate or </w:t>
      </w:r>
      <w:r w:rsidR="001255C1">
        <w:rPr>
          <w:rFonts w:asciiTheme="minorHAnsi" w:hAnsiTheme="minorHAnsi" w:cstheme="minorHAnsi"/>
        </w:rPr>
        <w:t>t</w:t>
      </w:r>
      <w:r w:rsidRPr="00C838E0">
        <w:rPr>
          <w:rFonts w:asciiTheme="minorHAnsi" w:hAnsiTheme="minorHAnsi" w:cstheme="minorHAnsi"/>
        </w:rPr>
        <w:t>erritory requirements until a behaviour support plan has been prepared.</w:t>
      </w:r>
    </w:p>
    <w:p w14:paraId="4B16C14E"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The specialist behaviour support provider is obliged to develop an interim behaviour support plan within one month after being engaged to develop the plan and a comprehensive behaviour support plan within six months after being engaged to develop the plan. The specialist behaviour support provider must engage and NDIS behaviour practitioner to develop the behaviour support plans.</w:t>
      </w:r>
      <w:r w:rsidRPr="00C838E0">
        <w:rPr>
          <w:rStyle w:val="FootnoteReference"/>
          <w:rFonts w:asciiTheme="minorHAnsi" w:hAnsiTheme="minorHAnsi" w:cstheme="minorHAnsi"/>
        </w:rPr>
        <w:footnoteReference w:id="12"/>
      </w:r>
    </w:p>
    <w:p w14:paraId="4302A214"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Moving from the unauthorised use of a restrictive practice to use of a restrictive practice that is authorised (if required) and in accordance with a behaviour support plan for the participant typically will require:</w:t>
      </w:r>
    </w:p>
    <w:p w14:paraId="5710C3D0" w14:textId="77777777" w:rsidR="00C838E0" w:rsidRPr="00C838E0" w:rsidRDefault="00C838E0" w:rsidP="003A1DA0">
      <w:pPr>
        <w:pStyle w:val="ListParagraph"/>
        <w:numPr>
          <w:ilvl w:val="0"/>
          <w:numId w:val="12"/>
        </w:numPr>
        <w:contextualSpacing w:val="0"/>
        <w:rPr>
          <w:rFonts w:asciiTheme="minorHAnsi" w:hAnsiTheme="minorHAnsi" w:cstheme="minorHAnsi"/>
        </w:rPr>
      </w:pPr>
      <w:r w:rsidRPr="00C838E0">
        <w:rPr>
          <w:rFonts w:asciiTheme="minorHAnsi" w:hAnsiTheme="minorHAnsi" w:cstheme="minorHAnsi"/>
        </w:rPr>
        <w:t>the participant or their nominee, with any necessary assistance from the implementing provider, to choose and engage a specialist behaviour support provider or NDIS behaviour support practitioner</w:t>
      </w:r>
    </w:p>
    <w:p w14:paraId="3934E7A4" w14:textId="77777777" w:rsidR="00C838E0" w:rsidRPr="00C838E0" w:rsidRDefault="00C838E0" w:rsidP="003A1DA0">
      <w:pPr>
        <w:pStyle w:val="ListParagraph"/>
        <w:numPr>
          <w:ilvl w:val="0"/>
          <w:numId w:val="12"/>
        </w:numPr>
        <w:contextualSpacing w:val="0"/>
        <w:rPr>
          <w:rFonts w:asciiTheme="minorHAnsi" w:hAnsiTheme="minorHAnsi" w:cstheme="minorHAnsi"/>
        </w:rPr>
      </w:pPr>
      <w:r w:rsidRPr="00C838E0">
        <w:rPr>
          <w:rFonts w:asciiTheme="minorHAnsi" w:hAnsiTheme="minorHAnsi" w:cstheme="minorHAnsi"/>
        </w:rPr>
        <w:t>the NDIS behaviour support practitioner and the participant to be available for the NDIS behaviour support practitioner to undertake the behaviour support assessment, including the functional behavioural assessment</w:t>
      </w:r>
    </w:p>
    <w:p w14:paraId="3DA759B1" w14:textId="77777777" w:rsidR="00C838E0" w:rsidRPr="00C838E0" w:rsidRDefault="00C838E0" w:rsidP="003A1DA0">
      <w:pPr>
        <w:pStyle w:val="ListParagraph"/>
        <w:numPr>
          <w:ilvl w:val="0"/>
          <w:numId w:val="12"/>
        </w:numPr>
        <w:contextualSpacing w:val="0"/>
        <w:rPr>
          <w:rFonts w:asciiTheme="minorHAnsi" w:hAnsiTheme="minorHAnsi" w:cstheme="minorHAnsi"/>
        </w:rPr>
      </w:pPr>
      <w:r w:rsidRPr="00C838E0">
        <w:rPr>
          <w:rFonts w:asciiTheme="minorHAnsi" w:hAnsiTheme="minorHAnsi" w:cstheme="minorHAnsi"/>
        </w:rPr>
        <w:t>the NDIS behaviour support practitioner to develop the behaviour support plan</w:t>
      </w:r>
    </w:p>
    <w:p w14:paraId="5828B058" w14:textId="77777777" w:rsidR="00C838E0" w:rsidRPr="00C838E0" w:rsidRDefault="00C838E0" w:rsidP="003A1DA0">
      <w:pPr>
        <w:pStyle w:val="ListParagraph"/>
        <w:numPr>
          <w:ilvl w:val="0"/>
          <w:numId w:val="12"/>
        </w:numPr>
        <w:contextualSpacing w:val="0"/>
        <w:rPr>
          <w:rFonts w:asciiTheme="minorHAnsi" w:hAnsiTheme="minorHAnsi" w:cstheme="minorHAnsi"/>
        </w:rPr>
      </w:pPr>
      <w:r w:rsidRPr="00C838E0">
        <w:rPr>
          <w:rFonts w:asciiTheme="minorHAnsi" w:hAnsiTheme="minorHAnsi" w:cstheme="minorHAnsi"/>
        </w:rPr>
        <w:t xml:space="preserve">the implementing provider to use the behaviour support plan and any other necessary inputs to obtain authorisation </w:t>
      </w:r>
    </w:p>
    <w:p w14:paraId="2C020007" w14:textId="77777777" w:rsidR="00C838E0" w:rsidRPr="00C838E0" w:rsidRDefault="00C838E0" w:rsidP="003A1DA0">
      <w:pPr>
        <w:pStyle w:val="ListParagraph"/>
        <w:numPr>
          <w:ilvl w:val="0"/>
          <w:numId w:val="12"/>
        </w:numPr>
        <w:contextualSpacing w:val="0"/>
        <w:rPr>
          <w:rFonts w:asciiTheme="minorHAnsi" w:hAnsiTheme="minorHAnsi" w:cstheme="minorHAnsi"/>
        </w:rPr>
      </w:pPr>
      <w:r w:rsidRPr="00C838E0">
        <w:rPr>
          <w:rFonts w:asciiTheme="minorHAnsi" w:hAnsiTheme="minorHAnsi" w:cstheme="minorHAnsi"/>
        </w:rPr>
        <w:lastRenderedPageBreak/>
        <w:t>the specialist behaviour support provider to lodge the behaviour support plan with the NDIS Commission</w:t>
      </w:r>
    </w:p>
    <w:p w14:paraId="63C7E123" w14:textId="77777777" w:rsidR="00C838E0" w:rsidRDefault="00C838E0" w:rsidP="003A1DA0">
      <w:pPr>
        <w:pStyle w:val="ListParagraph"/>
        <w:numPr>
          <w:ilvl w:val="0"/>
          <w:numId w:val="12"/>
        </w:numPr>
        <w:contextualSpacing w:val="0"/>
        <w:rPr>
          <w:rFonts w:asciiTheme="minorHAnsi" w:hAnsiTheme="minorHAnsi" w:cstheme="minorHAnsi"/>
        </w:rPr>
      </w:pPr>
      <w:r w:rsidRPr="00C838E0">
        <w:rPr>
          <w:rFonts w:asciiTheme="minorHAnsi" w:hAnsiTheme="minorHAnsi" w:cstheme="minorHAnsi"/>
        </w:rPr>
        <w:t xml:space="preserve">the implementing provider to accept the behaviour support plan and lodging evidence of authorisation (if required) with the NDIS Commission. </w:t>
      </w:r>
    </w:p>
    <w:p w14:paraId="0614D854" w14:textId="7E9B16A9" w:rsidR="00FF2DBC" w:rsidRDefault="00FF2DBC" w:rsidP="00667C0C">
      <w:pPr>
        <w:rPr>
          <w:rFonts w:asciiTheme="minorHAnsi" w:hAnsiTheme="minorHAnsi" w:cstheme="minorHAnsi"/>
        </w:rPr>
      </w:pPr>
      <w:r>
        <w:rPr>
          <w:rFonts w:asciiTheme="minorHAnsi" w:hAnsiTheme="minorHAnsi" w:cstheme="minorHAnsi"/>
        </w:rPr>
        <w:t>The time that it takes a specialist behaviour support provider to lodge a behaviour support plan is influenced by a number of factors already described in this report. The NDIS Commission will be undertaking further analysis of these trends as part of a further analysis of restrictive practice</w:t>
      </w:r>
      <w:r w:rsidR="00D33346">
        <w:rPr>
          <w:rFonts w:asciiTheme="minorHAnsi" w:hAnsiTheme="minorHAnsi" w:cstheme="minorHAnsi"/>
        </w:rPr>
        <w:t>s</w:t>
      </w:r>
      <w:r>
        <w:rPr>
          <w:rFonts w:asciiTheme="minorHAnsi" w:hAnsiTheme="minorHAnsi" w:cstheme="minorHAnsi"/>
        </w:rPr>
        <w:t xml:space="preserve"> in the NDIS, both authorised and unauthorised.</w:t>
      </w:r>
    </w:p>
    <w:p w14:paraId="68BBD578" w14:textId="07DDA2C6" w:rsidR="00F85840" w:rsidRPr="001255C1" w:rsidRDefault="00F85840" w:rsidP="00667C0C">
      <w:pPr>
        <w:pStyle w:val="Caption"/>
        <w:keepNext/>
        <w:rPr>
          <w:rFonts w:cs="Arial"/>
          <w:szCs w:val="16"/>
        </w:rPr>
      </w:pPr>
      <w:bookmarkStart w:id="23" w:name="_Ref92718178"/>
      <w:r w:rsidRPr="001255C1">
        <w:rPr>
          <w:rFonts w:cs="Arial"/>
          <w:caps w:val="0"/>
          <w:sz w:val="18"/>
          <w:szCs w:val="16"/>
        </w:rPr>
        <w:t xml:space="preserve">Figure </w:t>
      </w:r>
      <w:r w:rsidRPr="001255C1">
        <w:rPr>
          <w:rFonts w:cs="Arial"/>
          <w:sz w:val="18"/>
          <w:szCs w:val="16"/>
        </w:rPr>
        <w:fldChar w:fldCharType="begin"/>
      </w:r>
      <w:r w:rsidRPr="001255C1">
        <w:rPr>
          <w:rFonts w:cs="Arial"/>
          <w:sz w:val="18"/>
          <w:szCs w:val="16"/>
        </w:rPr>
        <w:instrText xml:space="preserve"> SEQ Figure \* ARABIC </w:instrText>
      </w:r>
      <w:r w:rsidRPr="001255C1">
        <w:rPr>
          <w:rFonts w:cs="Arial"/>
          <w:sz w:val="18"/>
          <w:szCs w:val="16"/>
        </w:rPr>
        <w:fldChar w:fldCharType="separate"/>
      </w:r>
      <w:r w:rsidRPr="001255C1">
        <w:rPr>
          <w:rFonts w:cs="Arial"/>
          <w:noProof/>
          <w:sz w:val="18"/>
          <w:szCs w:val="16"/>
        </w:rPr>
        <w:t>7</w:t>
      </w:r>
      <w:r w:rsidRPr="001255C1">
        <w:rPr>
          <w:rFonts w:cs="Arial"/>
          <w:sz w:val="18"/>
          <w:szCs w:val="16"/>
        </w:rPr>
        <w:fldChar w:fldCharType="end"/>
      </w:r>
      <w:bookmarkEnd w:id="23"/>
      <w:r w:rsidRPr="001255C1">
        <w:rPr>
          <w:rFonts w:cs="Arial"/>
          <w:sz w:val="18"/>
          <w:szCs w:val="16"/>
        </w:rPr>
        <w:t xml:space="preserve"> - </w:t>
      </w:r>
      <w:r w:rsidRPr="001255C1">
        <w:rPr>
          <w:rFonts w:cs="Arial"/>
          <w:caps w:val="0"/>
          <w:sz w:val="18"/>
          <w:szCs w:val="16"/>
        </w:rPr>
        <w:t>comprehensive BSP lodgement timeframe by month of first use of restrictive practice</w:t>
      </w:r>
    </w:p>
    <w:p w14:paraId="08F95D53" w14:textId="77777777" w:rsidR="00F85840" w:rsidRDefault="00F85840" w:rsidP="00667C0C">
      <w:pPr>
        <w:rPr>
          <w:rFonts w:asciiTheme="minorHAnsi" w:hAnsiTheme="minorHAnsi" w:cstheme="minorHAnsi"/>
        </w:rPr>
      </w:pPr>
      <w:r>
        <w:rPr>
          <w:noProof/>
          <w:lang w:eastAsia="en-AU"/>
        </w:rPr>
        <w:drawing>
          <wp:inline distT="0" distB="0" distL="0" distR="0" wp14:anchorId="670847B5" wp14:editId="19022600">
            <wp:extent cx="5581015" cy="2131889"/>
            <wp:effectExtent l="0" t="0" r="635" b="1905"/>
            <wp:docPr id="5" name="Picture 5" descr="Bar chart showing the comprehensive BSP lodgement timeframe by month of first use of restrictive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r chart showing the comprehensive BSP lodgement timeframe by month of first use of restrictive practi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81015" cy="2131889"/>
                    </a:xfrm>
                    <a:prstGeom prst="rect">
                      <a:avLst/>
                    </a:prstGeom>
                    <a:noFill/>
                  </pic:spPr>
                </pic:pic>
              </a:graphicData>
            </a:graphic>
          </wp:inline>
        </w:drawing>
      </w:r>
    </w:p>
    <w:p w14:paraId="617DEEE0" w14:textId="00F770AC" w:rsidR="00F85840" w:rsidRDefault="00147479" w:rsidP="00667C0C">
      <w:pP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REF _Ref92718178 \h  \* MERGEFORMAT </w:instrText>
      </w:r>
      <w:r>
        <w:rPr>
          <w:rFonts w:asciiTheme="minorHAnsi" w:hAnsiTheme="minorHAnsi" w:cstheme="minorHAnsi"/>
        </w:rPr>
      </w:r>
      <w:r>
        <w:rPr>
          <w:rFonts w:asciiTheme="minorHAnsi" w:hAnsiTheme="minorHAnsi" w:cstheme="minorHAnsi"/>
        </w:rPr>
        <w:fldChar w:fldCharType="separate"/>
      </w:r>
      <w:r w:rsidRPr="00667C0C">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w:t>
      </w:r>
      <w:r w:rsidR="00FC49C3">
        <w:rPr>
          <w:rFonts w:asciiTheme="minorHAnsi" w:hAnsiTheme="minorHAnsi" w:cstheme="minorHAnsi"/>
        </w:rPr>
        <w:t>provides a view of behaviour support lodgements over the period 1 January to 30 November 2020 as an example of lodgement trends</w:t>
      </w:r>
      <w:r>
        <w:rPr>
          <w:rFonts w:asciiTheme="minorHAnsi" w:hAnsiTheme="minorHAnsi" w:cstheme="minorHAnsi"/>
        </w:rPr>
        <w:t>:</w:t>
      </w:r>
    </w:p>
    <w:p w14:paraId="3741EA48" w14:textId="6D9FB95A" w:rsidR="00147479" w:rsidRDefault="00147479"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the number of participants with a restrictive practice reported in each month</w:t>
      </w:r>
      <w:r w:rsidR="00B13522">
        <w:rPr>
          <w:rFonts w:asciiTheme="minorHAnsi" w:hAnsiTheme="minorHAnsi" w:cstheme="minorHAnsi"/>
        </w:rPr>
        <w:t>;</w:t>
      </w:r>
    </w:p>
    <w:p w14:paraId="76C59D00" w14:textId="77777777" w:rsidR="00147479" w:rsidRDefault="00147479"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 xml:space="preserve">the number of participants with a restrictive practice reported in each month without a </w:t>
      </w:r>
      <w:r w:rsidR="00D33346">
        <w:rPr>
          <w:rFonts w:asciiTheme="minorHAnsi" w:hAnsiTheme="minorHAnsi" w:cstheme="minorHAnsi"/>
        </w:rPr>
        <w:t>behaviour support plan (</w:t>
      </w:r>
      <w:r>
        <w:rPr>
          <w:rFonts w:asciiTheme="minorHAnsi" w:hAnsiTheme="minorHAnsi" w:cstheme="minorHAnsi"/>
        </w:rPr>
        <w:t>BSP</w:t>
      </w:r>
      <w:r w:rsidR="00D33346">
        <w:rPr>
          <w:rFonts w:asciiTheme="minorHAnsi" w:hAnsiTheme="minorHAnsi" w:cstheme="minorHAnsi"/>
        </w:rPr>
        <w:t>)</w:t>
      </w:r>
      <w:r>
        <w:rPr>
          <w:rFonts w:asciiTheme="minorHAnsi" w:hAnsiTheme="minorHAnsi" w:cstheme="minorHAnsi"/>
        </w:rPr>
        <w:t xml:space="preserve"> lodged</w:t>
      </w:r>
      <w:r w:rsidR="00B13522">
        <w:rPr>
          <w:rFonts w:asciiTheme="minorHAnsi" w:hAnsiTheme="minorHAnsi" w:cstheme="minorHAnsi"/>
        </w:rPr>
        <w:t>;</w:t>
      </w:r>
    </w:p>
    <w:p w14:paraId="162508D5" w14:textId="77777777" w:rsidR="00147479" w:rsidRDefault="00147479"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the number of participants with a restrictive practice reported in each month with a BSP lodged within 12 months of the first reported restrictive practice</w:t>
      </w:r>
    </w:p>
    <w:p w14:paraId="25D0825C" w14:textId="77777777" w:rsidR="00147479" w:rsidRDefault="00147479"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the number of participants with a restrictive practice reported in each month with a BSP lodged more than 12 months after the first reported restrictive practice</w:t>
      </w:r>
      <w:r w:rsidR="00D33346">
        <w:rPr>
          <w:rFonts w:asciiTheme="minorHAnsi" w:hAnsiTheme="minorHAnsi" w:cstheme="minorHAnsi"/>
        </w:rPr>
        <w:t>.</w:t>
      </w:r>
    </w:p>
    <w:p w14:paraId="4B25D8FD" w14:textId="24D071AE" w:rsidR="00147479" w:rsidRPr="00667C0C" w:rsidRDefault="00D33346" w:rsidP="00667C0C">
      <w:pPr>
        <w:rPr>
          <w:rFonts w:asciiTheme="minorHAnsi" w:hAnsiTheme="minorHAnsi" w:cstheme="minorHAnsi"/>
        </w:rPr>
      </w:pPr>
      <w:r>
        <w:rPr>
          <w:rFonts w:asciiTheme="minorHAnsi" w:hAnsiTheme="minorHAnsi" w:cstheme="minorHAnsi"/>
        </w:rPr>
        <w:t>By 30 November 2021, c</w:t>
      </w:r>
      <w:r w:rsidR="00147479">
        <w:rPr>
          <w:rFonts w:asciiTheme="minorHAnsi" w:hAnsiTheme="minorHAnsi" w:cstheme="minorHAnsi"/>
        </w:rPr>
        <w:t xml:space="preserve">omprehensive BSPs </w:t>
      </w:r>
      <w:r>
        <w:rPr>
          <w:rFonts w:asciiTheme="minorHAnsi" w:hAnsiTheme="minorHAnsi" w:cstheme="minorHAnsi"/>
        </w:rPr>
        <w:t xml:space="preserve">had been </w:t>
      </w:r>
      <w:r w:rsidR="00147479">
        <w:rPr>
          <w:rFonts w:asciiTheme="minorHAnsi" w:hAnsiTheme="minorHAnsi" w:cstheme="minorHAnsi"/>
        </w:rPr>
        <w:t>lodged with the NDIS Commission</w:t>
      </w:r>
      <w:r>
        <w:rPr>
          <w:rFonts w:asciiTheme="minorHAnsi" w:hAnsiTheme="minorHAnsi" w:cstheme="minorHAnsi"/>
        </w:rPr>
        <w:t xml:space="preserve"> </w:t>
      </w:r>
      <w:r w:rsidR="00147479">
        <w:rPr>
          <w:rFonts w:asciiTheme="minorHAnsi" w:hAnsiTheme="minorHAnsi" w:cstheme="minorHAnsi"/>
        </w:rPr>
        <w:t>for 44% of the participants with their first restrictive practice reported between 1 January 2020 and 30 November 2020.</w:t>
      </w:r>
      <w:r w:rsidR="008843CD">
        <w:rPr>
          <w:rFonts w:asciiTheme="minorHAnsi" w:hAnsiTheme="minorHAnsi" w:cstheme="minorHAnsi"/>
        </w:rPr>
        <w:t xml:space="preserve"> </w:t>
      </w:r>
      <w:r w:rsidR="00561506">
        <w:rPr>
          <w:rFonts w:asciiTheme="minorHAnsi" w:hAnsiTheme="minorHAnsi" w:cstheme="minorHAnsi"/>
        </w:rPr>
        <w:t xml:space="preserve"> BSP</w:t>
      </w:r>
      <w:r w:rsidR="001255C1">
        <w:rPr>
          <w:rFonts w:asciiTheme="minorHAnsi" w:hAnsiTheme="minorHAnsi" w:cstheme="minorHAnsi"/>
        </w:rPr>
        <w:t>s</w:t>
      </w:r>
      <w:r w:rsidR="00561506">
        <w:rPr>
          <w:rFonts w:asciiTheme="minorHAnsi" w:hAnsiTheme="minorHAnsi" w:cstheme="minorHAnsi"/>
        </w:rPr>
        <w:t xml:space="preserve"> </w:t>
      </w:r>
      <w:r>
        <w:rPr>
          <w:rFonts w:asciiTheme="minorHAnsi" w:hAnsiTheme="minorHAnsi" w:cstheme="minorHAnsi"/>
        </w:rPr>
        <w:t xml:space="preserve">are not required for </w:t>
      </w:r>
      <w:r w:rsidR="00561506">
        <w:rPr>
          <w:rFonts w:asciiTheme="minorHAnsi" w:hAnsiTheme="minorHAnsi" w:cstheme="minorHAnsi"/>
        </w:rPr>
        <w:t xml:space="preserve">single </w:t>
      </w:r>
      <w:r>
        <w:rPr>
          <w:rFonts w:asciiTheme="minorHAnsi" w:hAnsiTheme="minorHAnsi" w:cstheme="minorHAnsi"/>
        </w:rPr>
        <w:t xml:space="preserve">emergency </w:t>
      </w:r>
      <w:r w:rsidR="00561506">
        <w:rPr>
          <w:rFonts w:asciiTheme="minorHAnsi" w:hAnsiTheme="minorHAnsi" w:cstheme="minorHAnsi"/>
        </w:rPr>
        <w:t>use</w:t>
      </w:r>
      <w:r>
        <w:rPr>
          <w:rFonts w:asciiTheme="minorHAnsi" w:hAnsiTheme="minorHAnsi" w:cstheme="minorHAnsi"/>
        </w:rPr>
        <w:t>s</w:t>
      </w:r>
      <w:r w:rsidR="00561506">
        <w:rPr>
          <w:rFonts w:asciiTheme="minorHAnsi" w:hAnsiTheme="minorHAnsi" w:cstheme="minorHAnsi"/>
        </w:rPr>
        <w:t xml:space="preserve"> </w:t>
      </w:r>
      <w:r>
        <w:rPr>
          <w:rFonts w:asciiTheme="minorHAnsi" w:hAnsiTheme="minorHAnsi" w:cstheme="minorHAnsi"/>
        </w:rPr>
        <w:t xml:space="preserve">of </w:t>
      </w:r>
      <w:r w:rsidR="00561506">
        <w:rPr>
          <w:rFonts w:asciiTheme="minorHAnsi" w:hAnsiTheme="minorHAnsi" w:cstheme="minorHAnsi"/>
        </w:rPr>
        <w:t>restrictive practice</w:t>
      </w:r>
      <w:r>
        <w:rPr>
          <w:rFonts w:asciiTheme="minorHAnsi" w:hAnsiTheme="minorHAnsi" w:cstheme="minorHAnsi"/>
        </w:rPr>
        <w:t>s</w:t>
      </w:r>
      <w:r w:rsidR="00561506">
        <w:rPr>
          <w:rFonts w:asciiTheme="minorHAnsi" w:hAnsiTheme="minorHAnsi" w:cstheme="minorHAnsi"/>
        </w:rPr>
        <w:t>.</w:t>
      </w:r>
      <w:r>
        <w:rPr>
          <w:rFonts w:asciiTheme="minorHAnsi" w:hAnsiTheme="minorHAnsi" w:cstheme="minorHAnsi"/>
        </w:rPr>
        <w:t xml:space="preserve"> However, single emergency uses would not account for the relatively large number of participants for whom a comprehensive BSP has not been lodged.</w:t>
      </w:r>
      <w:r w:rsidR="00561506">
        <w:rPr>
          <w:rFonts w:asciiTheme="minorHAnsi" w:hAnsiTheme="minorHAnsi" w:cstheme="minorHAnsi"/>
        </w:rPr>
        <w:t xml:space="preserve"> </w:t>
      </w:r>
      <w:r w:rsidR="00147479">
        <w:rPr>
          <w:rFonts w:asciiTheme="minorHAnsi" w:hAnsiTheme="minorHAnsi" w:cstheme="minorHAnsi"/>
        </w:rPr>
        <w:t>Where a comprehensive BSP was lodged</w:t>
      </w:r>
      <w:r w:rsidR="00561506">
        <w:rPr>
          <w:rFonts w:asciiTheme="minorHAnsi" w:hAnsiTheme="minorHAnsi" w:cstheme="minorHAnsi"/>
        </w:rPr>
        <w:t>,</w:t>
      </w:r>
      <w:r w:rsidR="00147479">
        <w:rPr>
          <w:rFonts w:asciiTheme="minorHAnsi" w:hAnsiTheme="minorHAnsi" w:cstheme="minorHAnsi"/>
        </w:rPr>
        <w:t xml:space="preserve"> 92% were lodged within 12 months of the first reported restrictive practice.</w:t>
      </w:r>
      <w:r>
        <w:rPr>
          <w:rFonts w:asciiTheme="minorHAnsi" w:hAnsiTheme="minorHAnsi" w:cstheme="minorHAnsi"/>
        </w:rPr>
        <w:t xml:space="preserve"> The NDIS Commission is</w:t>
      </w:r>
      <w:r w:rsidR="00C35256">
        <w:rPr>
          <w:rFonts w:asciiTheme="minorHAnsi" w:hAnsiTheme="minorHAnsi" w:cstheme="minorHAnsi"/>
        </w:rPr>
        <w:t xml:space="preserve"> targeting both the preparation and the timeliness of the preparation of BSPs in its compliance action.</w:t>
      </w:r>
    </w:p>
    <w:p w14:paraId="1EC231C5" w14:textId="77777777" w:rsidR="003268DE" w:rsidRDefault="003268DE" w:rsidP="003B37A9">
      <w:pPr>
        <w:pStyle w:val="Heading2"/>
      </w:pPr>
      <w:bookmarkStart w:id="24" w:name="_Toc90626688"/>
    </w:p>
    <w:p w14:paraId="06024C63" w14:textId="606F093C" w:rsidR="00BF04DC" w:rsidRPr="00764BE0" w:rsidRDefault="00BF04DC" w:rsidP="003B37A9">
      <w:pPr>
        <w:pStyle w:val="Heading2"/>
      </w:pPr>
      <w:r w:rsidRPr="00764BE0">
        <w:lastRenderedPageBreak/>
        <w:t>How the regulatory requirements are working</w:t>
      </w:r>
      <w:bookmarkEnd w:id="24"/>
    </w:p>
    <w:p w14:paraId="213929B7" w14:textId="77777777" w:rsidR="00BF04DC" w:rsidRPr="00764BE0" w:rsidRDefault="00BF04DC" w:rsidP="00BB5B07">
      <w:pPr>
        <w:rPr>
          <w:rFonts w:asciiTheme="minorHAnsi" w:hAnsiTheme="minorHAnsi" w:cstheme="minorHAnsi"/>
        </w:rPr>
      </w:pPr>
      <w:r w:rsidRPr="00764BE0">
        <w:rPr>
          <w:rFonts w:asciiTheme="minorHAnsi" w:hAnsiTheme="minorHAnsi" w:cstheme="minorHAnsi"/>
        </w:rPr>
        <w:t xml:space="preserve">The data on </w:t>
      </w:r>
      <w:r w:rsidR="003B37A9">
        <w:rPr>
          <w:rFonts w:asciiTheme="minorHAnsi" w:hAnsiTheme="minorHAnsi" w:cstheme="minorHAnsi"/>
        </w:rPr>
        <w:t xml:space="preserve">URPs </w:t>
      </w:r>
      <w:r w:rsidRPr="00764BE0">
        <w:rPr>
          <w:rFonts w:asciiTheme="minorHAnsi" w:hAnsiTheme="minorHAnsi" w:cstheme="minorHAnsi"/>
        </w:rPr>
        <w:t xml:space="preserve">in </w:t>
      </w:r>
      <w:r w:rsidR="003B37A9">
        <w:rPr>
          <w:rFonts w:asciiTheme="minorHAnsi" w:hAnsiTheme="minorHAnsi" w:cstheme="minorHAnsi"/>
        </w:rPr>
        <w:t>2020-</w:t>
      </w:r>
      <w:r w:rsidRPr="00764BE0">
        <w:rPr>
          <w:rFonts w:asciiTheme="minorHAnsi" w:hAnsiTheme="minorHAnsi" w:cstheme="minorHAnsi"/>
        </w:rPr>
        <w:t xml:space="preserve">21 suggests that single, emergency uses of restrictive practices are being notified to the NDIS Commission as reportable incidents. </w:t>
      </w:r>
      <w:r w:rsidR="00BB5B07">
        <w:rPr>
          <w:rFonts w:asciiTheme="minorHAnsi" w:hAnsiTheme="minorHAnsi" w:cstheme="minorHAnsi"/>
        </w:rPr>
        <w:t xml:space="preserve">27% of </w:t>
      </w:r>
      <w:r w:rsidRPr="00764BE0">
        <w:rPr>
          <w:rFonts w:asciiTheme="minorHAnsi" w:hAnsiTheme="minorHAnsi" w:cstheme="minorHAnsi"/>
        </w:rPr>
        <w:t xml:space="preserve">participants who were subject to </w:t>
      </w:r>
      <w:r w:rsidR="00BB5B07">
        <w:rPr>
          <w:rFonts w:asciiTheme="minorHAnsi" w:hAnsiTheme="minorHAnsi" w:cstheme="minorHAnsi"/>
        </w:rPr>
        <w:t>URPs in 2020-21</w:t>
      </w:r>
      <w:r w:rsidRPr="00764BE0">
        <w:rPr>
          <w:rFonts w:asciiTheme="minorHAnsi" w:hAnsiTheme="minorHAnsi" w:cstheme="minorHAnsi"/>
        </w:rPr>
        <w:t xml:space="preserve"> were subject to only one </w:t>
      </w:r>
      <w:r w:rsidR="00BB5B07">
        <w:rPr>
          <w:rFonts w:asciiTheme="minorHAnsi" w:hAnsiTheme="minorHAnsi" w:cstheme="minorHAnsi"/>
        </w:rPr>
        <w:t>URP</w:t>
      </w:r>
      <w:r w:rsidRPr="00764BE0">
        <w:rPr>
          <w:rFonts w:asciiTheme="minorHAnsi" w:hAnsiTheme="minorHAnsi" w:cstheme="minorHAnsi"/>
        </w:rPr>
        <w:t xml:space="preserve">. Where participants were subject to only a few </w:t>
      </w:r>
      <w:r w:rsidR="00CE344E">
        <w:rPr>
          <w:rFonts w:asciiTheme="minorHAnsi" w:hAnsiTheme="minorHAnsi" w:cstheme="minorHAnsi"/>
        </w:rPr>
        <w:t xml:space="preserve">URPs </w:t>
      </w:r>
      <w:r w:rsidRPr="00764BE0">
        <w:rPr>
          <w:rFonts w:asciiTheme="minorHAnsi" w:hAnsiTheme="minorHAnsi" w:cstheme="minorHAnsi"/>
        </w:rPr>
        <w:t>throughout the year, these may also be single, emergency uses of restrictive practices which are not required to be authorised (if required) or used in accordance with a behaviour support plan.</w:t>
      </w:r>
    </w:p>
    <w:p w14:paraId="29020A5A" w14:textId="77777777" w:rsidR="00BF04DC" w:rsidRPr="00764BE0" w:rsidRDefault="00BF04DC" w:rsidP="00BB5B07">
      <w:pPr>
        <w:rPr>
          <w:rFonts w:asciiTheme="minorHAnsi" w:hAnsiTheme="minorHAnsi" w:cstheme="minorHAnsi"/>
        </w:rPr>
      </w:pPr>
      <w:r w:rsidRPr="00764BE0">
        <w:rPr>
          <w:rFonts w:asciiTheme="minorHAnsi" w:hAnsiTheme="minorHAnsi" w:cstheme="minorHAnsi"/>
        </w:rPr>
        <w:t xml:space="preserve">However, the high number of </w:t>
      </w:r>
      <w:r w:rsidR="00BB5B07">
        <w:rPr>
          <w:rFonts w:asciiTheme="minorHAnsi" w:hAnsiTheme="minorHAnsi" w:cstheme="minorHAnsi"/>
        </w:rPr>
        <w:t xml:space="preserve">URPs in 2020-21 </w:t>
      </w:r>
      <w:r w:rsidRPr="00764BE0">
        <w:rPr>
          <w:rFonts w:asciiTheme="minorHAnsi" w:hAnsiTheme="minorHAnsi" w:cstheme="minorHAnsi"/>
        </w:rPr>
        <w:t>(1,032,064) shows that authorisation (if required) is not being obtained and behaviour support plans are not being prepared and submitted to the NDIS Commission as quickly as they should be for some participants.</w:t>
      </w:r>
      <w:r w:rsidR="004D3BB1">
        <w:rPr>
          <w:rFonts w:asciiTheme="minorHAnsi" w:hAnsiTheme="minorHAnsi" w:cstheme="minorHAnsi"/>
        </w:rPr>
        <w:t xml:space="preserve"> The reasons for this could include:</w:t>
      </w:r>
    </w:p>
    <w:p w14:paraId="05AC1A5E" w14:textId="77777777" w:rsidR="004D3BB1" w:rsidRPr="00842A26" w:rsidRDefault="004D3BB1" w:rsidP="003A1DA0">
      <w:pPr>
        <w:numPr>
          <w:ilvl w:val="0"/>
          <w:numId w:val="13"/>
        </w:numPr>
        <w:rPr>
          <w:rFonts w:asciiTheme="minorHAnsi" w:hAnsiTheme="minorHAnsi" w:cstheme="minorHAnsi"/>
        </w:rPr>
      </w:pPr>
      <w:r w:rsidRPr="00842A26">
        <w:rPr>
          <w:rFonts w:asciiTheme="minorHAnsi" w:hAnsiTheme="minorHAnsi" w:cstheme="minorHAnsi"/>
        </w:rPr>
        <w:t>decisions to be taken by an NDIS participant or their supporters about a behaviours support provider to prepare a plan, or a chosen behaviour support provider not being available;</w:t>
      </w:r>
    </w:p>
    <w:p w14:paraId="367C4AFC" w14:textId="77777777" w:rsidR="004D3BB1" w:rsidRPr="00842A26" w:rsidRDefault="004D3BB1" w:rsidP="003A1DA0">
      <w:pPr>
        <w:numPr>
          <w:ilvl w:val="0"/>
          <w:numId w:val="13"/>
        </w:numPr>
        <w:rPr>
          <w:rFonts w:asciiTheme="minorHAnsi" w:hAnsiTheme="minorHAnsi" w:cstheme="minorHAnsi"/>
        </w:rPr>
      </w:pPr>
      <w:r w:rsidRPr="00842A26">
        <w:rPr>
          <w:rFonts w:asciiTheme="minorHAnsi" w:hAnsiTheme="minorHAnsi" w:cstheme="minorHAnsi"/>
        </w:rPr>
        <w:t xml:space="preserve">authorisation processes involving </w:t>
      </w:r>
      <w:r w:rsidR="00842A26" w:rsidRPr="00842A26">
        <w:rPr>
          <w:rFonts w:asciiTheme="minorHAnsi" w:hAnsiTheme="minorHAnsi" w:cstheme="minorHAnsi"/>
        </w:rPr>
        <w:t xml:space="preserve">more complex steps for some participants such as applications to administrative tribunals; </w:t>
      </w:r>
    </w:p>
    <w:p w14:paraId="59558049" w14:textId="77777777" w:rsidR="00842A26" w:rsidRPr="00842A26" w:rsidRDefault="00842A26" w:rsidP="003A1DA0">
      <w:pPr>
        <w:numPr>
          <w:ilvl w:val="0"/>
          <w:numId w:val="13"/>
        </w:numPr>
        <w:rPr>
          <w:rFonts w:asciiTheme="minorHAnsi" w:hAnsiTheme="minorHAnsi" w:cstheme="minorHAnsi"/>
        </w:rPr>
      </w:pPr>
      <w:r w:rsidRPr="00842A26">
        <w:rPr>
          <w:rFonts w:asciiTheme="minorHAnsi" w:hAnsiTheme="minorHAnsi" w:cstheme="minorHAnsi"/>
        </w:rPr>
        <w:t xml:space="preserve">authorisations expiring  during the development of a comprehensive behaviour support plan; </w:t>
      </w:r>
    </w:p>
    <w:p w14:paraId="40274916" w14:textId="77777777" w:rsidR="00842A26" w:rsidRPr="00842A26" w:rsidRDefault="00842A26" w:rsidP="003A1DA0">
      <w:pPr>
        <w:numPr>
          <w:ilvl w:val="0"/>
          <w:numId w:val="13"/>
        </w:numPr>
        <w:rPr>
          <w:rFonts w:asciiTheme="minorHAnsi" w:hAnsiTheme="minorHAnsi" w:cstheme="minorHAnsi"/>
        </w:rPr>
      </w:pPr>
      <w:r w:rsidRPr="00842A26">
        <w:rPr>
          <w:rFonts w:asciiTheme="minorHAnsi" w:hAnsiTheme="minorHAnsi" w:cstheme="minorHAnsi"/>
        </w:rPr>
        <w:t xml:space="preserve">failure of an implementing provider, or a behaviour support provider to comply with their obligations to take all reasonable steps to obtain authorisation or develop a behaviour support plan.  </w:t>
      </w:r>
    </w:p>
    <w:p w14:paraId="2A8AD2F8" w14:textId="4FD08EDF" w:rsidR="00A234F6" w:rsidRPr="00542685" w:rsidRDefault="00A234F6" w:rsidP="00BB5B07">
      <w:pPr>
        <w:rPr>
          <w:rFonts w:asciiTheme="minorHAnsi" w:hAnsiTheme="minorHAnsi" w:cstheme="minorHAnsi"/>
        </w:rPr>
      </w:pPr>
      <w:r w:rsidRPr="00542685">
        <w:rPr>
          <w:rFonts w:asciiTheme="minorHAnsi" w:hAnsiTheme="minorHAnsi" w:cstheme="minorHAnsi"/>
        </w:rPr>
        <w:t xml:space="preserve">The NDIS Commission’s compliance action in </w:t>
      </w:r>
      <w:r w:rsidR="00542685" w:rsidRPr="00542685">
        <w:rPr>
          <w:rFonts w:asciiTheme="minorHAnsi" w:hAnsiTheme="minorHAnsi" w:cstheme="minorHAnsi"/>
        </w:rPr>
        <w:t xml:space="preserve">2019-20 required providers to provide information about URPs notified over the period July 2019 to September 2020 and demonstrate compliance with regulatory requirements in relation to a number of those URPs. That compliance action provides important information on the factors that contribute to the growing number of URPs at that time, </w:t>
      </w:r>
      <w:r w:rsidR="00542685" w:rsidRPr="00C832E6">
        <w:rPr>
          <w:rFonts w:asciiTheme="minorHAnsi" w:hAnsiTheme="minorHAnsi" w:cstheme="minorHAnsi"/>
        </w:rPr>
        <w:t>with the main reason being action required by providers to be compliant</w:t>
      </w:r>
      <w:r w:rsidR="00542685">
        <w:rPr>
          <w:rStyle w:val="FootnoteReference"/>
          <w:rFonts w:asciiTheme="minorHAnsi" w:hAnsiTheme="minorHAnsi" w:cstheme="minorHAnsi"/>
        </w:rPr>
        <w:footnoteReference w:id="13"/>
      </w:r>
      <w:r w:rsidR="00542685" w:rsidRPr="00542685">
        <w:rPr>
          <w:rFonts w:asciiTheme="minorHAnsi" w:hAnsiTheme="minorHAnsi" w:cstheme="minorHAnsi"/>
        </w:rPr>
        <w:t xml:space="preserve">.  </w:t>
      </w:r>
    </w:p>
    <w:p w14:paraId="2ACC3BF4" w14:textId="77777777" w:rsidR="00BB5B07" w:rsidRDefault="00BB5B07" w:rsidP="00C832E6">
      <w:pPr>
        <w:rPr>
          <w:rFonts w:asciiTheme="minorHAnsi" w:hAnsiTheme="minorHAnsi" w:cstheme="minorHAnsi"/>
        </w:rPr>
      </w:pPr>
      <w:r>
        <w:rPr>
          <w:rFonts w:asciiTheme="minorHAnsi" w:hAnsiTheme="minorHAnsi" w:cstheme="minorHAnsi"/>
        </w:rPr>
        <w:t>The data on URPs in 2020-21 shows that:</w:t>
      </w:r>
    </w:p>
    <w:p w14:paraId="7824BA88" w14:textId="77777777" w:rsidR="00BF04DC" w:rsidRDefault="00BB5B07"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a relatively small number of participants (</w:t>
      </w:r>
      <w:r w:rsidR="007F465B" w:rsidRPr="00667C0C">
        <w:rPr>
          <w:rFonts w:asciiTheme="minorHAnsi" w:hAnsiTheme="minorHAnsi" w:cstheme="minorHAnsi"/>
        </w:rPr>
        <w:t>776</w:t>
      </w:r>
      <w:r w:rsidRPr="00667C0C">
        <w:rPr>
          <w:rFonts w:asciiTheme="minorHAnsi" w:hAnsiTheme="minorHAnsi" w:cstheme="minorHAnsi"/>
        </w:rPr>
        <w:t xml:space="preserve"> or 10% of participants subject to URPs) are subject to high numbers of ongoing URPs (</w:t>
      </w:r>
      <w:r w:rsidR="007F465B" w:rsidRPr="00667C0C">
        <w:rPr>
          <w:rFonts w:asciiTheme="minorHAnsi" w:hAnsiTheme="minorHAnsi" w:cstheme="minorHAnsi"/>
        </w:rPr>
        <w:t>62</w:t>
      </w:r>
      <w:r w:rsidRPr="00667C0C">
        <w:rPr>
          <w:rFonts w:asciiTheme="minorHAnsi" w:hAnsiTheme="minorHAnsi" w:cstheme="minorHAnsi"/>
        </w:rPr>
        <w:t>%</w:t>
      </w:r>
      <w:r>
        <w:rPr>
          <w:rFonts w:asciiTheme="minorHAnsi" w:hAnsiTheme="minorHAnsi" w:cstheme="minorHAnsi"/>
        </w:rPr>
        <w:t xml:space="preserve"> of total URPs)</w:t>
      </w:r>
    </w:p>
    <w:p w14:paraId="3414EAC5" w14:textId="77777777" w:rsidR="00BB5B07" w:rsidRDefault="00BB5B07" w:rsidP="003A1DA0">
      <w:pPr>
        <w:pStyle w:val="ListParagraph"/>
        <w:numPr>
          <w:ilvl w:val="0"/>
          <w:numId w:val="1"/>
        </w:numPr>
        <w:ind w:left="714" w:hanging="357"/>
        <w:contextualSpacing w:val="0"/>
        <w:rPr>
          <w:rFonts w:asciiTheme="minorHAnsi" w:hAnsiTheme="minorHAnsi" w:cstheme="minorHAnsi"/>
        </w:rPr>
      </w:pPr>
      <w:r>
        <w:rPr>
          <w:rFonts w:asciiTheme="minorHAnsi" w:hAnsiTheme="minorHAnsi" w:cstheme="minorHAnsi"/>
        </w:rPr>
        <w:t xml:space="preserve">a relatively small number of providers (10) </w:t>
      </w:r>
      <w:r w:rsidR="005D188D">
        <w:rPr>
          <w:rFonts w:asciiTheme="minorHAnsi" w:hAnsiTheme="minorHAnsi" w:cstheme="minorHAnsi"/>
        </w:rPr>
        <w:t>report a large proportion of</w:t>
      </w:r>
      <w:r>
        <w:rPr>
          <w:rFonts w:asciiTheme="minorHAnsi" w:hAnsiTheme="minorHAnsi" w:cstheme="minorHAnsi"/>
        </w:rPr>
        <w:t xml:space="preserve"> URPs (</w:t>
      </w:r>
      <w:r w:rsidR="005D188D">
        <w:rPr>
          <w:rFonts w:asciiTheme="minorHAnsi" w:hAnsiTheme="minorHAnsi" w:cstheme="minorHAnsi"/>
        </w:rPr>
        <w:t>37</w:t>
      </w:r>
      <w:r>
        <w:rPr>
          <w:rFonts w:asciiTheme="minorHAnsi" w:hAnsiTheme="minorHAnsi" w:cstheme="minorHAnsi"/>
        </w:rPr>
        <w:t>% of total URPs).</w:t>
      </w:r>
    </w:p>
    <w:p w14:paraId="217F48AE" w14:textId="77777777" w:rsidR="00BB5B07" w:rsidRDefault="008D3EB1" w:rsidP="00BB5B07">
      <w:pPr>
        <w:rPr>
          <w:rFonts w:asciiTheme="minorHAnsi" w:hAnsiTheme="minorHAnsi" w:cstheme="minorHAnsi"/>
        </w:rPr>
      </w:pPr>
      <w:r>
        <w:rPr>
          <w:rFonts w:asciiTheme="minorHAnsi" w:hAnsiTheme="minorHAnsi" w:cstheme="minorHAnsi"/>
        </w:rPr>
        <w:t xml:space="preserve">These analyses demonstrate that, in taking action to bring the use of regulated restrictive practices into compliance with the regulatory requirements to promote and protect the human rights of affected participants and to reduce and eliminate the use of restrictive practices, the NDIS Commission’s attention is properly focused on the small number of participants subject to high numbers of ongoing URPs, and on the providers who use the most URPs. This attention is directed at ensuring that providers that use URPs, and providers that provide specialist behaviour support, comply with their obligations to obtain authorisation, if required, and develop and implement behaviour support plans for participants subject to ongoing uses of regulated restrictive practices.  </w:t>
      </w:r>
    </w:p>
    <w:p w14:paraId="42B0586E" w14:textId="77777777" w:rsidR="00842A26" w:rsidRDefault="00842A26" w:rsidP="008D3EB1">
      <w:pPr>
        <w:pStyle w:val="Heading2"/>
      </w:pPr>
      <w:bookmarkStart w:id="25" w:name="_Toc90626689"/>
    </w:p>
    <w:p w14:paraId="06BE8D8D" w14:textId="77777777" w:rsidR="00BF04DC" w:rsidRPr="0097490A" w:rsidRDefault="00BF04DC" w:rsidP="0097490A">
      <w:pPr>
        <w:pStyle w:val="Heading2"/>
        <w:pBdr>
          <w:bottom w:val="single" w:sz="4" w:space="1" w:color="auto"/>
        </w:pBdr>
        <w:rPr>
          <w:sz w:val="32"/>
          <w:szCs w:val="32"/>
        </w:rPr>
      </w:pPr>
      <w:r w:rsidRPr="0097490A">
        <w:rPr>
          <w:sz w:val="32"/>
          <w:szCs w:val="32"/>
        </w:rPr>
        <w:t>Priority actions</w:t>
      </w:r>
      <w:bookmarkEnd w:id="25"/>
    </w:p>
    <w:p w14:paraId="57490F93" w14:textId="77777777" w:rsidR="008D3EB1" w:rsidRPr="008D3EB1" w:rsidRDefault="008D3EB1" w:rsidP="008D3EB1">
      <w:pPr>
        <w:rPr>
          <w:rFonts w:asciiTheme="minorHAnsi" w:hAnsiTheme="minorHAnsi" w:cstheme="minorHAnsi"/>
        </w:rPr>
      </w:pPr>
      <w:r>
        <w:rPr>
          <w:rFonts w:asciiTheme="minorHAnsi" w:hAnsiTheme="minorHAnsi" w:cstheme="minorHAnsi"/>
        </w:rPr>
        <w:t xml:space="preserve">The NDIS Commission has identified the following priority actions. </w:t>
      </w:r>
    </w:p>
    <w:p w14:paraId="28E75176" w14:textId="77777777" w:rsidR="00BF04DC" w:rsidRPr="00C3568C" w:rsidRDefault="00BF04DC" w:rsidP="003A1DA0">
      <w:pPr>
        <w:pStyle w:val="ListParagraph"/>
        <w:numPr>
          <w:ilvl w:val="0"/>
          <w:numId w:val="8"/>
        </w:numPr>
        <w:spacing w:before="200" w:after="0"/>
        <w:outlineLvl w:val="1"/>
        <w:rPr>
          <w:rFonts w:asciiTheme="minorHAnsi" w:eastAsiaTheme="majorEastAsia" w:hAnsiTheme="minorHAnsi" w:cstheme="minorHAnsi"/>
          <w:b/>
          <w:bCs/>
          <w:sz w:val="26"/>
          <w:szCs w:val="26"/>
        </w:rPr>
      </w:pPr>
      <w:r w:rsidRPr="00C3568C">
        <w:rPr>
          <w:rFonts w:asciiTheme="minorHAnsi" w:eastAsiaTheme="majorEastAsia" w:hAnsiTheme="minorHAnsi" w:cstheme="minorHAnsi"/>
          <w:b/>
          <w:bCs/>
          <w:sz w:val="26"/>
          <w:szCs w:val="26"/>
        </w:rPr>
        <w:t xml:space="preserve">Continue </w:t>
      </w:r>
      <w:r w:rsidR="00FF2DBC">
        <w:rPr>
          <w:rFonts w:asciiTheme="minorHAnsi" w:eastAsiaTheme="majorEastAsia" w:hAnsiTheme="minorHAnsi" w:cstheme="minorHAnsi"/>
          <w:b/>
          <w:bCs/>
          <w:sz w:val="26"/>
          <w:szCs w:val="26"/>
        </w:rPr>
        <w:t xml:space="preserve">to target </w:t>
      </w:r>
      <w:r w:rsidRPr="00C3568C">
        <w:rPr>
          <w:rFonts w:asciiTheme="minorHAnsi" w:eastAsiaTheme="majorEastAsia" w:hAnsiTheme="minorHAnsi" w:cstheme="minorHAnsi"/>
          <w:b/>
          <w:bCs/>
          <w:sz w:val="26"/>
          <w:szCs w:val="26"/>
        </w:rPr>
        <w:t>the current compliance activity</w:t>
      </w:r>
      <w:r w:rsidR="00FF2DBC">
        <w:rPr>
          <w:rFonts w:asciiTheme="minorHAnsi" w:eastAsiaTheme="majorEastAsia" w:hAnsiTheme="minorHAnsi" w:cstheme="minorHAnsi"/>
          <w:b/>
          <w:bCs/>
          <w:sz w:val="26"/>
          <w:szCs w:val="26"/>
        </w:rPr>
        <w:t xml:space="preserve"> on participant outcomes</w:t>
      </w:r>
    </w:p>
    <w:p w14:paraId="4D2CE8F8" w14:textId="62F5E21D" w:rsidR="00BF04DC" w:rsidRPr="00764BE0" w:rsidRDefault="00BB0E14" w:rsidP="00BF04DC">
      <w:pPr>
        <w:rPr>
          <w:rFonts w:asciiTheme="minorHAnsi" w:hAnsiTheme="minorHAnsi" w:cstheme="minorHAnsi"/>
        </w:rPr>
      </w:pPr>
      <w:r>
        <w:rPr>
          <w:rFonts w:asciiTheme="minorHAnsi" w:hAnsiTheme="minorHAnsi" w:cstheme="minorHAnsi"/>
        </w:rPr>
        <w:t xml:space="preserve">The NDIS Commission will continue to focus </w:t>
      </w:r>
      <w:r w:rsidR="00A234F6">
        <w:rPr>
          <w:rFonts w:asciiTheme="minorHAnsi" w:hAnsiTheme="minorHAnsi" w:cstheme="minorHAnsi"/>
        </w:rPr>
        <w:t>the</w:t>
      </w:r>
      <w:r w:rsidR="00563A3F">
        <w:rPr>
          <w:rFonts w:asciiTheme="minorHAnsi" w:hAnsiTheme="minorHAnsi" w:cstheme="minorHAnsi"/>
        </w:rPr>
        <w:t xml:space="preserve"> complia</w:t>
      </w:r>
      <w:r>
        <w:rPr>
          <w:rFonts w:asciiTheme="minorHAnsi" w:hAnsiTheme="minorHAnsi" w:cstheme="minorHAnsi"/>
        </w:rPr>
        <w:t xml:space="preserve">nce action </w:t>
      </w:r>
      <w:r w:rsidR="00A234F6">
        <w:rPr>
          <w:rFonts w:asciiTheme="minorHAnsi" w:hAnsiTheme="minorHAnsi" w:cstheme="minorHAnsi"/>
        </w:rPr>
        <w:t xml:space="preserve">commenced in 2021-22 </w:t>
      </w:r>
      <w:r>
        <w:rPr>
          <w:rFonts w:asciiTheme="minorHAnsi" w:hAnsiTheme="minorHAnsi" w:cstheme="minorHAnsi"/>
        </w:rPr>
        <w:t xml:space="preserve">on the </w:t>
      </w:r>
      <w:r w:rsidR="00BF04DC" w:rsidRPr="00764BE0">
        <w:rPr>
          <w:rFonts w:asciiTheme="minorHAnsi" w:hAnsiTheme="minorHAnsi" w:cstheme="minorHAnsi"/>
        </w:rPr>
        <w:t xml:space="preserve">participants who are subject to the highest number of </w:t>
      </w:r>
      <w:r w:rsidR="00CE344E">
        <w:rPr>
          <w:rFonts w:asciiTheme="minorHAnsi" w:hAnsiTheme="minorHAnsi" w:cstheme="minorHAnsi"/>
        </w:rPr>
        <w:t>URPs</w:t>
      </w:r>
      <w:r w:rsidR="00BF04DC" w:rsidRPr="00764BE0">
        <w:rPr>
          <w:rFonts w:asciiTheme="minorHAnsi" w:hAnsiTheme="minorHAnsi" w:cstheme="minorHAnsi"/>
        </w:rPr>
        <w:t xml:space="preserve">, targeting the NDIS providers who are using those restrictive practices and the specialist behaviour support providers who have been engaged to prepare the participant’s behaviour support plan. </w:t>
      </w:r>
      <w:r w:rsidR="00A234F6">
        <w:rPr>
          <w:rFonts w:asciiTheme="minorHAnsi" w:hAnsiTheme="minorHAnsi" w:cstheme="minorHAnsi"/>
        </w:rPr>
        <w:t xml:space="preserve">In doing so the NDIS Commission will draw on extensive information obtained through compliance action undertaken in </w:t>
      </w:r>
      <w:r w:rsidR="00542685">
        <w:rPr>
          <w:rFonts w:asciiTheme="minorHAnsi" w:hAnsiTheme="minorHAnsi" w:cstheme="minorHAnsi"/>
        </w:rPr>
        <w:t xml:space="preserve">2019-20 on the factors contributing </w:t>
      </w:r>
      <w:r w:rsidR="00563A3F">
        <w:rPr>
          <w:rFonts w:asciiTheme="minorHAnsi" w:hAnsiTheme="minorHAnsi" w:cstheme="minorHAnsi"/>
        </w:rPr>
        <w:t xml:space="preserve">to </w:t>
      </w:r>
      <w:r w:rsidR="00542685">
        <w:rPr>
          <w:rFonts w:asciiTheme="minorHAnsi" w:hAnsiTheme="minorHAnsi" w:cstheme="minorHAnsi"/>
        </w:rPr>
        <w:t xml:space="preserve">the ongoing use of URPs. </w:t>
      </w:r>
      <w:r w:rsidR="00A234F6">
        <w:rPr>
          <w:rFonts w:asciiTheme="minorHAnsi" w:hAnsiTheme="minorHAnsi" w:cstheme="minorHAnsi"/>
        </w:rPr>
        <w:t xml:space="preserve"> </w:t>
      </w:r>
    </w:p>
    <w:p w14:paraId="4EF24869" w14:textId="77777777" w:rsidR="00BF04DC" w:rsidRPr="00C3568C" w:rsidRDefault="00BF04DC" w:rsidP="003A1DA0">
      <w:pPr>
        <w:pStyle w:val="ListParagraph"/>
        <w:numPr>
          <w:ilvl w:val="0"/>
          <w:numId w:val="8"/>
        </w:numPr>
        <w:spacing w:before="200" w:after="0"/>
        <w:outlineLvl w:val="1"/>
        <w:rPr>
          <w:rFonts w:asciiTheme="minorHAnsi" w:eastAsiaTheme="majorEastAsia" w:hAnsiTheme="minorHAnsi" w:cstheme="minorHAnsi"/>
          <w:b/>
          <w:bCs/>
          <w:sz w:val="26"/>
          <w:szCs w:val="26"/>
        </w:rPr>
      </w:pPr>
      <w:r w:rsidRPr="00C3568C">
        <w:rPr>
          <w:rFonts w:asciiTheme="minorHAnsi" w:eastAsiaTheme="majorEastAsia" w:hAnsiTheme="minorHAnsi" w:cstheme="minorHAnsi"/>
          <w:b/>
          <w:bCs/>
          <w:sz w:val="26"/>
          <w:szCs w:val="26"/>
        </w:rPr>
        <w:t xml:space="preserve">Increase focus on compliance as soon as notifications of </w:t>
      </w:r>
      <w:r w:rsidR="00CE344E">
        <w:rPr>
          <w:rFonts w:asciiTheme="minorHAnsi" w:eastAsiaTheme="majorEastAsia" w:hAnsiTheme="minorHAnsi" w:cstheme="minorHAnsi"/>
          <w:b/>
          <w:bCs/>
          <w:sz w:val="26"/>
          <w:szCs w:val="26"/>
        </w:rPr>
        <w:t>URPs</w:t>
      </w:r>
      <w:r w:rsidRPr="00C3568C">
        <w:rPr>
          <w:rFonts w:asciiTheme="minorHAnsi" w:eastAsiaTheme="majorEastAsia" w:hAnsiTheme="minorHAnsi" w:cstheme="minorHAnsi"/>
          <w:b/>
          <w:bCs/>
          <w:sz w:val="26"/>
          <w:szCs w:val="26"/>
        </w:rPr>
        <w:t xml:space="preserve"> are received</w:t>
      </w:r>
    </w:p>
    <w:p w14:paraId="3FD0C793" w14:textId="6DC523DB" w:rsidR="00BF04DC" w:rsidRPr="00764BE0" w:rsidRDefault="00BB0E14" w:rsidP="00BF04DC">
      <w:pPr>
        <w:rPr>
          <w:rFonts w:asciiTheme="minorHAnsi" w:hAnsiTheme="minorHAnsi" w:cstheme="minorHAnsi"/>
        </w:rPr>
      </w:pPr>
      <w:r>
        <w:rPr>
          <w:rFonts w:asciiTheme="minorHAnsi" w:hAnsiTheme="minorHAnsi" w:cstheme="minorHAnsi"/>
        </w:rPr>
        <w:t>The NDIS Commission continue work commenced in 2021-22 to identify early</w:t>
      </w:r>
      <w:r w:rsidR="00BF04DC" w:rsidRPr="00764BE0">
        <w:rPr>
          <w:rFonts w:asciiTheme="minorHAnsi" w:hAnsiTheme="minorHAnsi" w:cstheme="minorHAnsi"/>
        </w:rPr>
        <w:t xml:space="preserve"> </w:t>
      </w:r>
      <w:r w:rsidR="00CE344E">
        <w:rPr>
          <w:rFonts w:asciiTheme="minorHAnsi" w:hAnsiTheme="minorHAnsi" w:cstheme="minorHAnsi"/>
        </w:rPr>
        <w:t xml:space="preserve">URPs </w:t>
      </w:r>
      <w:r w:rsidR="00BF04DC" w:rsidRPr="00764BE0">
        <w:rPr>
          <w:rFonts w:asciiTheme="minorHAnsi" w:hAnsiTheme="minorHAnsi" w:cstheme="minorHAnsi"/>
        </w:rPr>
        <w:t xml:space="preserve">that are likely to be ongoing when they are first notified; engaging with the NDIS provider who notified the use; following up on compliance with the more detailed guidance on what taking all reasonable steps to facilitate the development of an interim or comprehensive behaviour support plan requires; identify and seeking to address early any problems that are likely to cause delay; </w:t>
      </w:r>
      <w:r>
        <w:rPr>
          <w:rFonts w:asciiTheme="minorHAnsi" w:hAnsiTheme="minorHAnsi" w:cstheme="minorHAnsi"/>
        </w:rPr>
        <w:t xml:space="preserve">and </w:t>
      </w:r>
      <w:r w:rsidR="00BF04DC" w:rsidRPr="00764BE0">
        <w:rPr>
          <w:rFonts w:asciiTheme="minorHAnsi" w:hAnsiTheme="minorHAnsi" w:cstheme="minorHAnsi"/>
        </w:rPr>
        <w:t>engaging with the specialist behaviour support provider to ensure timeframes for behaviour support plans are understood and met.</w:t>
      </w:r>
    </w:p>
    <w:p w14:paraId="47852DAA" w14:textId="77777777" w:rsidR="00BF04DC" w:rsidRPr="00C3568C" w:rsidRDefault="00BF04DC" w:rsidP="003A1DA0">
      <w:pPr>
        <w:pStyle w:val="ListParagraph"/>
        <w:numPr>
          <w:ilvl w:val="0"/>
          <w:numId w:val="8"/>
        </w:numPr>
        <w:spacing w:before="200" w:after="0"/>
        <w:outlineLvl w:val="1"/>
        <w:rPr>
          <w:rFonts w:asciiTheme="minorHAnsi" w:eastAsiaTheme="majorEastAsia" w:hAnsiTheme="minorHAnsi" w:cstheme="minorHAnsi"/>
          <w:b/>
          <w:bCs/>
          <w:sz w:val="26"/>
          <w:szCs w:val="26"/>
        </w:rPr>
      </w:pPr>
      <w:r w:rsidRPr="00C3568C">
        <w:rPr>
          <w:rFonts w:asciiTheme="minorHAnsi" w:eastAsiaTheme="majorEastAsia" w:hAnsiTheme="minorHAnsi" w:cstheme="minorHAnsi"/>
          <w:b/>
          <w:bCs/>
          <w:sz w:val="26"/>
          <w:szCs w:val="26"/>
        </w:rPr>
        <w:t>Continue engagement with States and Territories on authorisation processes</w:t>
      </w:r>
    </w:p>
    <w:p w14:paraId="5B35B5BD" w14:textId="6636FDBD" w:rsidR="00BF04DC" w:rsidRPr="001A40C7" w:rsidRDefault="00BB0E14" w:rsidP="00542685">
      <w:pPr>
        <w:pStyle w:val="Numb"/>
        <w:numPr>
          <w:ilvl w:val="0"/>
          <w:numId w:val="0"/>
        </w:numPr>
        <w:spacing w:after="200" w:line="276" w:lineRule="auto"/>
      </w:pPr>
      <w:r>
        <w:rPr>
          <w:rFonts w:asciiTheme="minorHAnsi" w:hAnsiTheme="minorHAnsi" w:cstheme="minorHAnsi"/>
        </w:rPr>
        <w:t xml:space="preserve">The NDIS </w:t>
      </w:r>
      <w:r w:rsidRPr="001A40C7">
        <w:rPr>
          <w:rFonts w:asciiTheme="minorHAnsi" w:hAnsiTheme="minorHAnsi" w:cstheme="minorHAnsi"/>
        </w:rPr>
        <w:t xml:space="preserve">Commission continues to work with all states and territories to </w:t>
      </w:r>
      <w:r w:rsidR="001A40C7" w:rsidRPr="001A40C7">
        <w:rPr>
          <w:rFonts w:asciiTheme="minorHAnsi" w:hAnsiTheme="minorHAnsi" w:cstheme="minorHAnsi"/>
        </w:rPr>
        <w:t>apply</w:t>
      </w:r>
      <w:r w:rsidR="001A40C7">
        <w:rPr>
          <w:rFonts w:asciiTheme="minorHAnsi" w:hAnsiTheme="minorHAnsi" w:cstheme="minorHAnsi"/>
        </w:rPr>
        <w:t xml:space="preserve"> shared </w:t>
      </w:r>
      <w:r w:rsidR="001A40C7" w:rsidRPr="001A40C7">
        <w:rPr>
          <w:rFonts w:asciiTheme="minorHAnsi" w:hAnsiTheme="minorHAnsi" w:cstheme="minorHAnsi"/>
        </w:rPr>
        <w:t xml:space="preserve">principles to achieve national consistency in authorisation for the use of restrictive practices, and the reduction and ultimately elimination of such practices consistent with the </w:t>
      </w:r>
      <w:r w:rsidR="001A40C7" w:rsidRPr="001A40C7">
        <w:rPr>
          <w:rFonts w:asciiTheme="minorHAnsi" w:hAnsiTheme="minorHAnsi" w:cstheme="minorHAnsi"/>
          <w:i/>
        </w:rPr>
        <w:t>National Framework for Reducing and Eliminating the Use of Restrictive Practices</w:t>
      </w:r>
      <w:r w:rsidR="001A40C7" w:rsidRPr="001A40C7">
        <w:rPr>
          <w:rFonts w:asciiTheme="minorHAnsi" w:hAnsiTheme="minorHAnsi" w:cstheme="minorHAnsi"/>
        </w:rPr>
        <w:t xml:space="preserve"> </w:t>
      </w:r>
      <w:r w:rsidR="001A40C7" w:rsidRPr="001A40C7">
        <w:rPr>
          <w:rFonts w:asciiTheme="minorHAnsi" w:hAnsiTheme="minorHAnsi" w:cstheme="minorHAnsi"/>
          <w:i/>
        </w:rPr>
        <w:t>in the Disability Service Sector</w:t>
      </w:r>
      <w:r w:rsidR="001A40C7" w:rsidRPr="001A40C7">
        <w:rPr>
          <w:rFonts w:asciiTheme="minorHAnsi" w:hAnsiTheme="minorHAnsi" w:cstheme="minorHAnsi"/>
        </w:rPr>
        <w:t xml:space="preserve"> (National Framework) endorsed by all governments in 2014. </w:t>
      </w:r>
      <w:r w:rsidR="00BF04DC" w:rsidRPr="001A40C7">
        <w:rPr>
          <w:rFonts w:asciiTheme="minorHAnsi" w:hAnsiTheme="minorHAnsi" w:cstheme="minorHAnsi"/>
        </w:rPr>
        <w:t xml:space="preserve"> </w:t>
      </w:r>
      <w:r w:rsidR="001A40C7" w:rsidRPr="00360B66">
        <w:rPr>
          <w:rFonts w:asciiTheme="minorHAnsi" w:hAnsiTheme="minorHAnsi" w:cstheme="minorHAnsi"/>
          <w:color w:val="000000"/>
        </w:rPr>
        <w:t xml:space="preserve">States and territories have </w:t>
      </w:r>
      <w:r w:rsidR="00563A3F">
        <w:rPr>
          <w:rFonts w:asciiTheme="minorHAnsi" w:hAnsiTheme="minorHAnsi" w:cstheme="minorHAnsi"/>
          <w:color w:val="000000"/>
        </w:rPr>
        <w:t>plans</w:t>
      </w:r>
      <w:r w:rsidR="001A40C7" w:rsidRPr="00360B66">
        <w:rPr>
          <w:rFonts w:asciiTheme="minorHAnsi" w:hAnsiTheme="minorHAnsi" w:cstheme="minorHAnsi"/>
          <w:color w:val="000000"/>
        </w:rPr>
        <w:t xml:space="preserve"> in place to </w:t>
      </w:r>
      <w:r w:rsidR="001A40C7" w:rsidRPr="00542685">
        <w:rPr>
          <w:rFonts w:asciiTheme="minorHAnsi" w:hAnsiTheme="minorHAnsi" w:cstheme="minorHAnsi"/>
          <w:color w:val="000000"/>
        </w:rPr>
        <w:t>move to national</w:t>
      </w:r>
      <w:r w:rsidR="001A40C7" w:rsidRPr="001A40C7">
        <w:rPr>
          <w:rFonts w:asciiTheme="minorHAnsi" w:hAnsiTheme="minorHAnsi" w:cstheme="minorHAnsi"/>
          <w:color w:val="000000"/>
        </w:rPr>
        <w:t xml:space="preserve"> consistency with the principles, the implementation of which </w:t>
      </w:r>
      <w:r w:rsidR="001A40C7">
        <w:rPr>
          <w:rFonts w:asciiTheme="minorHAnsi" w:hAnsiTheme="minorHAnsi" w:cstheme="minorHAnsi"/>
          <w:color w:val="000000"/>
        </w:rPr>
        <w:t>are</w:t>
      </w:r>
      <w:r w:rsidR="001A40C7" w:rsidRPr="001A40C7">
        <w:rPr>
          <w:rFonts w:asciiTheme="minorHAnsi" w:hAnsiTheme="minorHAnsi" w:cstheme="minorHAnsi"/>
          <w:color w:val="000000"/>
        </w:rPr>
        <w:t xml:space="preserve"> monitored Disability Ministers</w:t>
      </w:r>
      <w:r w:rsidR="00BF04DC" w:rsidRPr="00764BE0">
        <w:rPr>
          <w:rFonts w:asciiTheme="minorHAnsi" w:hAnsiTheme="minorHAnsi" w:cstheme="minorHAnsi"/>
        </w:rPr>
        <w:t>.</w:t>
      </w:r>
    </w:p>
    <w:p w14:paraId="3689EB7A" w14:textId="77777777" w:rsidR="00BF04DC" w:rsidRPr="00C3568C" w:rsidRDefault="00BF04DC" w:rsidP="003A1DA0">
      <w:pPr>
        <w:pStyle w:val="ListParagraph"/>
        <w:numPr>
          <w:ilvl w:val="0"/>
          <w:numId w:val="8"/>
        </w:numPr>
        <w:spacing w:before="200" w:after="0"/>
        <w:outlineLvl w:val="1"/>
        <w:rPr>
          <w:rFonts w:asciiTheme="minorHAnsi" w:eastAsiaTheme="majorEastAsia" w:hAnsiTheme="minorHAnsi" w:cstheme="minorHAnsi"/>
          <w:b/>
          <w:bCs/>
          <w:sz w:val="26"/>
          <w:szCs w:val="26"/>
        </w:rPr>
      </w:pPr>
      <w:r w:rsidRPr="00C3568C">
        <w:rPr>
          <w:rFonts w:asciiTheme="minorHAnsi" w:eastAsiaTheme="majorEastAsia" w:hAnsiTheme="minorHAnsi" w:cstheme="minorHAnsi"/>
          <w:b/>
          <w:bCs/>
          <w:sz w:val="26"/>
          <w:szCs w:val="26"/>
        </w:rPr>
        <w:t>Increase the number and competence of behaviour support practitioners</w:t>
      </w:r>
    </w:p>
    <w:p w14:paraId="641B7CA9" w14:textId="7D821BF4" w:rsidR="00BF04DC" w:rsidRPr="00764BE0" w:rsidRDefault="00A234F6" w:rsidP="00542685">
      <w:pPr>
        <w:rPr>
          <w:rFonts w:asciiTheme="minorHAnsi" w:hAnsiTheme="minorHAnsi" w:cstheme="minorHAnsi"/>
        </w:rPr>
      </w:pPr>
      <w:r>
        <w:rPr>
          <w:rFonts w:asciiTheme="minorHAnsi" w:hAnsiTheme="minorHAnsi" w:cstheme="minorHAnsi"/>
        </w:rPr>
        <w:t>The</w:t>
      </w:r>
      <w:r w:rsidR="00360B66">
        <w:rPr>
          <w:rFonts w:asciiTheme="minorHAnsi" w:hAnsiTheme="minorHAnsi" w:cstheme="minorHAnsi"/>
        </w:rPr>
        <w:t xml:space="preserve"> NDIS Commission will </w:t>
      </w:r>
      <w:r>
        <w:rPr>
          <w:rFonts w:asciiTheme="minorHAnsi" w:hAnsiTheme="minorHAnsi" w:cstheme="minorHAnsi"/>
        </w:rPr>
        <w:t>continue to</w:t>
      </w:r>
      <w:r w:rsidR="00360B66">
        <w:rPr>
          <w:rFonts w:asciiTheme="minorHAnsi" w:hAnsiTheme="minorHAnsi" w:cstheme="minorHAnsi"/>
        </w:rPr>
        <w:t xml:space="preserve"> </w:t>
      </w:r>
      <w:r>
        <w:rPr>
          <w:rFonts w:asciiTheme="minorHAnsi" w:hAnsiTheme="minorHAnsi" w:cstheme="minorHAnsi"/>
        </w:rPr>
        <w:t>implement</w:t>
      </w:r>
      <w:r w:rsidR="00360B66">
        <w:rPr>
          <w:rFonts w:asciiTheme="minorHAnsi" w:hAnsiTheme="minorHAnsi" w:cstheme="minorHAnsi"/>
        </w:rPr>
        <w:t xml:space="preserve"> an extensive program of work, in </w:t>
      </w:r>
      <w:r>
        <w:rPr>
          <w:rFonts w:asciiTheme="minorHAnsi" w:hAnsiTheme="minorHAnsi" w:cstheme="minorHAnsi"/>
        </w:rPr>
        <w:t>collaboration</w:t>
      </w:r>
      <w:r w:rsidR="00360B66">
        <w:rPr>
          <w:rFonts w:asciiTheme="minorHAnsi" w:hAnsiTheme="minorHAnsi" w:cstheme="minorHAnsi"/>
        </w:rPr>
        <w:t xml:space="preserve"> with </w:t>
      </w:r>
      <w:r>
        <w:rPr>
          <w:rFonts w:asciiTheme="minorHAnsi" w:hAnsiTheme="minorHAnsi" w:cstheme="minorHAnsi"/>
        </w:rPr>
        <w:t>states</w:t>
      </w:r>
      <w:r w:rsidR="00360B66">
        <w:rPr>
          <w:rFonts w:asciiTheme="minorHAnsi" w:hAnsiTheme="minorHAnsi" w:cstheme="minorHAnsi"/>
        </w:rPr>
        <w:t xml:space="preserve"> and territories</w:t>
      </w:r>
      <w:r w:rsidR="00563A3F">
        <w:rPr>
          <w:rFonts w:asciiTheme="minorHAnsi" w:hAnsiTheme="minorHAnsi" w:cstheme="minorHAnsi"/>
        </w:rPr>
        <w:t>,</w:t>
      </w:r>
      <w:r w:rsidR="00360B66">
        <w:rPr>
          <w:rFonts w:asciiTheme="minorHAnsi" w:hAnsiTheme="minorHAnsi" w:cstheme="minorHAnsi"/>
        </w:rPr>
        <w:t xml:space="preserve"> to </w:t>
      </w:r>
      <w:r>
        <w:rPr>
          <w:rFonts w:asciiTheme="minorHAnsi" w:hAnsiTheme="minorHAnsi" w:cstheme="minorHAnsi"/>
        </w:rPr>
        <w:t>build</w:t>
      </w:r>
      <w:r w:rsidR="00360B66">
        <w:rPr>
          <w:rFonts w:asciiTheme="minorHAnsi" w:hAnsiTheme="minorHAnsi" w:cstheme="minorHAnsi"/>
        </w:rPr>
        <w:t xml:space="preserve"> the capability of behaviour support </w:t>
      </w:r>
      <w:r>
        <w:rPr>
          <w:rFonts w:asciiTheme="minorHAnsi" w:hAnsiTheme="minorHAnsi" w:cstheme="minorHAnsi"/>
        </w:rPr>
        <w:t>practitioners</w:t>
      </w:r>
      <w:r w:rsidR="00360B66">
        <w:rPr>
          <w:rFonts w:asciiTheme="minorHAnsi" w:hAnsiTheme="minorHAnsi" w:cstheme="minorHAnsi"/>
        </w:rPr>
        <w:t xml:space="preserve">, and </w:t>
      </w:r>
      <w:r>
        <w:rPr>
          <w:rFonts w:asciiTheme="minorHAnsi" w:hAnsiTheme="minorHAnsi" w:cstheme="minorHAnsi"/>
        </w:rPr>
        <w:t xml:space="preserve">to attract new practitioners to the NDIS market, participating in areas where there is a need to develop this market. There is a national plan in place to guide this work.  </w:t>
      </w:r>
    </w:p>
    <w:p w14:paraId="0D8A5B54" w14:textId="77777777" w:rsidR="00BF04DC" w:rsidRPr="00C3568C" w:rsidRDefault="00BF04DC" w:rsidP="003A1DA0">
      <w:pPr>
        <w:pStyle w:val="ListParagraph"/>
        <w:numPr>
          <w:ilvl w:val="0"/>
          <w:numId w:val="8"/>
        </w:numPr>
        <w:spacing w:before="200" w:after="0"/>
        <w:outlineLvl w:val="1"/>
        <w:rPr>
          <w:rFonts w:asciiTheme="minorHAnsi" w:eastAsiaTheme="majorEastAsia" w:hAnsiTheme="minorHAnsi" w:cstheme="minorHAnsi"/>
          <w:b/>
          <w:bCs/>
          <w:sz w:val="26"/>
          <w:szCs w:val="26"/>
        </w:rPr>
      </w:pPr>
      <w:r w:rsidRPr="00C3568C">
        <w:rPr>
          <w:rFonts w:asciiTheme="minorHAnsi" w:eastAsiaTheme="majorEastAsia" w:hAnsiTheme="minorHAnsi" w:cstheme="minorHAnsi"/>
          <w:b/>
          <w:bCs/>
          <w:sz w:val="26"/>
          <w:szCs w:val="26"/>
        </w:rPr>
        <w:t xml:space="preserve">Reviewing the interaction of the regulatory requirements in relation to behaviour support and reportable incidents </w:t>
      </w:r>
    </w:p>
    <w:p w14:paraId="0FDE69A1" w14:textId="77777777" w:rsidR="00BF04DC" w:rsidRPr="00764BE0" w:rsidRDefault="00BF04DC" w:rsidP="00BF04DC">
      <w:pPr>
        <w:rPr>
          <w:rFonts w:asciiTheme="minorHAnsi" w:hAnsiTheme="minorHAnsi" w:cstheme="minorHAnsi"/>
        </w:rPr>
      </w:pPr>
      <w:r w:rsidRPr="00764BE0">
        <w:rPr>
          <w:rFonts w:asciiTheme="minorHAnsi" w:hAnsiTheme="minorHAnsi" w:cstheme="minorHAnsi"/>
        </w:rPr>
        <w:t xml:space="preserve">Once the current compliance activity is completed, </w:t>
      </w:r>
      <w:r w:rsidR="00A234F6">
        <w:rPr>
          <w:rFonts w:asciiTheme="minorHAnsi" w:hAnsiTheme="minorHAnsi" w:cstheme="minorHAnsi"/>
        </w:rPr>
        <w:t xml:space="preserve">the NDIS Commission will </w:t>
      </w:r>
      <w:r w:rsidRPr="00764BE0">
        <w:rPr>
          <w:rFonts w:asciiTheme="minorHAnsi" w:hAnsiTheme="minorHAnsi" w:cstheme="minorHAnsi"/>
        </w:rPr>
        <w:t xml:space="preserve">reconsider the regulatory requirements to prevent the oversight of uses of restrictive practices in relation to a participant being split between reportable incidents and behaviour support. </w:t>
      </w:r>
    </w:p>
    <w:p w14:paraId="6286FD3C" w14:textId="1220F387" w:rsidR="00BF04DC" w:rsidRPr="00764BE0" w:rsidRDefault="00BF04DC" w:rsidP="00C3568C">
      <w:pPr>
        <w:rPr>
          <w:rFonts w:asciiTheme="minorHAnsi" w:hAnsiTheme="minorHAnsi" w:cstheme="minorHAnsi"/>
        </w:rPr>
      </w:pPr>
      <w:r w:rsidRPr="00764BE0">
        <w:rPr>
          <w:rFonts w:asciiTheme="minorHAnsi" w:hAnsiTheme="minorHAnsi" w:cstheme="minorHAnsi"/>
        </w:rPr>
        <w:t xml:space="preserve">This will give better ongoing oversight of what is happening for a participant who is subject to restrictive practices, whether authorised or unauthorised or both. It will enable </w:t>
      </w:r>
      <w:r w:rsidR="00A234F6">
        <w:rPr>
          <w:rFonts w:asciiTheme="minorHAnsi" w:hAnsiTheme="minorHAnsi" w:cstheme="minorHAnsi"/>
        </w:rPr>
        <w:t>the NDIS Commission, through the behaviour support function</w:t>
      </w:r>
      <w:r w:rsidRPr="00764BE0">
        <w:rPr>
          <w:rFonts w:asciiTheme="minorHAnsi" w:hAnsiTheme="minorHAnsi" w:cstheme="minorHAnsi"/>
        </w:rPr>
        <w:t xml:space="preserve"> to </w:t>
      </w:r>
      <w:r w:rsidR="00A234F6">
        <w:rPr>
          <w:rFonts w:asciiTheme="minorHAnsi" w:hAnsiTheme="minorHAnsi" w:cstheme="minorHAnsi"/>
        </w:rPr>
        <w:t xml:space="preserve">monitor in a single view, the circumstances </w:t>
      </w:r>
      <w:r w:rsidR="00A234F6">
        <w:rPr>
          <w:rFonts w:asciiTheme="minorHAnsi" w:hAnsiTheme="minorHAnsi" w:cstheme="minorHAnsi"/>
        </w:rPr>
        <w:lastRenderedPageBreak/>
        <w:t>of a</w:t>
      </w:r>
      <w:r w:rsidR="00A234F6" w:rsidRPr="00764BE0">
        <w:rPr>
          <w:rFonts w:asciiTheme="minorHAnsi" w:hAnsiTheme="minorHAnsi" w:cstheme="minorHAnsi"/>
        </w:rPr>
        <w:t xml:space="preserve"> </w:t>
      </w:r>
      <w:r w:rsidRPr="00764BE0">
        <w:rPr>
          <w:rFonts w:asciiTheme="minorHAnsi" w:hAnsiTheme="minorHAnsi" w:cstheme="minorHAnsi"/>
        </w:rPr>
        <w:t xml:space="preserve">participant, once they have an initial behaviour support plan and there is at least initial authorisation of the restrictive practices to which they are subject. If the restrictive practices change, or the behaviour support plan or authorisation expire, uses of restrictive practices for that participant could continue to be reported to and overseen </w:t>
      </w:r>
      <w:r w:rsidR="00A234F6">
        <w:rPr>
          <w:rFonts w:asciiTheme="minorHAnsi" w:hAnsiTheme="minorHAnsi" w:cstheme="minorHAnsi"/>
        </w:rPr>
        <w:t>through the</w:t>
      </w:r>
      <w:r w:rsidR="00A234F6" w:rsidRPr="00764BE0">
        <w:rPr>
          <w:rFonts w:asciiTheme="minorHAnsi" w:hAnsiTheme="minorHAnsi" w:cstheme="minorHAnsi"/>
        </w:rPr>
        <w:t xml:space="preserve"> </w:t>
      </w:r>
      <w:r w:rsidRPr="00764BE0">
        <w:rPr>
          <w:rFonts w:asciiTheme="minorHAnsi" w:hAnsiTheme="minorHAnsi" w:cstheme="minorHAnsi"/>
        </w:rPr>
        <w:t>behaviour support</w:t>
      </w:r>
      <w:r w:rsidR="00A234F6">
        <w:rPr>
          <w:rFonts w:asciiTheme="minorHAnsi" w:hAnsiTheme="minorHAnsi" w:cstheme="minorHAnsi"/>
        </w:rPr>
        <w:t xml:space="preserve"> function</w:t>
      </w:r>
      <w:r w:rsidRPr="00764BE0">
        <w:rPr>
          <w:rFonts w:asciiTheme="minorHAnsi" w:hAnsiTheme="minorHAnsi" w:cstheme="minorHAnsi"/>
        </w:rPr>
        <w:t xml:space="preserve">, which would also require the relevant NDIS providers to obtain further authorisation and review the participant’s behaviour support plan or develop a new plan. This would give better continuity of oversight of the participant’s experiences in relation to restrictive practices. </w:t>
      </w:r>
    </w:p>
    <w:p w14:paraId="6FADC607" w14:textId="56C9DD97" w:rsidR="00BF04DC" w:rsidRPr="00764BE0" w:rsidRDefault="00BF04DC" w:rsidP="00C3568C">
      <w:pPr>
        <w:rPr>
          <w:rFonts w:asciiTheme="minorHAnsi" w:hAnsiTheme="minorHAnsi" w:cstheme="minorHAnsi"/>
        </w:rPr>
      </w:pPr>
      <w:r w:rsidRPr="00764BE0">
        <w:rPr>
          <w:rFonts w:asciiTheme="minorHAnsi" w:hAnsiTheme="minorHAnsi" w:cstheme="minorHAnsi"/>
        </w:rPr>
        <w:t xml:space="preserve">It </w:t>
      </w:r>
      <w:r w:rsidR="00A234F6">
        <w:rPr>
          <w:rFonts w:asciiTheme="minorHAnsi" w:hAnsiTheme="minorHAnsi" w:cstheme="minorHAnsi"/>
        </w:rPr>
        <w:t>would also</w:t>
      </w:r>
      <w:r w:rsidR="00A234F6" w:rsidRPr="00764BE0">
        <w:rPr>
          <w:rFonts w:asciiTheme="minorHAnsi" w:hAnsiTheme="minorHAnsi" w:cstheme="minorHAnsi"/>
        </w:rPr>
        <w:t xml:space="preserve"> </w:t>
      </w:r>
      <w:r w:rsidRPr="00764BE0">
        <w:rPr>
          <w:rFonts w:asciiTheme="minorHAnsi" w:hAnsiTheme="minorHAnsi" w:cstheme="minorHAnsi"/>
        </w:rPr>
        <w:t>enable</w:t>
      </w:r>
      <w:r w:rsidR="00A234F6">
        <w:rPr>
          <w:rFonts w:asciiTheme="minorHAnsi" w:hAnsiTheme="minorHAnsi" w:cstheme="minorHAnsi"/>
        </w:rPr>
        <w:t xml:space="preserve"> the Commission’s</w:t>
      </w:r>
      <w:r w:rsidRPr="00764BE0">
        <w:rPr>
          <w:rFonts w:asciiTheme="minorHAnsi" w:hAnsiTheme="minorHAnsi" w:cstheme="minorHAnsi"/>
        </w:rPr>
        <w:t xml:space="preserve"> reportable incident</w:t>
      </w:r>
      <w:r w:rsidR="003268DE">
        <w:rPr>
          <w:rFonts w:asciiTheme="minorHAnsi" w:hAnsiTheme="minorHAnsi" w:cstheme="minorHAnsi"/>
        </w:rPr>
        <w:t xml:space="preserve"> function</w:t>
      </w:r>
      <w:r w:rsidRPr="00764BE0">
        <w:rPr>
          <w:rFonts w:asciiTheme="minorHAnsi" w:hAnsiTheme="minorHAnsi" w:cstheme="minorHAnsi"/>
        </w:rPr>
        <w:t xml:space="preserve"> to focus on </w:t>
      </w:r>
      <w:r w:rsidR="00A234F6">
        <w:rPr>
          <w:rFonts w:asciiTheme="minorHAnsi" w:hAnsiTheme="minorHAnsi" w:cstheme="minorHAnsi"/>
        </w:rPr>
        <w:t xml:space="preserve">those </w:t>
      </w:r>
      <w:r w:rsidRPr="00764BE0">
        <w:rPr>
          <w:rFonts w:asciiTheme="minorHAnsi" w:hAnsiTheme="minorHAnsi" w:cstheme="minorHAnsi"/>
        </w:rPr>
        <w:t xml:space="preserve">participants who are subject to ongoing uses of restrictive practices for the first time in the NDIS, and who have not yet had a behaviour support plan or authorisation, and on single, emergency uses of restrictive practices. </w:t>
      </w:r>
    </w:p>
    <w:p w14:paraId="1AE6A534" w14:textId="77777777" w:rsidR="00C3568C" w:rsidRPr="00C3568C" w:rsidRDefault="00C3568C" w:rsidP="003A1DA0">
      <w:pPr>
        <w:pStyle w:val="ListParagraph"/>
        <w:numPr>
          <w:ilvl w:val="0"/>
          <w:numId w:val="8"/>
        </w:numPr>
        <w:spacing w:before="200" w:after="0"/>
        <w:outlineLvl w:val="1"/>
        <w:rPr>
          <w:rFonts w:asciiTheme="minorHAnsi" w:eastAsiaTheme="majorEastAsia" w:hAnsiTheme="minorHAnsi" w:cstheme="minorHAnsi"/>
          <w:b/>
          <w:bCs/>
          <w:sz w:val="26"/>
          <w:szCs w:val="26"/>
        </w:rPr>
      </w:pPr>
      <w:r>
        <w:rPr>
          <w:rFonts w:asciiTheme="minorHAnsi" w:eastAsiaTheme="majorEastAsia" w:hAnsiTheme="minorHAnsi" w:cstheme="minorHAnsi"/>
          <w:b/>
          <w:bCs/>
          <w:sz w:val="26"/>
          <w:szCs w:val="26"/>
        </w:rPr>
        <w:t>Building the capability of the workforce implementing restrictive practices</w:t>
      </w:r>
    </w:p>
    <w:p w14:paraId="1D5C6EFF" w14:textId="00BAE7C8" w:rsidR="00C60E5E" w:rsidRDefault="00A234F6">
      <w:pPr>
        <w:rPr>
          <w:rFonts w:asciiTheme="minorHAnsi" w:hAnsiTheme="minorHAnsi" w:cstheme="minorHAnsi"/>
        </w:rPr>
      </w:pPr>
      <w:r>
        <w:rPr>
          <w:rFonts w:asciiTheme="minorHAnsi" w:hAnsiTheme="minorHAnsi" w:cstheme="minorHAnsi"/>
        </w:rPr>
        <w:t xml:space="preserve">The NDIS Commission will embark on an education program for providers and workers who implement restrictive practices in the course of supporting a participant. This </w:t>
      </w:r>
      <w:r w:rsidR="00563A3F">
        <w:rPr>
          <w:rFonts w:asciiTheme="minorHAnsi" w:hAnsiTheme="minorHAnsi" w:cstheme="minorHAnsi"/>
        </w:rPr>
        <w:t>may</w:t>
      </w:r>
      <w:r>
        <w:rPr>
          <w:rFonts w:asciiTheme="minorHAnsi" w:hAnsiTheme="minorHAnsi" w:cstheme="minorHAnsi"/>
        </w:rPr>
        <w:t xml:space="preserve"> include the development of a Worker Orientation Module that guides workers through their obligations, with a focus on participant experience and outcomes, building a culture of rights</w:t>
      </w:r>
      <w:r w:rsidR="00C434B8">
        <w:rPr>
          <w:rFonts w:asciiTheme="minorHAnsi" w:hAnsiTheme="minorHAnsi" w:cstheme="minorHAnsi"/>
        </w:rPr>
        <w:t>-</w:t>
      </w:r>
      <w:r>
        <w:rPr>
          <w:rFonts w:asciiTheme="minorHAnsi" w:hAnsiTheme="minorHAnsi" w:cstheme="minorHAnsi"/>
        </w:rPr>
        <w:t xml:space="preserve">based supports and </w:t>
      </w:r>
      <w:r w:rsidR="00563A3F">
        <w:rPr>
          <w:rFonts w:asciiTheme="minorHAnsi" w:hAnsiTheme="minorHAnsi" w:cstheme="minorHAnsi"/>
        </w:rPr>
        <w:t>reinforcing the</w:t>
      </w:r>
      <w:r>
        <w:rPr>
          <w:rFonts w:asciiTheme="minorHAnsi" w:hAnsiTheme="minorHAnsi" w:cstheme="minorHAnsi"/>
        </w:rPr>
        <w:t xml:space="preserve"> </w:t>
      </w:r>
      <w:r w:rsidR="00563A3F">
        <w:rPr>
          <w:rFonts w:asciiTheme="minorHAnsi" w:hAnsiTheme="minorHAnsi" w:cstheme="minorHAnsi"/>
        </w:rPr>
        <w:t xml:space="preserve">objective of </w:t>
      </w:r>
      <w:r>
        <w:rPr>
          <w:rFonts w:asciiTheme="minorHAnsi" w:hAnsiTheme="minorHAnsi" w:cstheme="minorHAnsi"/>
        </w:rPr>
        <w:t>r</w:t>
      </w:r>
      <w:r w:rsidR="00563A3F">
        <w:rPr>
          <w:rFonts w:asciiTheme="minorHAnsi" w:hAnsiTheme="minorHAnsi" w:cstheme="minorHAnsi"/>
        </w:rPr>
        <w:t>educing and eliminating the use</w:t>
      </w:r>
      <w:r>
        <w:rPr>
          <w:rFonts w:asciiTheme="minorHAnsi" w:hAnsiTheme="minorHAnsi" w:cstheme="minorHAnsi"/>
        </w:rPr>
        <w:t xml:space="preserve"> of restrictive practices </w:t>
      </w:r>
      <w:r w:rsidR="00563A3F">
        <w:rPr>
          <w:rFonts w:asciiTheme="minorHAnsi" w:hAnsiTheme="minorHAnsi" w:cstheme="minorHAnsi"/>
        </w:rPr>
        <w:t>in</w:t>
      </w:r>
      <w:r>
        <w:rPr>
          <w:rFonts w:asciiTheme="minorHAnsi" w:hAnsiTheme="minorHAnsi" w:cstheme="minorHAnsi"/>
        </w:rPr>
        <w:t xml:space="preserve"> the NDIS.</w:t>
      </w:r>
    </w:p>
    <w:p w14:paraId="7E1ADB77" w14:textId="77777777" w:rsidR="00C60E5E" w:rsidRDefault="00C60E5E">
      <w:pPr>
        <w:rPr>
          <w:rFonts w:asciiTheme="minorHAnsi" w:hAnsiTheme="minorHAnsi" w:cstheme="minorHAnsi"/>
        </w:rPr>
      </w:pPr>
    </w:p>
    <w:p w14:paraId="67625239" w14:textId="77777777" w:rsidR="00C60E5E" w:rsidRDefault="00C60E5E">
      <w:pPr>
        <w:rPr>
          <w:rFonts w:asciiTheme="minorHAnsi" w:hAnsiTheme="minorHAnsi" w:cstheme="minorHAnsi"/>
        </w:rPr>
      </w:pPr>
    </w:p>
    <w:p w14:paraId="41F9476C" w14:textId="77777777" w:rsidR="00C60E5E" w:rsidRDefault="00C60E5E">
      <w:pPr>
        <w:rPr>
          <w:rFonts w:asciiTheme="minorHAnsi" w:hAnsiTheme="minorHAnsi" w:cstheme="minorHAnsi"/>
        </w:rPr>
      </w:pPr>
    </w:p>
    <w:p w14:paraId="1335D799" w14:textId="77777777" w:rsidR="00C60E5E" w:rsidRDefault="00C60E5E">
      <w:pPr>
        <w:rPr>
          <w:rFonts w:asciiTheme="minorHAnsi" w:hAnsiTheme="minorHAnsi" w:cstheme="minorHAnsi"/>
        </w:rPr>
      </w:pPr>
    </w:p>
    <w:p w14:paraId="139CC880" w14:textId="77777777" w:rsidR="00C60E5E" w:rsidRDefault="00C60E5E">
      <w:pPr>
        <w:rPr>
          <w:rFonts w:asciiTheme="minorHAnsi" w:hAnsiTheme="minorHAnsi" w:cstheme="minorHAnsi"/>
        </w:rPr>
      </w:pPr>
    </w:p>
    <w:p w14:paraId="00C487A8" w14:textId="77777777" w:rsidR="00C3568C" w:rsidRPr="00F23A26" w:rsidRDefault="00C3568C">
      <w:pPr>
        <w:rPr>
          <w:rFonts w:asciiTheme="minorHAnsi" w:hAnsiTheme="minorHAnsi" w:cstheme="minorHAnsi"/>
        </w:rPr>
      </w:pPr>
      <w:r>
        <w:rPr>
          <w:rFonts w:asciiTheme="minorHAnsi" w:hAnsiTheme="minorHAnsi" w:cstheme="minorHAnsi"/>
          <w:sz w:val="32"/>
          <w:szCs w:val="32"/>
        </w:rPr>
        <w:br w:type="page"/>
      </w:r>
    </w:p>
    <w:p w14:paraId="0E94F181" w14:textId="77777777" w:rsidR="00053F4D" w:rsidRDefault="00053F4D" w:rsidP="00CE344E">
      <w:pPr>
        <w:pStyle w:val="Heading1"/>
        <w:sectPr w:rsidR="00053F4D" w:rsidSect="00C832E6">
          <w:footerReference w:type="default" r:id="rId20"/>
          <w:pgSz w:w="11906" w:h="16838"/>
          <w:pgMar w:top="1843" w:right="1416" w:bottom="993" w:left="1418" w:header="283" w:footer="708" w:gutter="0"/>
          <w:cols w:space="708"/>
          <w:docGrid w:linePitch="360"/>
        </w:sectPr>
      </w:pPr>
    </w:p>
    <w:p w14:paraId="0301A18F" w14:textId="77777777" w:rsidR="005D188D" w:rsidRDefault="00CE344E" w:rsidP="00CE344E">
      <w:pPr>
        <w:pStyle w:val="Heading1"/>
      </w:pPr>
      <w:r>
        <w:lastRenderedPageBreak/>
        <w:t>Appendices</w:t>
      </w:r>
    </w:p>
    <w:p w14:paraId="709F92B2" w14:textId="77777777" w:rsidR="005D188D" w:rsidRDefault="005D188D" w:rsidP="005D188D">
      <w:pPr>
        <w:pStyle w:val="Heading2"/>
        <w:rPr>
          <w:rFonts w:asciiTheme="minorHAnsi" w:hAnsiTheme="minorHAnsi" w:cstheme="minorHAnsi"/>
        </w:rPr>
      </w:pPr>
      <w:bookmarkStart w:id="26" w:name="_Toc90978998"/>
      <w:r>
        <w:rPr>
          <w:rFonts w:asciiTheme="minorHAnsi" w:hAnsiTheme="minorHAnsi" w:cstheme="minorHAnsi"/>
        </w:rPr>
        <w:t>Additional summaries</w:t>
      </w:r>
      <w:bookmarkEnd w:id="26"/>
    </w:p>
    <w:p w14:paraId="34CBB183" w14:textId="77777777" w:rsidR="00053F4D" w:rsidRPr="00667C0C" w:rsidRDefault="00053F4D"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8</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I</w:t>
      </w:r>
      <w:r w:rsidRPr="00667C0C">
        <w:rPr>
          <w:rFonts w:asciiTheme="minorHAnsi" w:hAnsiTheme="minorHAnsi" w:cstheme="minorHAnsi"/>
          <w:caps w:val="0"/>
        </w:rPr>
        <w:t xml:space="preserve">nstances of </w:t>
      </w:r>
      <w:r>
        <w:rPr>
          <w:rFonts w:asciiTheme="minorHAnsi" w:hAnsiTheme="minorHAnsi" w:cstheme="minorHAnsi"/>
          <w:caps w:val="0"/>
        </w:rPr>
        <w:t>URP</w:t>
      </w:r>
      <w:r w:rsidRPr="00667C0C">
        <w:rPr>
          <w:rFonts w:asciiTheme="minorHAnsi" w:hAnsiTheme="minorHAnsi" w:cstheme="minorHAnsi"/>
          <w:caps w:val="0"/>
        </w:rPr>
        <w:t xml:space="preserve">s by state and territory since </w:t>
      </w:r>
      <w:r>
        <w:rPr>
          <w:rFonts w:asciiTheme="minorHAnsi" w:hAnsiTheme="minorHAnsi" w:cstheme="minorHAnsi"/>
          <w:caps w:val="0"/>
        </w:rPr>
        <w:t>J</w:t>
      </w:r>
      <w:r w:rsidRPr="00667C0C">
        <w:rPr>
          <w:rFonts w:asciiTheme="minorHAnsi" w:hAnsiTheme="minorHAnsi" w:cstheme="minorHAnsi"/>
          <w:caps w:val="0"/>
        </w:rPr>
        <w:t xml:space="preserve">uly 2019 - </w:t>
      </w:r>
      <w:r>
        <w:rPr>
          <w:rFonts w:asciiTheme="minorHAnsi" w:hAnsiTheme="minorHAnsi" w:cstheme="minorHAnsi"/>
          <w:caps w:val="0"/>
        </w:rPr>
        <w:t>NSW</w:t>
      </w:r>
    </w:p>
    <w:p w14:paraId="0565C4B0" w14:textId="77777777" w:rsidR="005D188D" w:rsidRDefault="005D188D" w:rsidP="00667C0C">
      <w:r>
        <w:rPr>
          <w:noProof/>
          <w:lang w:eastAsia="en-AU"/>
        </w:rPr>
        <w:drawing>
          <wp:inline distT="0" distB="0" distL="0" distR="0" wp14:anchorId="1F0D2270" wp14:editId="5D88E4BD">
            <wp:extent cx="3168000" cy="1542231"/>
            <wp:effectExtent l="0" t="0" r="0" b="1270"/>
            <wp:docPr id="7" name="Picture 7" descr="Bar chart showing the instances of URPs by state and territory since July 2019 -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r chart showing the instances of URPs by state and territory since July 2019 - NS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68000" cy="1542231"/>
                    </a:xfrm>
                    <a:prstGeom prst="rect">
                      <a:avLst/>
                    </a:prstGeom>
                    <a:noFill/>
                  </pic:spPr>
                </pic:pic>
              </a:graphicData>
            </a:graphic>
          </wp:inline>
        </w:drawing>
      </w:r>
    </w:p>
    <w:p w14:paraId="2C373C1A" w14:textId="77777777" w:rsidR="00053F4D" w:rsidRPr="00667C0C" w:rsidRDefault="00053F4D" w:rsidP="00667C0C">
      <w:pPr>
        <w:pStyle w:val="Caption"/>
        <w:keepNext/>
        <w:rPr>
          <w:rFonts w:asciiTheme="minorHAnsi" w:hAnsiTheme="minorHAnsi" w:cstheme="minorHAnsi"/>
        </w:rPr>
      </w:pPr>
      <w:r w:rsidRPr="00CC0BDF">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9</w:t>
      </w:r>
      <w:r w:rsidRPr="00667C0C">
        <w:rPr>
          <w:rFonts w:asciiTheme="minorHAnsi" w:hAnsiTheme="minorHAnsi" w:cstheme="minorHAnsi"/>
        </w:rPr>
        <w:fldChar w:fldCharType="end"/>
      </w:r>
      <w:r w:rsidRPr="00667C0C">
        <w:rPr>
          <w:rFonts w:asciiTheme="minorHAnsi" w:hAnsiTheme="minorHAnsi" w:cstheme="minorHAnsi"/>
        </w:rPr>
        <w:t xml:space="preserve"> - </w:t>
      </w:r>
      <w:r w:rsidRPr="00CC0BDF">
        <w:rPr>
          <w:rFonts w:asciiTheme="minorHAnsi" w:hAnsiTheme="minorHAnsi" w:cstheme="minorHAnsi"/>
          <w:caps w:val="0"/>
        </w:rPr>
        <w:t xml:space="preserve">Instances of </w:t>
      </w:r>
      <w:r>
        <w:rPr>
          <w:rFonts w:asciiTheme="minorHAnsi" w:hAnsiTheme="minorHAnsi" w:cstheme="minorHAnsi"/>
          <w:caps w:val="0"/>
        </w:rPr>
        <w:t>URP</w:t>
      </w:r>
      <w:r w:rsidRPr="00CC0BDF">
        <w:rPr>
          <w:rFonts w:asciiTheme="minorHAnsi" w:hAnsiTheme="minorHAnsi" w:cstheme="minorHAnsi"/>
          <w:caps w:val="0"/>
        </w:rPr>
        <w:t xml:space="preserve">s by state and territory since </w:t>
      </w:r>
      <w:r>
        <w:rPr>
          <w:rFonts w:asciiTheme="minorHAnsi" w:hAnsiTheme="minorHAnsi" w:cstheme="minorHAnsi"/>
          <w:caps w:val="0"/>
        </w:rPr>
        <w:t>J</w:t>
      </w:r>
      <w:r w:rsidRPr="00CC0BDF">
        <w:rPr>
          <w:rFonts w:asciiTheme="minorHAnsi" w:hAnsiTheme="minorHAnsi" w:cstheme="minorHAnsi"/>
          <w:caps w:val="0"/>
        </w:rPr>
        <w:t xml:space="preserve">uly 2019 - </w:t>
      </w:r>
      <w:r>
        <w:rPr>
          <w:rFonts w:asciiTheme="minorHAnsi" w:hAnsiTheme="minorHAnsi" w:cstheme="minorHAnsi"/>
          <w:caps w:val="0"/>
        </w:rPr>
        <w:t>VIC</w:t>
      </w:r>
    </w:p>
    <w:p w14:paraId="5E0972B5" w14:textId="77777777" w:rsidR="005D188D" w:rsidRDefault="005D188D" w:rsidP="005D188D">
      <w:r>
        <w:rPr>
          <w:noProof/>
          <w:lang w:eastAsia="en-AU"/>
        </w:rPr>
        <w:drawing>
          <wp:inline distT="0" distB="0" distL="0" distR="0" wp14:anchorId="488944AF" wp14:editId="2FBC3F5D">
            <wp:extent cx="3168000" cy="1545445"/>
            <wp:effectExtent l="0" t="0" r="0" b="0"/>
            <wp:docPr id="17" name="Picture 17" descr="Bar chart showing the instances of URPs by state and territory since July 2019 - 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ar chart showing the instances of URPs by state and territory since July 2019 - VI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68000" cy="1545445"/>
                    </a:xfrm>
                    <a:prstGeom prst="rect">
                      <a:avLst/>
                    </a:prstGeom>
                    <a:noFill/>
                  </pic:spPr>
                </pic:pic>
              </a:graphicData>
            </a:graphic>
          </wp:inline>
        </w:drawing>
      </w:r>
    </w:p>
    <w:p w14:paraId="2B826B9D" w14:textId="77777777" w:rsidR="00053F4D" w:rsidRPr="00667C0C" w:rsidRDefault="00053F4D" w:rsidP="00667C0C">
      <w:pPr>
        <w:pStyle w:val="Caption"/>
        <w:keepNext/>
        <w:rPr>
          <w:rFonts w:asciiTheme="minorHAnsi" w:hAnsiTheme="minorHAnsi" w:cstheme="minorHAnsi"/>
        </w:rPr>
      </w:pPr>
      <w:r w:rsidRPr="00CC0BDF">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10</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I</w:t>
      </w:r>
      <w:r w:rsidRPr="00CC0BDF">
        <w:rPr>
          <w:rFonts w:asciiTheme="minorHAnsi" w:hAnsiTheme="minorHAnsi" w:cstheme="minorHAnsi"/>
          <w:caps w:val="0"/>
        </w:rPr>
        <w:t xml:space="preserve">nstances of </w:t>
      </w:r>
      <w:r>
        <w:rPr>
          <w:rFonts w:asciiTheme="minorHAnsi" w:hAnsiTheme="minorHAnsi" w:cstheme="minorHAnsi"/>
          <w:caps w:val="0"/>
        </w:rPr>
        <w:t>URP</w:t>
      </w:r>
      <w:r w:rsidRPr="00CC0BDF">
        <w:rPr>
          <w:rFonts w:asciiTheme="minorHAnsi" w:hAnsiTheme="minorHAnsi" w:cstheme="minorHAnsi"/>
          <w:caps w:val="0"/>
        </w:rPr>
        <w:t xml:space="preserve">s by state and territory since </w:t>
      </w:r>
      <w:r>
        <w:rPr>
          <w:rFonts w:asciiTheme="minorHAnsi" w:hAnsiTheme="minorHAnsi" w:cstheme="minorHAnsi"/>
          <w:caps w:val="0"/>
        </w:rPr>
        <w:t>J</w:t>
      </w:r>
      <w:r w:rsidRPr="00CC0BDF">
        <w:rPr>
          <w:rFonts w:asciiTheme="minorHAnsi" w:hAnsiTheme="minorHAnsi" w:cstheme="minorHAnsi"/>
          <w:caps w:val="0"/>
        </w:rPr>
        <w:t xml:space="preserve">uly 2019 - </w:t>
      </w:r>
      <w:r>
        <w:rPr>
          <w:rFonts w:asciiTheme="minorHAnsi" w:hAnsiTheme="minorHAnsi" w:cstheme="minorHAnsi"/>
          <w:caps w:val="0"/>
        </w:rPr>
        <w:t>QLD</w:t>
      </w:r>
    </w:p>
    <w:p w14:paraId="4567220D" w14:textId="77777777" w:rsidR="005D188D" w:rsidRDefault="005D188D" w:rsidP="005D188D">
      <w:r>
        <w:rPr>
          <w:noProof/>
          <w:lang w:eastAsia="en-AU"/>
        </w:rPr>
        <w:drawing>
          <wp:inline distT="0" distB="0" distL="0" distR="0" wp14:anchorId="4F0C1D4C" wp14:editId="4366AEA8">
            <wp:extent cx="3168000" cy="1545445"/>
            <wp:effectExtent l="0" t="0" r="0" b="0"/>
            <wp:docPr id="20" name="Picture 20" descr="Bar chart showing the instances of URPs by state and territory since July 2019 -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r chart showing the instances of URPs by state and territory since July 2019 - QL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68000" cy="1545445"/>
                    </a:xfrm>
                    <a:prstGeom prst="rect">
                      <a:avLst/>
                    </a:prstGeom>
                    <a:noFill/>
                  </pic:spPr>
                </pic:pic>
              </a:graphicData>
            </a:graphic>
          </wp:inline>
        </w:drawing>
      </w:r>
    </w:p>
    <w:p w14:paraId="20923985" w14:textId="77777777" w:rsidR="00053F4D" w:rsidRPr="00667C0C" w:rsidRDefault="00053F4D"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11</w:t>
      </w:r>
      <w:r w:rsidRPr="00667C0C">
        <w:rPr>
          <w:rFonts w:asciiTheme="minorHAnsi" w:hAnsiTheme="minorHAnsi" w:cstheme="minorHAnsi"/>
        </w:rPr>
        <w:fldChar w:fldCharType="end"/>
      </w:r>
      <w:r w:rsidRPr="00667C0C">
        <w:rPr>
          <w:rFonts w:asciiTheme="minorHAnsi" w:hAnsiTheme="minorHAnsi" w:cstheme="minorHAnsi"/>
        </w:rPr>
        <w:t xml:space="preserve"> - </w:t>
      </w:r>
      <w:r w:rsidRPr="00CC0BDF">
        <w:rPr>
          <w:rFonts w:asciiTheme="minorHAnsi" w:hAnsiTheme="minorHAnsi" w:cstheme="minorHAnsi"/>
          <w:caps w:val="0"/>
        </w:rPr>
        <w:t>I</w:t>
      </w:r>
      <w:r w:rsidRPr="00667C0C">
        <w:rPr>
          <w:rFonts w:asciiTheme="minorHAnsi" w:hAnsiTheme="minorHAnsi" w:cstheme="minorHAnsi"/>
          <w:caps w:val="0"/>
        </w:rPr>
        <w:t>nstances of URPs by state and territory since July 2019 - WA</w:t>
      </w:r>
    </w:p>
    <w:p w14:paraId="24B57344" w14:textId="77777777" w:rsidR="005D188D" w:rsidRDefault="005D188D" w:rsidP="005D188D">
      <w:r>
        <w:rPr>
          <w:noProof/>
          <w:lang w:eastAsia="en-AU"/>
        </w:rPr>
        <w:drawing>
          <wp:inline distT="0" distB="0" distL="0" distR="0" wp14:anchorId="300005CC" wp14:editId="02459BF0">
            <wp:extent cx="3168000" cy="1542231"/>
            <wp:effectExtent l="0" t="0" r="0" b="1270"/>
            <wp:docPr id="23" name="Picture 23" descr="Bar chart showing the instances of URPs by state and territory since July 2019 -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r chart showing the instances of URPs by state and territory since July 2019 - W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68000" cy="1542231"/>
                    </a:xfrm>
                    <a:prstGeom prst="rect">
                      <a:avLst/>
                    </a:prstGeom>
                    <a:noFill/>
                  </pic:spPr>
                </pic:pic>
              </a:graphicData>
            </a:graphic>
          </wp:inline>
        </w:drawing>
      </w:r>
    </w:p>
    <w:p w14:paraId="6013CA46" w14:textId="77777777" w:rsidR="00CC0BDF" w:rsidRDefault="00CC0BDF" w:rsidP="00667C0C">
      <w:pPr>
        <w:pStyle w:val="Caption"/>
        <w:keepNext/>
        <w:rPr>
          <w:rFonts w:asciiTheme="minorHAnsi" w:hAnsiTheme="minorHAnsi" w:cstheme="minorHAnsi"/>
          <w:caps w:val="0"/>
        </w:rPr>
      </w:pPr>
    </w:p>
    <w:p w14:paraId="7243BFB6" w14:textId="77777777" w:rsidR="00CC0BDF" w:rsidRDefault="00CC0BDF" w:rsidP="00667C0C">
      <w:pPr>
        <w:pStyle w:val="Caption"/>
        <w:keepNext/>
        <w:rPr>
          <w:rFonts w:asciiTheme="minorHAnsi" w:hAnsiTheme="minorHAnsi" w:cstheme="minorHAnsi"/>
          <w:caps w:val="0"/>
        </w:rPr>
      </w:pPr>
      <w:r>
        <w:rPr>
          <w:rFonts w:asciiTheme="minorHAnsi" w:hAnsiTheme="minorHAnsi" w:cstheme="minorHAnsi"/>
          <w:caps w:val="0"/>
        </w:rPr>
        <w:br/>
      </w:r>
    </w:p>
    <w:p w14:paraId="2C1E929E" w14:textId="77777777" w:rsidR="00053F4D" w:rsidRPr="00667C0C" w:rsidRDefault="00053F4D"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12</w:t>
      </w:r>
      <w:r w:rsidRPr="00667C0C">
        <w:rPr>
          <w:rFonts w:asciiTheme="minorHAnsi" w:hAnsiTheme="minorHAnsi" w:cstheme="minorHAnsi"/>
        </w:rPr>
        <w:fldChar w:fldCharType="end"/>
      </w:r>
      <w:r w:rsidRPr="00667C0C">
        <w:rPr>
          <w:rFonts w:asciiTheme="minorHAnsi" w:hAnsiTheme="minorHAnsi" w:cstheme="minorHAnsi"/>
        </w:rPr>
        <w:t xml:space="preserve"> - </w:t>
      </w:r>
      <w:r w:rsidRPr="00CC0BDF">
        <w:rPr>
          <w:rFonts w:asciiTheme="minorHAnsi" w:hAnsiTheme="minorHAnsi" w:cstheme="minorHAnsi"/>
          <w:caps w:val="0"/>
        </w:rPr>
        <w:t>I</w:t>
      </w:r>
      <w:r w:rsidRPr="00667C0C">
        <w:rPr>
          <w:rFonts w:asciiTheme="minorHAnsi" w:hAnsiTheme="minorHAnsi" w:cstheme="minorHAnsi"/>
          <w:caps w:val="0"/>
        </w:rPr>
        <w:t xml:space="preserve">nstances of </w:t>
      </w:r>
      <w:r>
        <w:rPr>
          <w:rFonts w:asciiTheme="minorHAnsi" w:hAnsiTheme="minorHAnsi" w:cstheme="minorHAnsi"/>
          <w:caps w:val="0"/>
        </w:rPr>
        <w:t>URP</w:t>
      </w:r>
      <w:r w:rsidRPr="00667C0C">
        <w:rPr>
          <w:rFonts w:asciiTheme="minorHAnsi" w:hAnsiTheme="minorHAnsi" w:cstheme="minorHAnsi"/>
          <w:caps w:val="0"/>
        </w:rPr>
        <w:t xml:space="preserve">s by state and territory since </w:t>
      </w:r>
      <w:r>
        <w:rPr>
          <w:rFonts w:asciiTheme="minorHAnsi" w:hAnsiTheme="minorHAnsi" w:cstheme="minorHAnsi"/>
          <w:caps w:val="0"/>
        </w:rPr>
        <w:t>J</w:t>
      </w:r>
      <w:r w:rsidRPr="00667C0C">
        <w:rPr>
          <w:rFonts w:asciiTheme="minorHAnsi" w:hAnsiTheme="minorHAnsi" w:cstheme="minorHAnsi"/>
          <w:caps w:val="0"/>
        </w:rPr>
        <w:t xml:space="preserve">uly 2019 - </w:t>
      </w:r>
      <w:r>
        <w:rPr>
          <w:rFonts w:asciiTheme="minorHAnsi" w:hAnsiTheme="minorHAnsi" w:cstheme="minorHAnsi"/>
          <w:caps w:val="0"/>
        </w:rPr>
        <w:t>SA</w:t>
      </w:r>
    </w:p>
    <w:p w14:paraId="2BEB87A6" w14:textId="77777777" w:rsidR="005D188D" w:rsidRDefault="005D188D" w:rsidP="00667C0C">
      <w:pPr>
        <w:ind w:right="-1063"/>
      </w:pPr>
      <w:r>
        <w:rPr>
          <w:noProof/>
          <w:lang w:eastAsia="en-AU"/>
        </w:rPr>
        <w:drawing>
          <wp:inline distT="0" distB="0" distL="0" distR="0" wp14:anchorId="5826E3A0" wp14:editId="4AA71C0A">
            <wp:extent cx="3168000" cy="1545445"/>
            <wp:effectExtent l="0" t="0" r="0" b="0"/>
            <wp:docPr id="28" name="Picture 28" descr="Bar chart showing the instances of URPs by state and territory since July 2019 -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r chart showing the instances of URPs by state and territory since July 2019 - S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68000" cy="1545445"/>
                    </a:xfrm>
                    <a:prstGeom prst="rect">
                      <a:avLst/>
                    </a:prstGeom>
                    <a:noFill/>
                  </pic:spPr>
                </pic:pic>
              </a:graphicData>
            </a:graphic>
          </wp:inline>
        </w:drawing>
      </w:r>
    </w:p>
    <w:p w14:paraId="05BFB364" w14:textId="77777777" w:rsidR="00053F4D" w:rsidRPr="00667C0C" w:rsidRDefault="00053F4D" w:rsidP="00667C0C">
      <w:pPr>
        <w:pStyle w:val="Caption"/>
        <w:keepNext/>
        <w:rPr>
          <w:rFonts w:asciiTheme="minorHAnsi" w:hAnsiTheme="minorHAnsi" w:cstheme="minorHAnsi"/>
        </w:rPr>
      </w:pPr>
      <w:r w:rsidRPr="00CC0BDF">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13</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I</w:t>
      </w:r>
      <w:r w:rsidRPr="00CC0BDF">
        <w:rPr>
          <w:rFonts w:asciiTheme="minorHAnsi" w:hAnsiTheme="minorHAnsi" w:cstheme="minorHAnsi"/>
          <w:caps w:val="0"/>
        </w:rPr>
        <w:t xml:space="preserve">nstances of </w:t>
      </w:r>
      <w:r>
        <w:rPr>
          <w:rFonts w:asciiTheme="minorHAnsi" w:hAnsiTheme="minorHAnsi" w:cstheme="minorHAnsi"/>
          <w:caps w:val="0"/>
        </w:rPr>
        <w:t>URP</w:t>
      </w:r>
      <w:r w:rsidRPr="00CC0BDF">
        <w:rPr>
          <w:rFonts w:asciiTheme="minorHAnsi" w:hAnsiTheme="minorHAnsi" w:cstheme="minorHAnsi"/>
          <w:caps w:val="0"/>
        </w:rPr>
        <w:t xml:space="preserve">s by state and territory since </w:t>
      </w:r>
      <w:r>
        <w:rPr>
          <w:rFonts w:asciiTheme="minorHAnsi" w:hAnsiTheme="minorHAnsi" w:cstheme="minorHAnsi"/>
          <w:caps w:val="0"/>
        </w:rPr>
        <w:t>J</w:t>
      </w:r>
      <w:r w:rsidRPr="00CC0BDF">
        <w:rPr>
          <w:rFonts w:asciiTheme="minorHAnsi" w:hAnsiTheme="minorHAnsi" w:cstheme="minorHAnsi"/>
          <w:caps w:val="0"/>
        </w:rPr>
        <w:t xml:space="preserve">uly 2019 - </w:t>
      </w:r>
      <w:r>
        <w:rPr>
          <w:rFonts w:asciiTheme="minorHAnsi" w:hAnsiTheme="minorHAnsi" w:cstheme="minorHAnsi"/>
          <w:caps w:val="0"/>
        </w:rPr>
        <w:t>TAS</w:t>
      </w:r>
    </w:p>
    <w:p w14:paraId="2651ACC4" w14:textId="77777777" w:rsidR="005D188D" w:rsidRDefault="005D188D" w:rsidP="005D188D">
      <w:r>
        <w:rPr>
          <w:noProof/>
          <w:lang w:eastAsia="en-AU"/>
        </w:rPr>
        <w:drawing>
          <wp:inline distT="0" distB="0" distL="0" distR="0" wp14:anchorId="37E138F4" wp14:editId="1885D5A6">
            <wp:extent cx="3168000" cy="1539339"/>
            <wp:effectExtent l="0" t="0" r="0" b="3810"/>
            <wp:docPr id="30" name="Picture 30" descr="Bar chart showing the instances of URPs by state and territory since July 2019 - 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Bar chart showing the instances of URPs by state and territory since July 2019 - TA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68000" cy="1539339"/>
                    </a:xfrm>
                    <a:prstGeom prst="rect">
                      <a:avLst/>
                    </a:prstGeom>
                    <a:noFill/>
                  </pic:spPr>
                </pic:pic>
              </a:graphicData>
            </a:graphic>
          </wp:inline>
        </w:drawing>
      </w:r>
    </w:p>
    <w:p w14:paraId="265D9FD7" w14:textId="77777777" w:rsidR="00053F4D" w:rsidRPr="00667C0C" w:rsidRDefault="00053F4D" w:rsidP="00667C0C">
      <w:pPr>
        <w:pStyle w:val="Caption"/>
        <w:keepNext/>
        <w:rPr>
          <w:rFonts w:asciiTheme="minorHAnsi" w:hAnsiTheme="minorHAnsi" w:cstheme="minorHAnsi"/>
        </w:rPr>
      </w:pPr>
      <w:r w:rsidRPr="00CC0BDF">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14</w:t>
      </w:r>
      <w:r w:rsidRPr="00667C0C">
        <w:rPr>
          <w:rFonts w:asciiTheme="minorHAnsi" w:hAnsiTheme="minorHAnsi" w:cstheme="minorHAnsi"/>
        </w:rPr>
        <w:fldChar w:fldCharType="end"/>
      </w:r>
      <w:r w:rsidRPr="00667C0C">
        <w:rPr>
          <w:rFonts w:asciiTheme="minorHAnsi" w:hAnsiTheme="minorHAnsi" w:cstheme="minorHAnsi"/>
        </w:rPr>
        <w:t xml:space="preserve"> - </w:t>
      </w:r>
      <w:r w:rsidRPr="00CC0BDF">
        <w:rPr>
          <w:rFonts w:asciiTheme="minorHAnsi" w:hAnsiTheme="minorHAnsi" w:cstheme="minorHAnsi"/>
          <w:caps w:val="0"/>
        </w:rPr>
        <w:t xml:space="preserve">instances of </w:t>
      </w:r>
      <w:r w:rsidR="00CC0BDF">
        <w:rPr>
          <w:rFonts w:asciiTheme="minorHAnsi" w:hAnsiTheme="minorHAnsi" w:cstheme="minorHAnsi"/>
          <w:caps w:val="0"/>
        </w:rPr>
        <w:t>URP</w:t>
      </w:r>
      <w:r w:rsidRPr="00CC0BDF">
        <w:rPr>
          <w:rFonts w:asciiTheme="minorHAnsi" w:hAnsiTheme="minorHAnsi" w:cstheme="minorHAnsi"/>
          <w:caps w:val="0"/>
        </w:rPr>
        <w:t xml:space="preserve">s by state and territory since </w:t>
      </w:r>
      <w:r w:rsidR="00CC0BDF">
        <w:rPr>
          <w:rFonts w:asciiTheme="minorHAnsi" w:hAnsiTheme="minorHAnsi" w:cstheme="minorHAnsi"/>
          <w:caps w:val="0"/>
        </w:rPr>
        <w:t>J</w:t>
      </w:r>
      <w:r w:rsidRPr="00CC0BDF">
        <w:rPr>
          <w:rFonts w:asciiTheme="minorHAnsi" w:hAnsiTheme="minorHAnsi" w:cstheme="minorHAnsi"/>
          <w:caps w:val="0"/>
        </w:rPr>
        <w:t xml:space="preserve">uly 2019 - </w:t>
      </w:r>
      <w:r w:rsidR="00CC0BDF">
        <w:rPr>
          <w:rFonts w:asciiTheme="minorHAnsi" w:hAnsiTheme="minorHAnsi" w:cstheme="minorHAnsi"/>
          <w:caps w:val="0"/>
        </w:rPr>
        <w:t>ACT</w:t>
      </w:r>
    </w:p>
    <w:p w14:paraId="70C9BD44" w14:textId="77777777" w:rsidR="005D188D" w:rsidRDefault="005D188D" w:rsidP="005D188D">
      <w:r>
        <w:rPr>
          <w:noProof/>
          <w:lang w:eastAsia="en-AU"/>
        </w:rPr>
        <w:drawing>
          <wp:inline distT="0" distB="0" distL="0" distR="0" wp14:anchorId="4193E7FE" wp14:editId="0993F00D">
            <wp:extent cx="3168000" cy="1548657"/>
            <wp:effectExtent l="0" t="0" r="0" b="0"/>
            <wp:docPr id="32" name="Picture 32" descr="Bar chart showing the instances of URPs by state and territory since July 2019 -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Bar chart showing the instances of URPs by state and territory since July 2019 - A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68000" cy="1548657"/>
                    </a:xfrm>
                    <a:prstGeom prst="rect">
                      <a:avLst/>
                    </a:prstGeom>
                    <a:noFill/>
                  </pic:spPr>
                </pic:pic>
              </a:graphicData>
            </a:graphic>
          </wp:inline>
        </w:drawing>
      </w:r>
    </w:p>
    <w:p w14:paraId="066EC275" w14:textId="77777777" w:rsidR="00CC0BDF" w:rsidRPr="00667C0C" w:rsidRDefault="00CC0BDF" w:rsidP="00667C0C">
      <w:pPr>
        <w:pStyle w:val="Caption"/>
        <w:keepNext/>
        <w:rPr>
          <w:rFonts w:asciiTheme="minorHAnsi" w:hAnsiTheme="minorHAnsi" w:cstheme="minorHAnsi"/>
        </w:rPr>
      </w:pPr>
      <w:r w:rsidRPr="00CC0BDF">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15</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I</w:t>
      </w:r>
      <w:r w:rsidRPr="00CC0BDF">
        <w:rPr>
          <w:rFonts w:asciiTheme="minorHAnsi" w:hAnsiTheme="minorHAnsi" w:cstheme="minorHAnsi"/>
          <w:caps w:val="0"/>
        </w:rPr>
        <w:t xml:space="preserve">nstances of </w:t>
      </w:r>
      <w:r>
        <w:rPr>
          <w:rFonts w:asciiTheme="minorHAnsi" w:hAnsiTheme="minorHAnsi" w:cstheme="minorHAnsi"/>
          <w:caps w:val="0"/>
        </w:rPr>
        <w:t>URP</w:t>
      </w:r>
      <w:r w:rsidRPr="00CC0BDF">
        <w:rPr>
          <w:rFonts w:asciiTheme="minorHAnsi" w:hAnsiTheme="minorHAnsi" w:cstheme="minorHAnsi"/>
          <w:caps w:val="0"/>
        </w:rPr>
        <w:t xml:space="preserve">s by state and territory since </w:t>
      </w:r>
      <w:r>
        <w:rPr>
          <w:rFonts w:asciiTheme="minorHAnsi" w:hAnsiTheme="minorHAnsi" w:cstheme="minorHAnsi"/>
          <w:caps w:val="0"/>
        </w:rPr>
        <w:t>J</w:t>
      </w:r>
      <w:r w:rsidRPr="00CC0BDF">
        <w:rPr>
          <w:rFonts w:asciiTheme="minorHAnsi" w:hAnsiTheme="minorHAnsi" w:cstheme="minorHAnsi"/>
          <w:caps w:val="0"/>
        </w:rPr>
        <w:t xml:space="preserve">uly 2019 - </w:t>
      </w:r>
      <w:r>
        <w:rPr>
          <w:rFonts w:asciiTheme="minorHAnsi" w:hAnsiTheme="minorHAnsi" w:cstheme="minorHAnsi"/>
          <w:caps w:val="0"/>
        </w:rPr>
        <w:t>NT</w:t>
      </w:r>
    </w:p>
    <w:p w14:paraId="6226B395" w14:textId="77777777" w:rsidR="00794019" w:rsidRDefault="005D188D" w:rsidP="005D188D">
      <w:r>
        <w:rPr>
          <w:noProof/>
          <w:lang w:eastAsia="en-AU"/>
        </w:rPr>
        <w:drawing>
          <wp:inline distT="0" distB="0" distL="0" distR="0" wp14:anchorId="11709CCC" wp14:editId="0EF1F10B">
            <wp:extent cx="3132000" cy="1531059"/>
            <wp:effectExtent l="0" t="0" r="0" b="0"/>
            <wp:docPr id="34" name="Picture 34" descr="Bar chart showing the instances of URPs by state and territory since July 2019 -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Bar chart showing the instances of URPs by state and territory since July 2019 - 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32000" cy="1531059"/>
                    </a:xfrm>
                    <a:prstGeom prst="rect">
                      <a:avLst/>
                    </a:prstGeom>
                    <a:noFill/>
                  </pic:spPr>
                </pic:pic>
              </a:graphicData>
            </a:graphic>
          </wp:inline>
        </w:drawing>
      </w:r>
    </w:p>
    <w:p w14:paraId="01C433FF" w14:textId="77777777" w:rsidR="00794019" w:rsidRPr="00667C0C" w:rsidRDefault="00794019" w:rsidP="00667C0C">
      <w:pPr>
        <w:pStyle w:val="Caption"/>
        <w:keepNext/>
        <w:rPr>
          <w:rFonts w:asciiTheme="minorHAnsi" w:hAnsiTheme="minorHAnsi" w:cstheme="minorHAnsi"/>
        </w:rPr>
      </w:pPr>
      <w:r w:rsidRPr="00667C0C">
        <w:rPr>
          <w:rFonts w:asciiTheme="minorHAnsi" w:hAnsiTheme="minorHAnsi" w:cstheme="minorHAnsi"/>
          <w:caps w:val="0"/>
        </w:rPr>
        <w:lastRenderedPageBreak/>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16</w:t>
      </w:r>
      <w:r w:rsidRPr="00667C0C">
        <w:rPr>
          <w:rFonts w:asciiTheme="minorHAnsi" w:hAnsiTheme="minorHAnsi" w:cstheme="minorHAnsi"/>
        </w:rPr>
        <w:fldChar w:fldCharType="end"/>
      </w:r>
      <w:r w:rsidRPr="00667C0C">
        <w:rPr>
          <w:rFonts w:asciiTheme="minorHAnsi" w:hAnsiTheme="minorHAnsi" w:cstheme="minorHAnsi"/>
        </w:rPr>
        <w:t xml:space="preserve"> - </w:t>
      </w:r>
      <w:r w:rsidRPr="006D746D">
        <w:rPr>
          <w:rFonts w:asciiTheme="minorHAnsi" w:hAnsiTheme="minorHAnsi" w:cstheme="minorHAnsi"/>
          <w:caps w:val="0"/>
        </w:rPr>
        <w:t>Instances of URPs used in relation to the 10% of participants subject to the most URPs - NSW</w:t>
      </w:r>
    </w:p>
    <w:p w14:paraId="5F0B8172" w14:textId="77777777" w:rsidR="00794019" w:rsidRPr="00667C0C" w:rsidRDefault="00794019" w:rsidP="005D188D">
      <w:pPr>
        <w:rPr>
          <w:rFonts w:asciiTheme="minorHAnsi" w:hAnsiTheme="minorHAnsi" w:cstheme="minorHAnsi"/>
        </w:rPr>
      </w:pPr>
      <w:r w:rsidRPr="00667C0C">
        <w:rPr>
          <w:rFonts w:asciiTheme="minorHAnsi" w:hAnsiTheme="minorHAnsi" w:cstheme="minorHAnsi"/>
          <w:noProof/>
          <w:lang w:eastAsia="en-AU"/>
        </w:rPr>
        <w:drawing>
          <wp:inline distT="0" distB="0" distL="0" distR="0" wp14:anchorId="221F7198" wp14:editId="3B65423D">
            <wp:extent cx="3168000" cy="1654670"/>
            <wp:effectExtent l="0" t="0" r="0" b="3175"/>
            <wp:docPr id="9" name="Picture 9" descr="Bar chart showing the instances of URPs used in relation to the 10% of participants subject to the most URPs -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r chart showing the instances of URPs used in relation to the 10% of participants subject to the most URPs - NSW"/>
                    <pic:cNvPicPr/>
                  </pic:nvPicPr>
                  <pic:blipFill>
                    <a:blip r:embed="rId29"/>
                    <a:stretch>
                      <a:fillRect/>
                    </a:stretch>
                  </pic:blipFill>
                  <pic:spPr>
                    <a:xfrm>
                      <a:off x="0" y="0"/>
                      <a:ext cx="3168000" cy="1654670"/>
                    </a:xfrm>
                    <a:prstGeom prst="rect">
                      <a:avLst/>
                    </a:prstGeom>
                  </pic:spPr>
                </pic:pic>
              </a:graphicData>
            </a:graphic>
          </wp:inline>
        </w:drawing>
      </w:r>
    </w:p>
    <w:p w14:paraId="5771DB04" w14:textId="77777777" w:rsidR="00794019" w:rsidRDefault="00794019" w:rsidP="00667C0C">
      <w:pPr>
        <w:pStyle w:val="Caption"/>
        <w:keepNext/>
      </w:pPr>
      <w:r w:rsidRPr="006D746D">
        <w:rPr>
          <w:rFonts w:asciiTheme="minorHAnsi" w:hAnsiTheme="minorHAnsi" w:cstheme="minorHAnsi"/>
          <w:b w:val="0"/>
          <w:bC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17</w:t>
      </w:r>
      <w:r w:rsidRPr="00667C0C">
        <w:rPr>
          <w:rFonts w:asciiTheme="minorHAnsi" w:hAnsiTheme="minorHAnsi" w:cstheme="minorHAnsi"/>
        </w:rPr>
        <w:fldChar w:fldCharType="end"/>
      </w:r>
      <w:r w:rsidRPr="00667C0C">
        <w:rPr>
          <w:rFonts w:asciiTheme="minorHAnsi" w:hAnsiTheme="minorHAnsi" w:cstheme="minorHAnsi"/>
        </w:rPr>
        <w:t xml:space="preserve"> - </w:t>
      </w:r>
      <w:r w:rsidRPr="006D746D">
        <w:rPr>
          <w:rFonts w:asciiTheme="minorHAnsi" w:hAnsiTheme="minorHAnsi" w:cstheme="minorHAnsi"/>
          <w:b w:val="0"/>
          <w:bCs w:val="0"/>
        </w:rPr>
        <w:t>Instances of URPs used in relation to the 10% of participants subject to the most URPs - VIC</w:t>
      </w:r>
      <w:r w:rsidRPr="00794019">
        <w:rPr>
          <w:noProof/>
          <w:lang w:eastAsia="en-AU"/>
        </w:rPr>
        <w:drawing>
          <wp:inline distT="0" distB="0" distL="0" distR="0" wp14:anchorId="0BF00194" wp14:editId="4F7ADCFD">
            <wp:extent cx="3168000" cy="1592217"/>
            <wp:effectExtent l="0" t="0" r="0" b="8255"/>
            <wp:docPr id="11" name="Picture 11" descr="Bar chart showing the INSTANCES OF URPS USED IN RELATION TO THE 10% OF PARTICIPANTS SUBJECT TO THE MOST URPS - 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ar chart showing the INSTANCES OF URPS USED IN RELATION TO THE 10% OF PARTICIPANTS SUBJECT TO THE MOST URPS - VIC"/>
                    <pic:cNvPicPr/>
                  </pic:nvPicPr>
                  <pic:blipFill>
                    <a:blip r:embed="rId30"/>
                    <a:stretch>
                      <a:fillRect/>
                    </a:stretch>
                  </pic:blipFill>
                  <pic:spPr>
                    <a:xfrm>
                      <a:off x="0" y="0"/>
                      <a:ext cx="3168000" cy="1592217"/>
                    </a:xfrm>
                    <a:prstGeom prst="rect">
                      <a:avLst/>
                    </a:prstGeom>
                  </pic:spPr>
                </pic:pic>
              </a:graphicData>
            </a:graphic>
          </wp:inline>
        </w:drawing>
      </w:r>
    </w:p>
    <w:p w14:paraId="45EC08D0" w14:textId="77777777" w:rsidR="00794019" w:rsidRPr="00667C0C" w:rsidRDefault="009B18C9"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00794019" w:rsidRPr="00667C0C">
        <w:rPr>
          <w:rFonts w:asciiTheme="minorHAnsi" w:hAnsiTheme="minorHAnsi" w:cstheme="minorHAnsi"/>
        </w:rPr>
        <w:fldChar w:fldCharType="begin"/>
      </w:r>
      <w:r w:rsidR="00794019" w:rsidRPr="00667C0C">
        <w:rPr>
          <w:rFonts w:asciiTheme="minorHAnsi" w:hAnsiTheme="minorHAnsi" w:cstheme="minorHAnsi"/>
        </w:rPr>
        <w:instrText xml:space="preserve"> SEQ Figure \* ARABIC </w:instrText>
      </w:r>
      <w:r w:rsidR="00794019" w:rsidRPr="00667C0C">
        <w:rPr>
          <w:rFonts w:asciiTheme="minorHAnsi" w:hAnsiTheme="minorHAnsi" w:cstheme="minorHAnsi"/>
        </w:rPr>
        <w:fldChar w:fldCharType="separate"/>
      </w:r>
      <w:r w:rsidR="00794019" w:rsidRPr="00667C0C">
        <w:rPr>
          <w:rFonts w:asciiTheme="minorHAnsi" w:hAnsiTheme="minorHAnsi" w:cstheme="minorHAnsi"/>
          <w:noProof/>
        </w:rPr>
        <w:t>18</w:t>
      </w:r>
      <w:r w:rsidR="00794019" w:rsidRPr="00667C0C">
        <w:rPr>
          <w:rFonts w:asciiTheme="minorHAnsi" w:hAnsiTheme="minorHAnsi" w:cstheme="minorHAnsi"/>
        </w:rPr>
        <w:fldChar w:fldCharType="end"/>
      </w:r>
      <w:r w:rsidR="00794019" w:rsidRPr="00667C0C">
        <w:rPr>
          <w:rFonts w:asciiTheme="minorHAnsi" w:hAnsiTheme="minorHAnsi" w:cstheme="minorHAnsi"/>
        </w:rPr>
        <w:t xml:space="preserve"> - </w:t>
      </w:r>
      <w:r w:rsidRPr="006D746D">
        <w:rPr>
          <w:rFonts w:asciiTheme="minorHAnsi" w:hAnsiTheme="minorHAnsi" w:cstheme="minorHAnsi"/>
          <w:caps w:val="0"/>
        </w:rPr>
        <w:t>Instances of URPs used in relation to the 10% of participants subject to the most URPs - QLD</w:t>
      </w:r>
    </w:p>
    <w:p w14:paraId="0B1ADDAC" w14:textId="77777777" w:rsidR="009B18C9" w:rsidRDefault="00794019" w:rsidP="005D188D">
      <w:r w:rsidRPr="00794019">
        <w:rPr>
          <w:noProof/>
          <w:lang w:eastAsia="en-AU"/>
        </w:rPr>
        <w:drawing>
          <wp:inline distT="0" distB="0" distL="0" distR="0" wp14:anchorId="7674BE3D" wp14:editId="2F493A39">
            <wp:extent cx="3060065" cy="1594485"/>
            <wp:effectExtent l="0" t="0" r="6985" b="5715"/>
            <wp:docPr id="12" name="Picture 12" descr="Bar chart showing the Instances of URPs used in relation to the 10% of participants subject to the most URPs -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r chart showing the Instances of URPs used in relation to the 10% of participants subject to the most URPs - QLD"/>
                    <pic:cNvPicPr/>
                  </pic:nvPicPr>
                  <pic:blipFill>
                    <a:blip r:embed="rId31"/>
                    <a:stretch>
                      <a:fillRect/>
                    </a:stretch>
                  </pic:blipFill>
                  <pic:spPr>
                    <a:xfrm>
                      <a:off x="0" y="0"/>
                      <a:ext cx="3060065" cy="1594485"/>
                    </a:xfrm>
                    <a:prstGeom prst="rect">
                      <a:avLst/>
                    </a:prstGeom>
                  </pic:spPr>
                </pic:pic>
              </a:graphicData>
            </a:graphic>
          </wp:inline>
        </w:drawing>
      </w:r>
      <w:r w:rsidR="005D188D">
        <w:t xml:space="preserve"> </w:t>
      </w:r>
    </w:p>
    <w:p w14:paraId="20B6B540" w14:textId="77777777" w:rsidR="009B18C9" w:rsidRPr="00667C0C" w:rsidRDefault="009B18C9" w:rsidP="00667C0C">
      <w:pPr>
        <w:pStyle w:val="Caption"/>
        <w:keepNext/>
        <w:rPr>
          <w:rFonts w:asciiTheme="minorHAnsi" w:hAnsiTheme="minorHAnsi" w:cstheme="minorHAnsi"/>
        </w:rPr>
      </w:pPr>
      <w:r w:rsidRPr="006D746D">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19</w:t>
      </w:r>
      <w:r w:rsidRPr="00667C0C">
        <w:rPr>
          <w:rFonts w:asciiTheme="minorHAnsi" w:hAnsiTheme="minorHAnsi" w:cstheme="minorHAnsi"/>
        </w:rPr>
        <w:fldChar w:fldCharType="end"/>
      </w:r>
      <w:r w:rsidRPr="00667C0C">
        <w:rPr>
          <w:rFonts w:asciiTheme="minorHAnsi" w:hAnsiTheme="minorHAnsi" w:cstheme="minorHAnsi"/>
        </w:rPr>
        <w:t xml:space="preserve"> - </w:t>
      </w:r>
      <w:r w:rsidRPr="006D746D">
        <w:rPr>
          <w:rFonts w:asciiTheme="minorHAnsi" w:hAnsiTheme="minorHAnsi" w:cstheme="minorHAnsi"/>
          <w:caps w:val="0"/>
        </w:rPr>
        <w:t xml:space="preserve">Instances of </w:t>
      </w:r>
      <w:r>
        <w:rPr>
          <w:rFonts w:asciiTheme="minorHAnsi" w:hAnsiTheme="minorHAnsi" w:cstheme="minorHAnsi"/>
          <w:caps w:val="0"/>
        </w:rPr>
        <w:t>URP</w:t>
      </w:r>
      <w:r w:rsidRPr="006D746D">
        <w:rPr>
          <w:rFonts w:asciiTheme="minorHAnsi" w:hAnsiTheme="minorHAnsi" w:cstheme="minorHAnsi"/>
          <w:caps w:val="0"/>
        </w:rPr>
        <w:t xml:space="preserve">s used in relation to the 10% of participants subject to the most </w:t>
      </w:r>
      <w:r>
        <w:rPr>
          <w:rFonts w:asciiTheme="minorHAnsi" w:hAnsiTheme="minorHAnsi" w:cstheme="minorHAnsi"/>
          <w:caps w:val="0"/>
        </w:rPr>
        <w:t>URP</w:t>
      </w:r>
      <w:r w:rsidRPr="006D746D">
        <w:rPr>
          <w:rFonts w:asciiTheme="minorHAnsi" w:hAnsiTheme="minorHAnsi" w:cstheme="minorHAnsi"/>
          <w:caps w:val="0"/>
        </w:rPr>
        <w:t xml:space="preserve">s - </w:t>
      </w:r>
      <w:r>
        <w:rPr>
          <w:rFonts w:asciiTheme="minorHAnsi" w:hAnsiTheme="minorHAnsi" w:cstheme="minorHAnsi"/>
          <w:caps w:val="0"/>
        </w:rPr>
        <w:t>WA</w:t>
      </w:r>
    </w:p>
    <w:p w14:paraId="1C5420B5" w14:textId="77777777" w:rsidR="009B18C9" w:rsidRDefault="009B18C9" w:rsidP="005D188D">
      <w:r>
        <w:rPr>
          <w:noProof/>
          <w:lang w:eastAsia="en-AU"/>
        </w:rPr>
        <w:drawing>
          <wp:inline distT="0" distB="0" distL="0" distR="0" wp14:anchorId="3024FB42" wp14:editId="615BA60B">
            <wp:extent cx="3060065" cy="1573530"/>
            <wp:effectExtent l="0" t="0" r="6985" b="7620"/>
            <wp:docPr id="14" name="Picture 14" descr="Bar chart showing the Instances of URPs used in relation to the 10% of participants subject to the most URPs -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r chart showing the Instances of URPs used in relation to the 10% of participants subject to the most URPs - WA"/>
                    <pic:cNvPicPr/>
                  </pic:nvPicPr>
                  <pic:blipFill>
                    <a:blip r:embed="rId32"/>
                    <a:stretch>
                      <a:fillRect/>
                    </a:stretch>
                  </pic:blipFill>
                  <pic:spPr>
                    <a:xfrm>
                      <a:off x="0" y="0"/>
                      <a:ext cx="3060065" cy="1573530"/>
                    </a:xfrm>
                    <a:prstGeom prst="rect">
                      <a:avLst/>
                    </a:prstGeom>
                  </pic:spPr>
                </pic:pic>
              </a:graphicData>
            </a:graphic>
          </wp:inline>
        </w:drawing>
      </w:r>
    </w:p>
    <w:p w14:paraId="62778C07" w14:textId="77777777" w:rsidR="009B18C9" w:rsidRPr="00667C0C" w:rsidRDefault="009B18C9"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20</w:t>
      </w:r>
      <w:r w:rsidRPr="00667C0C">
        <w:rPr>
          <w:rFonts w:asciiTheme="minorHAnsi" w:hAnsiTheme="minorHAnsi" w:cstheme="minorHAnsi"/>
        </w:rPr>
        <w:fldChar w:fldCharType="end"/>
      </w:r>
      <w:r w:rsidRPr="00667C0C">
        <w:rPr>
          <w:rFonts w:asciiTheme="minorHAnsi" w:hAnsiTheme="minorHAnsi" w:cstheme="minorHAnsi"/>
        </w:rPr>
        <w:t xml:space="preserve"> </w:t>
      </w:r>
      <w:r>
        <w:t xml:space="preserve">- </w:t>
      </w:r>
      <w:r w:rsidRPr="009E1602">
        <w:rPr>
          <w:rFonts w:asciiTheme="minorHAnsi" w:hAnsiTheme="minorHAnsi" w:cstheme="minorHAnsi"/>
          <w:caps w:val="0"/>
        </w:rPr>
        <w:t>Instances of URPs used in relation to the 10% of participants subject to the most URPs</w:t>
      </w:r>
      <w:r>
        <w:rPr>
          <w:rFonts w:asciiTheme="minorHAnsi" w:hAnsiTheme="minorHAnsi" w:cstheme="minorHAnsi"/>
          <w:caps w:val="0"/>
        </w:rPr>
        <w:t xml:space="preserve"> - SA</w:t>
      </w:r>
    </w:p>
    <w:p w14:paraId="1F43E54D" w14:textId="77777777" w:rsidR="009B18C9" w:rsidRDefault="009B18C9" w:rsidP="005D188D">
      <w:r>
        <w:rPr>
          <w:noProof/>
          <w:lang w:eastAsia="en-AU"/>
        </w:rPr>
        <w:drawing>
          <wp:inline distT="0" distB="0" distL="0" distR="0" wp14:anchorId="2DCA0E28" wp14:editId="685ED5C7">
            <wp:extent cx="3060065" cy="1550035"/>
            <wp:effectExtent l="0" t="0" r="6985" b="0"/>
            <wp:docPr id="16" name="Picture 16" descr="Bar chart showing the instances of URPs used in relation to the 10% of participants subject to the most URPs -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r chart showing the instances of URPs used in relation to the 10% of participants subject to the most URPs - SA"/>
                    <pic:cNvPicPr/>
                  </pic:nvPicPr>
                  <pic:blipFill>
                    <a:blip r:embed="rId33"/>
                    <a:stretch>
                      <a:fillRect/>
                    </a:stretch>
                  </pic:blipFill>
                  <pic:spPr>
                    <a:xfrm>
                      <a:off x="0" y="0"/>
                      <a:ext cx="3060065" cy="1550035"/>
                    </a:xfrm>
                    <a:prstGeom prst="rect">
                      <a:avLst/>
                    </a:prstGeom>
                  </pic:spPr>
                </pic:pic>
              </a:graphicData>
            </a:graphic>
          </wp:inline>
        </w:drawing>
      </w:r>
      <w:r w:rsidR="005D188D">
        <w:t xml:space="preserve"> </w:t>
      </w:r>
    </w:p>
    <w:p w14:paraId="0AC07F03" w14:textId="77777777" w:rsidR="009B18C9" w:rsidRDefault="009B18C9" w:rsidP="00667C0C">
      <w:pPr>
        <w:pStyle w:val="Caption"/>
        <w:keepNext/>
      </w:pPr>
      <w:r w:rsidRPr="006D746D">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21</w:t>
      </w:r>
      <w:r w:rsidRPr="00667C0C">
        <w:rPr>
          <w:rFonts w:asciiTheme="minorHAnsi" w:hAnsiTheme="minorHAnsi" w:cstheme="minorHAnsi"/>
        </w:rPr>
        <w:fldChar w:fldCharType="end"/>
      </w:r>
      <w:r>
        <w:t xml:space="preserve"> - </w:t>
      </w:r>
      <w:r w:rsidRPr="009E1602">
        <w:rPr>
          <w:rFonts w:asciiTheme="minorHAnsi" w:hAnsiTheme="minorHAnsi" w:cstheme="minorHAnsi"/>
          <w:caps w:val="0"/>
        </w:rPr>
        <w:t>Instances of URPs used in relation to the 10% of participants subject to the most URPs</w:t>
      </w:r>
      <w:r>
        <w:rPr>
          <w:rFonts w:asciiTheme="minorHAnsi" w:hAnsiTheme="minorHAnsi" w:cstheme="minorHAnsi"/>
          <w:caps w:val="0"/>
        </w:rPr>
        <w:t xml:space="preserve"> - TAS</w:t>
      </w:r>
    </w:p>
    <w:p w14:paraId="15D546DF" w14:textId="77777777" w:rsidR="009B18C9" w:rsidRDefault="009B18C9" w:rsidP="005D188D">
      <w:r w:rsidRPr="009B18C9">
        <w:rPr>
          <w:noProof/>
          <w:lang w:eastAsia="en-AU"/>
        </w:rPr>
        <w:drawing>
          <wp:inline distT="0" distB="0" distL="0" distR="0" wp14:anchorId="4D0A5AB0" wp14:editId="13D2A008">
            <wp:extent cx="3060065" cy="1567815"/>
            <wp:effectExtent l="0" t="0" r="6985" b="0"/>
            <wp:docPr id="18" name="Picture 18" descr="Bar chart showing the instances of URPs used in relation to the 10% of participants subject to the most URPs - 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ar chart showing the instances of URPs used in relation to the 10% of participants subject to the most URPs - TAS"/>
                    <pic:cNvPicPr/>
                  </pic:nvPicPr>
                  <pic:blipFill>
                    <a:blip r:embed="rId34"/>
                    <a:stretch>
                      <a:fillRect/>
                    </a:stretch>
                  </pic:blipFill>
                  <pic:spPr>
                    <a:xfrm>
                      <a:off x="0" y="0"/>
                      <a:ext cx="3060065" cy="1567815"/>
                    </a:xfrm>
                    <a:prstGeom prst="rect">
                      <a:avLst/>
                    </a:prstGeom>
                  </pic:spPr>
                </pic:pic>
              </a:graphicData>
            </a:graphic>
          </wp:inline>
        </w:drawing>
      </w:r>
      <w:r w:rsidR="005D188D">
        <w:t xml:space="preserve"> </w:t>
      </w:r>
      <w:r w:rsidRPr="009B18C9">
        <w:rPr>
          <w:noProof/>
          <w:lang w:eastAsia="en-AU"/>
        </w:rPr>
        <w:t xml:space="preserve"> </w:t>
      </w:r>
    </w:p>
    <w:p w14:paraId="320C9601" w14:textId="77777777" w:rsidR="009B18C9" w:rsidRDefault="009B18C9" w:rsidP="00667C0C">
      <w:pPr>
        <w:pStyle w:val="Caption"/>
        <w:keepNext/>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22</w:t>
      </w:r>
      <w:r w:rsidRPr="00667C0C">
        <w:rPr>
          <w:rFonts w:asciiTheme="minorHAnsi" w:hAnsiTheme="minorHAnsi" w:cstheme="minorHAnsi"/>
        </w:rPr>
        <w:fldChar w:fldCharType="end"/>
      </w:r>
      <w:r w:rsidRPr="00667C0C">
        <w:rPr>
          <w:rFonts w:asciiTheme="minorHAnsi" w:hAnsiTheme="minorHAnsi" w:cstheme="minorHAnsi"/>
        </w:rPr>
        <w:t xml:space="preserve"> </w:t>
      </w:r>
      <w:r>
        <w:t xml:space="preserve">- </w:t>
      </w:r>
      <w:r w:rsidRPr="009E1602">
        <w:rPr>
          <w:rFonts w:asciiTheme="minorHAnsi" w:hAnsiTheme="minorHAnsi" w:cstheme="minorHAnsi"/>
          <w:caps w:val="0"/>
        </w:rPr>
        <w:t>Instances of URPs used in relation to the 10% of participants subject to the most URPs</w:t>
      </w:r>
      <w:r>
        <w:rPr>
          <w:rFonts w:asciiTheme="minorHAnsi" w:hAnsiTheme="minorHAnsi" w:cstheme="minorHAnsi"/>
          <w:caps w:val="0"/>
        </w:rPr>
        <w:t xml:space="preserve"> - ACT</w:t>
      </w:r>
    </w:p>
    <w:p w14:paraId="27E378A9" w14:textId="77777777" w:rsidR="005D188D" w:rsidRDefault="009B18C9" w:rsidP="005D188D">
      <w:r>
        <w:rPr>
          <w:noProof/>
          <w:lang w:eastAsia="en-AU"/>
        </w:rPr>
        <w:drawing>
          <wp:inline distT="0" distB="0" distL="0" distR="0" wp14:anchorId="109B982D" wp14:editId="2A38DCA0">
            <wp:extent cx="3060065" cy="1577340"/>
            <wp:effectExtent l="0" t="0" r="6985" b="3810"/>
            <wp:docPr id="19" name="Picture 19" descr="Bar chart showing the Instances of URPs used in relation to the 10% of participants subject to the most URPs -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ar chart showing the Instances of URPs used in relation to the 10% of participants subject to the most URPs - ACT"/>
                    <pic:cNvPicPr/>
                  </pic:nvPicPr>
                  <pic:blipFill>
                    <a:blip r:embed="rId35"/>
                    <a:stretch>
                      <a:fillRect/>
                    </a:stretch>
                  </pic:blipFill>
                  <pic:spPr>
                    <a:xfrm>
                      <a:off x="0" y="0"/>
                      <a:ext cx="3060065" cy="1577340"/>
                    </a:xfrm>
                    <a:prstGeom prst="rect">
                      <a:avLst/>
                    </a:prstGeom>
                  </pic:spPr>
                </pic:pic>
              </a:graphicData>
            </a:graphic>
          </wp:inline>
        </w:drawing>
      </w:r>
      <w:r w:rsidR="005D188D">
        <w:t xml:space="preserve"> </w:t>
      </w:r>
    </w:p>
    <w:p w14:paraId="5C98AC22" w14:textId="77777777" w:rsidR="009B18C9" w:rsidRDefault="009B18C9" w:rsidP="00667C0C">
      <w:pPr>
        <w:pStyle w:val="Caption"/>
        <w:keepNext/>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23</w:t>
      </w:r>
      <w:r w:rsidRPr="00667C0C">
        <w:rPr>
          <w:rFonts w:asciiTheme="minorHAnsi" w:hAnsiTheme="minorHAnsi" w:cstheme="minorHAnsi"/>
        </w:rPr>
        <w:fldChar w:fldCharType="end"/>
      </w:r>
      <w:r>
        <w:t xml:space="preserve"> - </w:t>
      </w:r>
      <w:r w:rsidRPr="009E1602">
        <w:rPr>
          <w:rFonts w:asciiTheme="minorHAnsi" w:hAnsiTheme="minorHAnsi" w:cstheme="minorHAnsi"/>
          <w:caps w:val="0"/>
        </w:rPr>
        <w:t>Instances of URPs used in relation to the 10% of participants subject to the most URPs</w:t>
      </w:r>
      <w:r>
        <w:rPr>
          <w:rFonts w:asciiTheme="minorHAnsi" w:hAnsiTheme="minorHAnsi" w:cstheme="minorHAnsi"/>
          <w:caps w:val="0"/>
        </w:rPr>
        <w:t xml:space="preserve"> - TAS</w:t>
      </w:r>
    </w:p>
    <w:p w14:paraId="68106BCA" w14:textId="77777777" w:rsidR="005D188D" w:rsidRDefault="009B18C9" w:rsidP="005D188D">
      <w:pPr>
        <w:rPr>
          <w:b/>
          <w:bCs/>
          <w:caps/>
          <w:sz w:val="16"/>
          <w:szCs w:val="18"/>
        </w:rPr>
      </w:pPr>
      <w:r>
        <w:rPr>
          <w:noProof/>
          <w:lang w:eastAsia="en-AU"/>
        </w:rPr>
        <w:drawing>
          <wp:inline distT="0" distB="0" distL="0" distR="0" wp14:anchorId="28DFED3C" wp14:editId="714BE1E9">
            <wp:extent cx="3060065" cy="1582420"/>
            <wp:effectExtent l="0" t="0" r="6985" b="0"/>
            <wp:docPr id="22" name="Picture 22" descr="Bar chart showing the Instances of URPs used in relation to the 10% of participants subject to the most URPs - 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ar chart showing the Instances of URPs used in relation to the 10% of participants subject to the most URPs - TAS"/>
                    <pic:cNvPicPr/>
                  </pic:nvPicPr>
                  <pic:blipFill>
                    <a:blip r:embed="rId36"/>
                    <a:stretch>
                      <a:fillRect/>
                    </a:stretch>
                  </pic:blipFill>
                  <pic:spPr>
                    <a:xfrm>
                      <a:off x="0" y="0"/>
                      <a:ext cx="3060065" cy="1582420"/>
                    </a:xfrm>
                    <a:prstGeom prst="rect">
                      <a:avLst/>
                    </a:prstGeom>
                  </pic:spPr>
                </pic:pic>
              </a:graphicData>
            </a:graphic>
          </wp:inline>
        </w:drawing>
      </w:r>
      <w:r w:rsidDel="009B18C9">
        <w:rPr>
          <w:caps/>
        </w:rPr>
        <w:t xml:space="preserve"> </w:t>
      </w:r>
      <w:r w:rsidR="005D188D">
        <w:t xml:space="preserve"> </w:t>
      </w:r>
      <w:r w:rsidR="005D188D">
        <w:br w:type="page"/>
      </w:r>
    </w:p>
    <w:p w14:paraId="5904239C" w14:textId="77777777" w:rsidR="00E97586" w:rsidRPr="00667C0C" w:rsidRDefault="00E97586" w:rsidP="00667C0C">
      <w:pPr>
        <w:pStyle w:val="Caption"/>
        <w:keepNext/>
        <w:rPr>
          <w:rFonts w:asciiTheme="minorHAnsi" w:hAnsiTheme="minorHAnsi" w:cstheme="minorHAnsi"/>
        </w:rPr>
      </w:pPr>
      <w:r w:rsidRPr="00093344">
        <w:rPr>
          <w:rFonts w:asciiTheme="minorHAnsi" w:hAnsiTheme="minorHAnsi" w:cstheme="minorHAnsi"/>
          <w:caps w:val="0"/>
        </w:rPr>
        <w:lastRenderedPageBreak/>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24</w:t>
      </w:r>
      <w:r w:rsidRPr="00667C0C">
        <w:rPr>
          <w:rFonts w:asciiTheme="minorHAnsi" w:hAnsiTheme="minorHAnsi" w:cstheme="minorHAnsi"/>
        </w:rPr>
        <w:fldChar w:fldCharType="end"/>
      </w:r>
      <w:r w:rsidRPr="00667C0C">
        <w:rPr>
          <w:rFonts w:asciiTheme="minorHAnsi" w:hAnsiTheme="minorHAnsi" w:cstheme="minorHAnsi"/>
        </w:rPr>
        <w:t xml:space="preserve"> - </w:t>
      </w:r>
      <w:r w:rsidRPr="00093344">
        <w:rPr>
          <w:rFonts w:asciiTheme="minorHAnsi" w:hAnsiTheme="minorHAnsi" w:cstheme="minorHAnsi"/>
          <w:caps w:val="0"/>
        </w:rPr>
        <w:t xml:space="preserve">Count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2018 - </w:t>
      </w:r>
      <w:r>
        <w:rPr>
          <w:rFonts w:asciiTheme="minorHAnsi" w:hAnsiTheme="minorHAnsi" w:cstheme="minorHAnsi"/>
          <w:caps w:val="0"/>
        </w:rPr>
        <w:t>NSW</w:t>
      </w:r>
    </w:p>
    <w:p w14:paraId="0ED701D9" w14:textId="77777777" w:rsidR="005D188D" w:rsidRDefault="005D188D" w:rsidP="005D188D">
      <w:r>
        <w:rPr>
          <w:noProof/>
          <w:lang w:eastAsia="en-AU"/>
        </w:rPr>
        <w:drawing>
          <wp:inline distT="0" distB="0" distL="0" distR="0" wp14:anchorId="6AFC8394" wp14:editId="1C4B1204">
            <wp:extent cx="3168000" cy="1593461"/>
            <wp:effectExtent l="0" t="0" r="0" b="6985"/>
            <wp:docPr id="40" name="Picture 40" descr="Bar chart showing the Count of participants subject to URPs since July 2018 -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Bar chart showing the Count of participants subject to URPs since July 2018 - NSW"/>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68000" cy="1593461"/>
                    </a:xfrm>
                    <a:prstGeom prst="rect">
                      <a:avLst/>
                    </a:prstGeom>
                    <a:noFill/>
                  </pic:spPr>
                </pic:pic>
              </a:graphicData>
            </a:graphic>
          </wp:inline>
        </w:drawing>
      </w:r>
    </w:p>
    <w:p w14:paraId="696EA411" w14:textId="77777777" w:rsidR="00E97586" w:rsidRPr="00667C0C" w:rsidRDefault="00E97586"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25</w:t>
      </w:r>
      <w:r w:rsidRPr="00667C0C">
        <w:rPr>
          <w:rFonts w:asciiTheme="minorHAnsi" w:hAnsiTheme="minorHAnsi" w:cstheme="minorHAnsi"/>
        </w:rPr>
        <w:fldChar w:fldCharType="end"/>
      </w:r>
      <w:r w:rsidRPr="00667C0C">
        <w:rPr>
          <w:rFonts w:asciiTheme="minorHAnsi" w:hAnsiTheme="minorHAnsi" w:cstheme="minorHAnsi"/>
        </w:rPr>
        <w:t xml:space="preserve"> - </w:t>
      </w:r>
      <w:r w:rsidRPr="00093344">
        <w:rPr>
          <w:rFonts w:asciiTheme="minorHAnsi" w:hAnsiTheme="minorHAnsi" w:cstheme="minorHAnsi"/>
          <w:caps w:val="0"/>
        </w:rPr>
        <w:t xml:space="preserve">Count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2018 - </w:t>
      </w:r>
      <w:r>
        <w:rPr>
          <w:rFonts w:asciiTheme="minorHAnsi" w:hAnsiTheme="minorHAnsi" w:cstheme="minorHAnsi"/>
          <w:caps w:val="0"/>
        </w:rPr>
        <w:t>VIC</w:t>
      </w:r>
    </w:p>
    <w:p w14:paraId="54990FE5" w14:textId="77777777" w:rsidR="005D188D" w:rsidRDefault="005D188D" w:rsidP="005D188D">
      <w:r>
        <w:rPr>
          <w:noProof/>
          <w:lang w:eastAsia="en-AU"/>
        </w:rPr>
        <w:drawing>
          <wp:inline distT="0" distB="0" distL="0" distR="0" wp14:anchorId="54E4266A" wp14:editId="752F62F9">
            <wp:extent cx="3168000" cy="1596781"/>
            <wp:effectExtent l="0" t="0" r="0" b="3810"/>
            <wp:docPr id="41" name="Picture 41" descr="Bar chart showing the Count of participants subject to URPs since July 2018 - 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r chart showing the Count of participants subject to URPs since July 2018 - VIC"/>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68000" cy="1596781"/>
                    </a:xfrm>
                    <a:prstGeom prst="rect">
                      <a:avLst/>
                    </a:prstGeom>
                    <a:noFill/>
                  </pic:spPr>
                </pic:pic>
              </a:graphicData>
            </a:graphic>
          </wp:inline>
        </w:drawing>
      </w:r>
    </w:p>
    <w:p w14:paraId="0F03975D" w14:textId="77777777" w:rsidR="00E97586" w:rsidRPr="00667C0C" w:rsidRDefault="00E97586"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26</w:t>
      </w:r>
      <w:r w:rsidRPr="00667C0C">
        <w:rPr>
          <w:rFonts w:asciiTheme="minorHAnsi" w:hAnsiTheme="minorHAnsi" w:cstheme="minorHAnsi"/>
        </w:rPr>
        <w:fldChar w:fldCharType="end"/>
      </w:r>
      <w:r w:rsidRPr="00667C0C">
        <w:rPr>
          <w:rFonts w:asciiTheme="minorHAnsi" w:hAnsiTheme="minorHAnsi" w:cstheme="minorHAnsi"/>
        </w:rPr>
        <w:t xml:space="preserve"> - </w:t>
      </w:r>
      <w:r w:rsidRPr="00093344">
        <w:rPr>
          <w:rFonts w:asciiTheme="minorHAnsi" w:hAnsiTheme="minorHAnsi" w:cstheme="minorHAnsi"/>
          <w:caps w:val="0"/>
        </w:rPr>
        <w:t xml:space="preserve">Count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2018 - </w:t>
      </w:r>
      <w:r>
        <w:rPr>
          <w:rFonts w:asciiTheme="minorHAnsi" w:hAnsiTheme="minorHAnsi" w:cstheme="minorHAnsi"/>
          <w:caps w:val="0"/>
        </w:rPr>
        <w:t>QLD</w:t>
      </w:r>
    </w:p>
    <w:p w14:paraId="17D29617" w14:textId="77777777" w:rsidR="00E97586" w:rsidRPr="00667C0C" w:rsidRDefault="005D188D" w:rsidP="00667C0C">
      <w:pPr>
        <w:pStyle w:val="Caption"/>
        <w:keepNext/>
        <w:rPr>
          <w:rFonts w:asciiTheme="minorHAnsi" w:hAnsiTheme="minorHAnsi" w:cstheme="minorHAnsi"/>
        </w:rPr>
      </w:pPr>
      <w:r>
        <w:rPr>
          <w:noProof/>
          <w:lang w:eastAsia="en-AU"/>
        </w:rPr>
        <w:drawing>
          <wp:inline distT="0" distB="0" distL="0" distR="0" wp14:anchorId="2C87E8A4" wp14:editId="465B3F3E">
            <wp:extent cx="3168000" cy="1593461"/>
            <wp:effectExtent l="0" t="0" r="0" b="6985"/>
            <wp:docPr id="43" name="Picture 43" descr="Bar chart showing the Count of participants subject to URPs since July 2018 -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Bar chart showing the Count of participants subject to URPs since July 2018 - QL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68000" cy="1593461"/>
                    </a:xfrm>
                    <a:prstGeom prst="rect">
                      <a:avLst/>
                    </a:prstGeom>
                    <a:noFill/>
                  </pic:spPr>
                </pic:pic>
              </a:graphicData>
            </a:graphic>
          </wp:inline>
        </w:drawing>
      </w:r>
      <w:r w:rsidR="00E97586">
        <w:rPr>
          <w:rFonts w:asciiTheme="minorHAnsi" w:hAnsiTheme="minorHAnsi" w:cstheme="minorHAnsi"/>
          <w:caps w:val="0"/>
        </w:rPr>
        <w:t>F</w:t>
      </w:r>
      <w:r w:rsidR="00E97586" w:rsidRPr="00093344">
        <w:rPr>
          <w:rFonts w:asciiTheme="minorHAnsi" w:hAnsiTheme="minorHAnsi" w:cstheme="minorHAnsi"/>
          <w:caps w:val="0"/>
        </w:rPr>
        <w:t xml:space="preserve">igure </w:t>
      </w:r>
      <w:r w:rsidR="00E97586" w:rsidRPr="00667C0C">
        <w:rPr>
          <w:rFonts w:asciiTheme="minorHAnsi" w:hAnsiTheme="minorHAnsi" w:cstheme="minorHAnsi"/>
        </w:rPr>
        <w:fldChar w:fldCharType="begin"/>
      </w:r>
      <w:r w:rsidR="00E97586" w:rsidRPr="00667C0C">
        <w:rPr>
          <w:rFonts w:asciiTheme="minorHAnsi" w:hAnsiTheme="minorHAnsi" w:cstheme="minorHAnsi"/>
        </w:rPr>
        <w:instrText xml:space="preserve"> SEQ Figure \* ARABIC </w:instrText>
      </w:r>
      <w:r w:rsidR="00E97586" w:rsidRPr="00667C0C">
        <w:rPr>
          <w:rFonts w:asciiTheme="minorHAnsi" w:hAnsiTheme="minorHAnsi" w:cstheme="minorHAnsi"/>
        </w:rPr>
        <w:fldChar w:fldCharType="separate"/>
      </w:r>
      <w:r w:rsidR="00E97586" w:rsidRPr="00667C0C">
        <w:rPr>
          <w:rFonts w:asciiTheme="minorHAnsi" w:hAnsiTheme="minorHAnsi" w:cstheme="minorHAnsi"/>
          <w:noProof/>
        </w:rPr>
        <w:t>27</w:t>
      </w:r>
      <w:r w:rsidR="00E97586" w:rsidRPr="00667C0C">
        <w:rPr>
          <w:rFonts w:asciiTheme="minorHAnsi" w:hAnsiTheme="minorHAnsi" w:cstheme="minorHAnsi"/>
        </w:rPr>
        <w:fldChar w:fldCharType="end"/>
      </w:r>
      <w:r w:rsidR="00E97586" w:rsidRPr="00667C0C">
        <w:rPr>
          <w:rFonts w:asciiTheme="minorHAnsi" w:hAnsiTheme="minorHAnsi" w:cstheme="minorHAnsi"/>
        </w:rPr>
        <w:t xml:space="preserve"> - </w:t>
      </w:r>
      <w:r w:rsidR="00E97586">
        <w:rPr>
          <w:rFonts w:asciiTheme="minorHAnsi" w:hAnsiTheme="minorHAnsi" w:cstheme="minorHAnsi"/>
        </w:rPr>
        <w:t>C</w:t>
      </w:r>
      <w:r w:rsidR="00E97586" w:rsidRPr="00093344">
        <w:rPr>
          <w:rFonts w:asciiTheme="minorHAnsi" w:hAnsiTheme="minorHAnsi" w:cstheme="minorHAnsi"/>
          <w:caps w:val="0"/>
        </w:rPr>
        <w:t xml:space="preserve">ount of participants subject to URPs since </w:t>
      </w:r>
      <w:r w:rsidR="00E97586">
        <w:rPr>
          <w:rFonts w:asciiTheme="minorHAnsi" w:hAnsiTheme="minorHAnsi" w:cstheme="minorHAnsi"/>
          <w:caps w:val="0"/>
        </w:rPr>
        <w:t>J</w:t>
      </w:r>
      <w:r w:rsidR="00E97586" w:rsidRPr="00093344">
        <w:rPr>
          <w:rFonts w:asciiTheme="minorHAnsi" w:hAnsiTheme="minorHAnsi" w:cstheme="minorHAnsi"/>
          <w:caps w:val="0"/>
        </w:rPr>
        <w:t xml:space="preserve">uly 2018 - </w:t>
      </w:r>
      <w:r w:rsidR="00E97586">
        <w:rPr>
          <w:rFonts w:asciiTheme="minorHAnsi" w:hAnsiTheme="minorHAnsi" w:cstheme="minorHAnsi"/>
          <w:caps w:val="0"/>
        </w:rPr>
        <w:t>WA</w:t>
      </w:r>
    </w:p>
    <w:p w14:paraId="04D4B8E4" w14:textId="77777777" w:rsidR="005D188D" w:rsidRDefault="005D188D" w:rsidP="005D188D">
      <w:r>
        <w:rPr>
          <w:noProof/>
          <w:lang w:eastAsia="en-AU"/>
        </w:rPr>
        <w:drawing>
          <wp:inline distT="0" distB="0" distL="0" distR="0" wp14:anchorId="66B34BA6" wp14:editId="1E46C056">
            <wp:extent cx="3168000" cy="1596781"/>
            <wp:effectExtent l="0" t="0" r="0" b="3810"/>
            <wp:docPr id="45" name="Picture 45" descr="Bar chart showing the Count of participants subject to URPs since July 2018 -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Bar chart showing the Count of participants subject to URPs since July 2018 - W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68000" cy="1596781"/>
                    </a:xfrm>
                    <a:prstGeom prst="rect">
                      <a:avLst/>
                    </a:prstGeom>
                    <a:noFill/>
                  </pic:spPr>
                </pic:pic>
              </a:graphicData>
            </a:graphic>
          </wp:inline>
        </w:drawing>
      </w:r>
    </w:p>
    <w:p w14:paraId="6FC5AFB5" w14:textId="77777777" w:rsidR="00E97586" w:rsidRPr="00667C0C" w:rsidRDefault="00E97586"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28</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C</w:t>
      </w:r>
      <w:r w:rsidRPr="00093344">
        <w:rPr>
          <w:rFonts w:asciiTheme="minorHAnsi" w:hAnsiTheme="minorHAnsi" w:cstheme="minorHAnsi"/>
          <w:caps w:val="0"/>
        </w:rPr>
        <w:t xml:space="preserve">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2018 - </w:t>
      </w:r>
      <w:r>
        <w:rPr>
          <w:rFonts w:asciiTheme="minorHAnsi" w:hAnsiTheme="minorHAnsi" w:cstheme="minorHAnsi"/>
          <w:caps w:val="0"/>
        </w:rPr>
        <w:t>SA</w:t>
      </w:r>
    </w:p>
    <w:p w14:paraId="0DF2AB64" w14:textId="77777777" w:rsidR="00E97586" w:rsidRPr="00093344" w:rsidRDefault="005D188D">
      <w:r>
        <w:rPr>
          <w:noProof/>
          <w:lang w:eastAsia="en-AU"/>
        </w:rPr>
        <w:drawing>
          <wp:inline distT="0" distB="0" distL="0" distR="0" wp14:anchorId="0D029301" wp14:editId="72E075E0">
            <wp:extent cx="3168000" cy="1593461"/>
            <wp:effectExtent l="0" t="0" r="0" b="6985"/>
            <wp:docPr id="46" name="Picture 46" descr="Bar chart showing the Count of participants subject to URPs since July 2018 -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Bar chart showing the Count of participants subject to URPs since July 2018 - SA"/>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68000" cy="1593461"/>
                    </a:xfrm>
                    <a:prstGeom prst="rect">
                      <a:avLst/>
                    </a:prstGeom>
                    <a:noFill/>
                  </pic:spPr>
                </pic:pic>
              </a:graphicData>
            </a:graphic>
          </wp:inline>
        </w:drawing>
      </w:r>
    </w:p>
    <w:p w14:paraId="31A5DFE4" w14:textId="77777777" w:rsidR="00E97586" w:rsidRPr="00667C0C" w:rsidRDefault="00E97586"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29</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C</w:t>
      </w:r>
      <w:r w:rsidRPr="00093344">
        <w:rPr>
          <w:rFonts w:asciiTheme="minorHAnsi" w:hAnsiTheme="minorHAnsi" w:cstheme="minorHAnsi"/>
          <w:caps w:val="0"/>
        </w:rPr>
        <w:t xml:space="preserve">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2018 - </w:t>
      </w:r>
      <w:r>
        <w:rPr>
          <w:rFonts w:asciiTheme="minorHAnsi" w:hAnsiTheme="minorHAnsi" w:cstheme="minorHAnsi"/>
          <w:caps w:val="0"/>
        </w:rPr>
        <w:t>TAS</w:t>
      </w:r>
    </w:p>
    <w:p w14:paraId="438AE906" w14:textId="77777777" w:rsidR="00E97586" w:rsidRPr="00093344" w:rsidRDefault="005D188D">
      <w:r>
        <w:rPr>
          <w:noProof/>
          <w:lang w:eastAsia="en-AU"/>
        </w:rPr>
        <w:drawing>
          <wp:inline distT="0" distB="0" distL="0" distR="0" wp14:anchorId="24DBE446" wp14:editId="2C366978">
            <wp:extent cx="3168000" cy="1596781"/>
            <wp:effectExtent l="0" t="0" r="0" b="3810"/>
            <wp:docPr id="47" name="Picture 47" descr="Bar chart showing the Count of participants subject to URPs since July 2018 - 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Bar chart showing the Count of participants subject to URPs since July 2018 - TA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68000" cy="1596781"/>
                    </a:xfrm>
                    <a:prstGeom prst="rect">
                      <a:avLst/>
                    </a:prstGeom>
                    <a:noFill/>
                  </pic:spPr>
                </pic:pic>
              </a:graphicData>
            </a:graphic>
          </wp:inline>
        </w:drawing>
      </w:r>
    </w:p>
    <w:p w14:paraId="431A51B0" w14:textId="77777777" w:rsidR="00E97586" w:rsidRPr="00667C0C" w:rsidRDefault="00E97586" w:rsidP="00667C0C">
      <w:pPr>
        <w:pStyle w:val="Caption"/>
        <w:keepNext/>
        <w:rPr>
          <w:rFonts w:asciiTheme="minorHAnsi" w:hAnsiTheme="minorHAnsi" w:cstheme="minorHAnsi"/>
        </w:rPr>
      </w:pPr>
      <w:r>
        <w:rPr>
          <w:rFonts w:asciiTheme="minorHAnsi" w:hAnsiTheme="minorHAnsi" w:cstheme="minorHAnsi"/>
          <w:caps w:val="0"/>
        </w:rPr>
        <w:t>F</w:t>
      </w:r>
      <w:r w:rsidRPr="00093344">
        <w:rPr>
          <w:rFonts w:asciiTheme="minorHAnsi" w:hAnsiTheme="minorHAnsi" w:cstheme="minorHAnsi"/>
          <w:caps w:val="0"/>
        </w:rPr>
        <w:t xml:space="preserve">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30</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C</w:t>
      </w:r>
      <w:r w:rsidRPr="00093344">
        <w:rPr>
          <w:rFonts w:asciiTheme="minorHAnsi" w:hAnsiTheme="minorHAnsi" w:cstheme="minorHAnsi"/>
          <w:caps w:val="0"/>
        </w:rPr>
        <w:t xml:space="preserve">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2018 - </w:t>
      </w:r>
      <w:r>
        <w:rPr>
          <w:rFonts w:asciiTheme="minorHAnsi" w:hAnsiTheme="minorHAnsi" w:cstheme="minorHAnsi"/>
          <w:caps w:val="0"/>
        </w:rPr>
        <w:t>ACT</w:t>
      </w:r>
    </w:p>
    <w:p w14:paraId="63BCA3DA" w14:textId="77777777" w:rsidR="00E97586" w:rsidRPr="00667C0C" w:rsidRDefault="005D188D" w:rsidP="00667C0C">
      <w:pPr>
        <w:pStyle w:val="Caption"/>
        <w:keepNext/>
        <w:rPr>
          <w:rFonts w:asciiTheme="minorHAnsi" w:hAnsiTheme="minorHAnsi" w:cstheme="minorHAnsi"/>
        </w:rPr>
      </w:pPr>
      <w:r>
        <w:rPr>
          <w:noProof/>
          <w:lang w:eastAsia="en-AU"/>
        </w:rPr>
        <w:drawing>
          <wp:inline distT="0" distB="0" distL="0" distR="0" wp14:anchorId="4C84529A" wp14:editId="4E610C3F">
            <wp:extent cx="3168000" cy="1593461"/>
            <wp:effectExtent l="0" t="0" r="0" b="6985"/>
            <wp:docPr id="48" name="Picture 48" descr="Bar chart showing the Count of participants subject to URPs since July 2018 -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Bar chart showing the Count of participants subject to URPs since July 2018 - A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68000" cy="1593461"/>
                    </a:xfrm>
                    <a:prstGeom prst="rect">
                      <a:avLst/>
                    </a:prstGeom>
                    <a:noFill/>
                  </pic:spPr>
                </pic:pic>
              </a:graphicData>
            </a:graphic>
          </wp:inline>
        </w:drawing>
      </w:r>
      <w:r w:rsidR="00E97586">
        <w:rPr>
          <w:rFonts w:asciiTheme="minorHAnsi" w:hAnsiTheme="minorHAnsi" w:cstheme="minorHAnsi"/>
          <w:caps w:val="0"/>
        </w:rPr>
        <w:t>F</w:t>
      </w:r>
      <w:r w:rsidR="00E97586" w:rsidRPr="00093344">
        <w:rPr>
          <w:rFonts w:asciiTheme="minorHAnsi" w:hAnsiTheme="minorHAnsi" w:cstheme="minorHAnsi"/>
          <w:caps w:val="0"/>
        </w:rPr>
        <w:t xml:space="preserve">igure </w:t>
      </w:r>
      <w:r w:rsidR="00E97586" w:rsidRPr="00667C0C">
        <w:rPr>
          <w:rFonts w:asciiTheme="minorHAnsi" w:hAnsiTheme="minorHAnsi" w:cstheme="minorHAnsi"/>
        </w:rPr>
        <w:fldChar w:fldCharType="begin"/>
      </w:r>
      <w:r w:rsidR="00E97586" w:rsidRPr="00667C0C">
        <w:rPr>
          <w:rFonts w:asciiTheme="minorHAnsi" w:hAnsiTheme="minorHAnsi" w:cstheme="minorHAnsi"/>
        </w:rPr>
        <w:instrText xml:space="preserve"> SEQ Figure \* ARABIC </w:instrText>
      </w:r>
      <w:r w:rsidR="00E97586" w:rsidRPr="00667C0C">
        <w:rPr>
          <w:rFonts w:asciiTheme="minorHAnsi" w:hAnsiTheme="minorHAnsi" w:cstheme="minorHAnsi"/>
        </w:rPr>
        <w:fldChar w:fldCharType="separate"/>
      </w:r>
      <w:r w:rsidR="00E97586" w:rsidRPr="00667C0C">
        <w:rPr>
          <w:rFonts w:asciiTheme="minorHAnsi" w:hAnsiTheme="minorHAnsi" w:cstheme="minorHAnsi"/>
          <w:noProof/>
        </w:rPr>
        <w:t>31</w:t>
      </w:r>
      <w:r w:rsidR="00E97586" w:rsidRPr="00667C0C">
        <w:rPr>
          <w:rFonts w:asciiTheme="minorHAnsi" w:hAnsiTheme="minorHAnsi" w:cstheme="minorHAnsi"/>
        </w:rPr>
        <w:fldChar w:fldCharType="end"/>
      </w:r>
      <w:r w:rsidR="00E97586" w:rsidRPr="00667C0C">
        <w:rPr>
          <w:rFonts w:asciiTheme="minorHAnsi" w:hAnsiTheme="minorHAnsi" w:cstheme="minorHAnsi"/>
        </w:rPr>
        <w:t xml:space="preserve"> - </w:t>
      </w:r>
      <w:r w:rsidR="00E97586" w:rsidRPr="00093344">
        <w:rPr>
          <w:rFonts w:asciiTheme="minorHAnsi" w:hAnsiTheme="minorHAnsi" w:cstheme="minorHAnsi"/>
          <w:caps w:val="0"/>
        </w:rPr>
        <w:t xml:space="preserve">Count of participants subject to </w:t>
      </w:r>
      <w:r w:rsidR="00E97586">
        <w:rPr>
          <w:rFonts w:asciiTheme="minorHAnsi" w:hAnsiTheme="minorHAnsi" w:cstheme="minorHAnsi"/>
          <w:caps w:val="0"/>
        </w:rPr>
        <w:t>URP</w:t>
      </w:r>
      <w:r w:rsidR="00E97586" w:rsidRPr="00093344">
        <w:rPr>
          <w:rFonts w:asciiTheme="minorHAnsi" w:hAnsiTheme="minorHAnsi" w:cstheme="minorHAnsi"/>
          <w:caps w:val="0"/>
        </w:rPr>
        <w:t xml:space="preserve">s since </w:t>
      </w:r>
      <w:r w:rsidR="00E97586">
        <w:rPr>
          <w:rFonts w:asciiTheme="minorHAnsi" w:hAnsiTheme="minorHAnsi" w:cstheme="minorHAnsi"/>
          <w:caps w:val="0"/>
        </w:rPr>
        <w:t>J</w:t>
      </w:r>
      <w:r w:rsidR="00E97586" w:rsidRPr="00093344">
        <w:rPr>
          <w:rFonts w:asciiTheme="minorHAnsi" w:hAnsiTheme="minorHAnsi" w:cstheme="minorHAnsi"/>
          <w:caps w:val="0"/>
        </w:rPr>
        <w:t xml:space="preserve">uly 2018 - </w:t>
      </w:r>
      <w:r w:rsidR="00E97586">
        <w:rPr>
          <w:rFonts w:asciiTheme="minorHAnsi" w:hAnsiTheme="minorHAnsi" w:cstheme="minorHAnsi"/>
          <w:caps w:val="0"/>
        </w:rPr>
        <w:t>NT</w:t>
      </w:r>
    </w:p>
    <w:p w14:paraId="56E6D702" w14:textId="77777777" w:rsidR="005D188D" w:rsidRDefault="005D188D" w:rsidP="005D188D">
      <w:r>
        <w:rPr>
          <w:noProof/>
          <w:lang w:eastAsia="en-AU"/>
        </w:rPr>
        <w:drawing>
          <wp:inline distT="0" distB="0" distL="0" distR="0" wp14:anchorId="3EE5AAEA" wp14:editId="3CE76014">
            <wp:extent cx="3168000" cy="1596781"/>
            <wp:effectExtent l="0" t="0" r="0" b="3810"/>
            <wp:docPr id="49" name="Picture 49" descr="Bar chart showing the Count of participants subject to URPs since July 2018 -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Bar chart showing the Count of participants subject to URPs since July 2018 - N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68000" cy="1596781"/>
                    </a:xfrm>
                    <a:prstGeom prst="rect">
                      <a:avLst/>
                    </a:prstGeom>
                    <a:noFill/>
                  </pic:spPr>
                </pic:pic>
              </a:graphicData>
            </a:graphic>
          </wp:inline>
        </w:drawing>
      </w:r>
    </w:p>
    <w:p w14:paraId="70D34862" w14:textId="77777777" w:rsidR="005D188D" w:rsidRDefault="005D188D" w:rsidP="005D188D">
      <w:r>
        <w:br w:type="page"/>
      </w:r>
    </w:p>
    <w:p w14:paraId="748CBD93" w14:textId="77777777" w:rsidR="005D188D" w:rsidRPr="00667C0C" w:rsidRDefault="00E97586" w:rsidP="00667C0C">
      <w:pPr>
        <w:pStyle w:val="Caption"/>
        <w:keepNext/>
        <w:rPr>
          <w:rFonts w:asciiTheme="minorHAnsi" w:hAnsiTheme="minorHAnsi" w:cstheme="minorHAnsi"/>
        </w:rPr>
      </w:pPr>
      <w:r w:rsidRPr="00667C0C">
        <w:rPr>
          <w:rFonts w:asciiTheme="minorHAnsi" w:hAnsiTheme="minorHAnsi" w:cstheme="minorHAnsi"/>
          <w:caps w:val="0"/>
        </w:rPr>
        <w:lastRenderedPageBreak/>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32</w:t>
      </w:r>
      <w:r w:rsidRPr="00667C0C">
        <w:rPr>
          <w:rFonts w:asciiTheme="minorHAnsi" w:hAnsiTheme="minorHAnsi" w:cstheme="minorHAnsi"/>
        </w:rPr>
        <w:fldChar w:fldCharType="end"/>
      </w:r>
      <w:r w:rsidRPr="00667C0C">
        <w:rPr>
          <w:rFonts w:asciiTheme="minorHAnsi" w:hAnsiTheme="minorHAnsi" w:cstheme="minorHAnsi"/>
        </w:rPr>
        <w:t xml:space="preserve"> - </w:t>
      </w:r>
      <w:r w:rsidR="00093344" w:rsidRPr="00667C0C">
        <w:rPr>
          <w:rFonts w:asciiTheme="minorHAnsi" w:hAnsiTheme="minorHAnsi" w:cstheme="minorHAnsi"/>
          <w:caps w:val="0"/>
        </w:rPr>
        <w:t>C</w:t>
      </w:r>
      <w:r w:rsidRPr="00667C0C">
        <w:rPr>
          <w:rFonts w:asciiTheme="minorHAnsi" w:hAnsiTheme="minorHAnsi" w:cstheme="minorHAnsi"/>
          <w:caps w:val="0"/>
        </w:rPr>
        <w:t>oun</w:t>
      </w:r>
      <w:r w:rsidR="00093344" w:rsidRPr="00667C0C">
        <w:rPr>
          <w:rFonts w:asciiTheme="minorHAnsi" w:hAnsiTheme="minorHAnsi" w:cstheme="minorHAnsi"/>
          <w:caps w:val="0"/>
        </w:rPr>
        <w:t>t of participants subject to URP</w:t>
      </w:r>
      <w:r w:rsidRPr="00667C0C">
        <w:rPr>
          <w:rFonts w:asciiTheme="minorHAnsi" w:hAnsiTheme="minorHAnsi" w:cstheme="minorHAnsi"/>
          <w:caps w:val="0"/>
        </w:rPr>
        <w:t xml:space="preserve">s </w:t>
      </w:r>
      <w:r w:rsidR="00093344" w:rsidRPr="00667C0C">
        <w:rPr>
          <w:rFonts w:asciiTheme="minorHAnsi" w:hAnsiTheme="minorHAnsi" w:cstheme="minorHAnsi"/>
          <w:caps w:val="0"/>
        </w:rPr>
        <w:t xml:space="preserve">since </w:t>
      </w:r>
      <w:r w:rsidR="00093344">
        <w:rPr>
          <w:rFonts w:asciiTheme="minorHAnsi" w:hAnsiTheme="minorHAnsi" w:cstheme="minorHAnsi"/>
          <w:caps w:val="0"/>
        </w:rPr>
        <w:t>J</w:t>
      </w:r>
      <w:r w:rsidR="00093344" w:rsidRPr="00667C0C">
        <w:rPr>
          <w:rFonts w:asciiTheme="minorHAnsi" w:hAnsiTheme="minorHAnsi" w:cstheme="minorHAnsi"/>
          <w:caps w:val="0"/>
        </w:rPr>
        <w:t>uly 2019 by number of URP</w:t>
      </w:r>
      <w:r w:rsidRPr="00667C0C">
        <w:rPr>
          <w:rFonts w:asciiTheme="minorHAnsi" w:hAnsiTheme="minorHAnsi" w:cstheme="minorHAnsi"/>
          <w:caps w:val="0"/>
        </w:rPr>
        <w:t xml:space="preserve">s experienced in half year - </w:t>
      </w:r>
      <w:r w:rsidR="00093344">
        <w:rPr>
          <w:rFonts w:asciiTheme="minorHAnsi" w:hAnsiTheme="minorHAnsi" w:cstheme="minorHAnsi"/>
          <w:caps w:val="0"/>
        </w:rPr>
        <w:t>NSW</w:t>
      </w:r>
      <w:r w:rsidR="005D188D">
        <w:rPr>
          <w:noProof/>
          <w:lang w:eastAsia="en-AU"/>
        </w:rPr>
        <w:drawing>
          <wp:inline distT="0" distB="0" distL="0" distR="0" wp14:anchorId="611FBBBE" wp14:editId="14789784">
            <wp:extent cx="3168000" cy="1590473"/>
            <wp:effectExtent l="0" t="0" r="0" b="0"/>
            <wp:docPr id="70" name="Picture 70" descr="Bar chart showing the Count of participants subject to URPs since July 2019 by number of URPs experienced in half year -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Bar chart showing the Count of participants subject to URPs since July 2019 by number of URPs experienced in half year - NSW"/>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68000" cy="1590473"/>
                    </a:xfrm>
                    <a:prstGeom prst="rect">
                      <a:avLst/>
                    </a:prstGeom>
                    <a:noFill/>
                  </pic:spPr>
                </pic:pic>
              </a:graphicData>
            </a:graphic>
          </wp:inline>
        </w:drawing>
      </w:r>
    </w:p>
    <w:p w14:paraId="5651B8D9" w14:textId="77777777" w:rsidR="005D188D" w:rsidRPr="00667C0C" w:rsidRDefault="00093344"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00E97586" w:rsidRPr="00667C0C">
        <w:rPr>
          <w:rFonts w:asciiTheme="minorHAnsi" w:hAnsiTheme="minorHAnsi" w:cstheme="minorHAnsi"/>
        </w:rPr>
        <w:fldChar w:fldCharType="begin"/>
      </w:r>
      <w:r w:rsidR="00E97586" w:rsidRPr="00667C0C">
        <w:rPr>
          <w:rFonts w:asciiTheme="minorHAnsi" w:hAnsiTheme="minorHAnsi" w:cstheme="minorHAnsi"/>
        </w:rPr>
        <w:instrText xml:space="preserve"> SEQ Figure \* ARABIC </w:instrText>
      </w:r>
      <w:r w:rsidR="00E97586" w:rsidRPr="00667C0C">
        <w:rPr>
          <w:rFonts w:asciiTheme="minorHAnsi" w:hAnsiTheme="minorHAnsi" w:cstheme="minorHAnsi"/>
        </w:rPr>
        <w:fldChar w:fldCharType="separate"/>
      </w:r>
      <w:r w:rsidR="00E97586" w:rsidRPr="00667C0C">
        <w:rPr>
          <w:rFonts w:asciiTheme="minorHAnsi" w:hAnsiTheme="minorHAnsi" w:cstheme="minorHAnsi"/>
          <w:noProof/>
        </w:rPr>
        <w:t>33</w:t>
      </w:r>
      <w:r w:rsidR="00E97586" w:rsidRPr="00667C0C">
        <w:rPr>
          <w:rFonts w:asciiTheme="minorHAnsi" w:hAnsiTheme="minorHAnsi" w:cstheme="minorHAnsi"/>
        </w:rPr>
        <w:fldChar w:fldCharType="end"/>
      </w:r>
      <w:r w:rsidR="00E97586" w:rsidRPr="00667C0C">
        <w:rPr>
          <w:rFonts w:asciiTheme="minorHAnsi" w:hAnsiTheme="minorHAnsi" w:cstheme="minorHAnsi"/>
        </w:rPr>
        <w:t xml:space="preserve"> - </w:t>
      </w:r>
      <w:r w:rsidRPr="00667C0C">
        <w:rPr>
          <w:rFonts w:asciiTheme="minorHAnsi" w:hAnsiTheme="minorHAnsi" w:cstheme="minorHAnsi"/>
          <w:caps w:val="0"/>
        </w:rPr>
        <w:t xml:space="preserve">Count of participants subject to </w:t>
      </w:r>
      <w:r>
        <w:rPr>
          <w:rFonts w:asciiTheme="minorHAnsi" w:hAnsiTheme="minorHAnsi" w:cstheme="minorHAnsi"/>
          <w:caps w:val="0"/>
        </w:rPr>
        <w:t>URP</w:t>
      </w:r>
      <w:r w:rsidRPr="00667C0C">
        <w:rPr>
          <w:rFonts w:asciiTheme="minorHAnsi" w:hAnsiTheme="minorHAnsi" w:cstheme="minorHAnsi"/>
          <w:caps w:val="0"/>
        </w:rPr>
        <w:t xml:space="preserve">s since </w:t>
      </w:r>
      <w:r>
        <w:rPr>
          <w:rFonts w:asciiTheme="minorHAnsi" w:hAnsiTheme="minorHAnsi" w:cstheme="minorHAnsi"/>
          <w:caps w:val="0"/>
        </w:rPr>
        <w:t>J</w:t>
      </w:r>
      <w:r w:rsidRPr="00667C0C">
        <w:rPr>
          <w:rFonts w:asciiTheme="minorHAnsi" w:hAnsiTheme="minorHAnsi" w:cstheme="minorHAnsi"/>
          <w:caps w:val="0"/>
        </w:rPr>
        <w:t xml:space="preserve">uly 2019 by number of </w:t>
      </w:r>
      <w:r>
        <w:rPr>
          <w:rFonts w:asciiTheme="minorHAnsi" w:hAnsiTheme="minorHAnsi" w:cstheme="minorHAnsi"/>
          <w:caps w:val="0"/>
        </w:rPr>
        <w:t>URP</w:t>
      </w:r>
      <w:r w:rsidRPr="00667C0C">
        <w:rPr>
          <w:rFonts w:asciiTheme="minorHAnsi" w:hAnsiTheme="minorHAnsi" w:cstheme="minorHAnsi"/>
          <w:caps w:val="0"/>
        </w:rPr>
        <w:t>s experienced in half year - VIC</w:t>
      </w:r>
      <w:r w:rsidR="005D188D">
        <w:rPr>
          <w:noProof/>
          <w:lang w:eastAsia="en-AU"/>
        </w:rPr>
        <w:drawing>
          <wp:inline distT="0" distB="0" distL="0" distR="0" wp14:anchorId="4FCE4786" wp14:editId="73C0E327">
            <wp:extent cx="3168000" cy="1587154"/>
            <wp:effectExtent l="0" t="0" r="0" b="0"/>
            <wp:docPr id="71" name="Picture 71" descr="Bar chart showing the Count of participants subject to URPs since July 2019 by number of URPs experienced in half year - 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Bar chart showing the Count of participants subject to URPs since July 2019 by number of URPs experienced in half year - VIC"/>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68000" cy="1587154"/>
                    </a:xfrm>
                    <a:prstGeom prst="rect">
                      <a:avLst/>
                    </a:prstGeom>
                    <a:noFill/>
                  </pic:spPr>
                </pic:pic>
              </a:graphicData>
            </a:graphic>
          </wp:inline>
        </w:drawing>
      </w:r>
    </w:p>
    <w:p w14:paraId="182D2DD5" w14:textId="77777777" w:rsidR="00E97586" w:rsidRPr="00667C0C" w:rsidRDefault="00093344"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00E97586" w:rsidRPr="00667C0C">
        <w:rPr>
          <w:rFonts w:asciiTheme="minorHAnsi" w:hAnsiTheme="minorHAnsi" w:cstheme="minorHAnsi"/>
        </w:rPr>
        <w:fldChar w:fldCharType="begin"/>
      </w:r>
      <w:r w:rsidR="00E97586" w:rsidRPr="00667C0C">
        <w:rPr>
          <w:rFonts w:asciiTheme="minorHAnsi" w:hAnsiTheme="minorHAnsi" w:cstheme="minorHAnsi"/>
        </w:rPr>
        <w:instrText xml:space="preserve"> SEQ Figure \* ARABIC </w:instrText>
      </w:r>
      <w:r w:rsidR="00E97586" w:rsidRPr="00667C0C">
        <w:rPr>
          <w:rFonts w:asciiTheme="minorHAnsi" w:hAnsiTheme="minorHAnsi" w:cstheme="minorHAnsi"/>
        </w:rPr>
        <w:fldChar w:fldCharType="separate"/>
      </w:r>
      <w:r w:rsidR="00E97586" w:rsidRPr="00667C0C">
        <w:rPr>
          <w:rFonts w:asciiTheme="minorHAnsi" w:hAnsiTheme="minorHAnsi" w:cstheme="minorHAnsi"/>
          <w:noProof/>
        </w:rPr>
        <w:t>34</w:t>
      </w:r>
      <w:r w:rsidR="00E97586" w:rsidRPr="00667C0C">
        <w:rPr>
          <w:rFonts w:asciiTheme="minorHAnsi" w:hAnsiTheme="minorHAnsi" w:cstheme="minorHAnsi"/>
        </w:rPr>
        <w:fldChar w:fldCharType="end"/>
      </w:r>
      <w:r w:rsidR="00E97586" w:rsidRPr="00667C0C">
        <w:rPr>
          <w:rFonts w:asciiTheme="minorHAnsi" w:hAnsiTheme="minorHAnsi" w:cstheme="minorHAnsi"/>
        </w:rPr>
        <w:t xml:space="preserve"> - </w:t>
      </w:r>
      <w:r w:rsidRPr="00093344">
        <w:rPr>
          <w:rFonts w:asciiTheme="minorHAnsi" w:hAnsiTheme="minorHAnsi" w:cstheme="minorHAnsi"/>
          <w:caps w:val="0"/>
        </w:rPr>
        <w:t xml:space="preserve">count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2019 by number of </w:t>
      </w:r>
      <w:r>
        <w:rPr>
          <w:rFonts w:asciiTheme="minorHAnsi" w:hAnsiTheme="minorHAnsi" w:cstheme="minorHAnsi"/>
          <w:caps w:val="0"/>
        </w:rPr>
        <w:t>URP</w:t>
      </w:r>
      <w:r w:rsidRPr="00093344">
        <w:rPr>
          <w:rFonts w:asciiTheme="minorHAnsi" w:hAnsiTheme="minorHAnsi" w:cstheme="minorHAnsi"/>
          <w:caps w:val="0"/>
        </w:rPr>
        <w:t>s experienced in half year - QLD</w:t>
      </w:r>
    </w:p>
    <w:p w14:paraId="1844056B" w14:textId="77777777" w:rsidR="005D188D" w:rsidRDefault="005D188D" w:rsidP="005D188D">
      <w:r>
        <w:rPr>
          <w:noProof/>
          <w:lang w:eastAsia="en-AU"/>
        </w:rPr>
        <w:drawing>
          <wp:inline distT="0" distB="0" distL="0" distR="0" wp14:anchorId="4889556F" wp14:editId="5DC22119">
            <wp:extent cx="3168000" cy="1587154"/>
            <wp:effectExtent l="0" t="0" r="0" b="0"/>
            <wp:docPr id="72" name="Picture 72" descr="Bar chart showing the count of participants subject to URPs since July 2019 by number of URPs experienced in half year -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Bar chart showing the count of participants subject to URPs since July 2019 by number of URPs experienced in half year - QL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68000" cy="1587154"/>
                    </a:xfrm>
                    <a:prstGeom prst="rect">
                      <a:avLst/>
                    </a:prstGeom>
                    <a:noFill/>
                  </pic:spPr>
                </pic:pic>
              </a:graphicData>
            </a:graphic>
          </wp:inline>
        </w:drawing>
      </w:r>
    </w:p>
    <w:p w14:paraId="0490A6D4" w14:textId="77777777" w:rsidR="00E97586" w:rsidRPr="00667C0C" w:rsidRDefault="00093344"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00E97586" w:rsidRPr="00667C0C">
        <w:rPr>
          <w:rFonts w:asciiTheme="minorHAnsi" w:hAnsiTheme="minorHAnsi" w:cstheme="minorHAnsi"/>
        </w:rPr>
        <w:fldChar w:fldCharType="begin"/>
      </w:r>
      <w:r w:rsidR="00E97586" w:rsidRPr="00667C0C">
        <w:rPr>
          <w:rFonts w:asciiTheme="minorHAnsi" w:hAnsiTheme="minorHAnsi" w:cstheme="minorHAnsi"/>
        </w:rPr>
        <w:instrText xml:space="preserve"> SEQ Figure \* ARABIC </w:instrText>
      </w:r>
      <w:r w:rsidR="00E97586" w:rsidRPr="00667C0C">
        <w:rPr>
          <w:rFonts w:asciiTheme="minorHAnsi" w:hAnsiTheme="minorHAnsi" w:cstheme="minorHAnsi"/>
        </w:rPr>
        <w:fldChar w:fldCharType="separate"/>
      </w:r>
      <w:r w:rsidR="00E97586" w:rsidRPr="00667C0C">
        <w:rPr>
          <w:rFonts w:asciiTheme="minorHAnsi" w:hAnsiTheme="minorHAnsi" w:cstheme="minorHAnsi"/>
          <w:noProof/>
        </w:rPr>
        <w:t>35</w:t>
      </w:r>
      <w:r w:rsidR="00E97586" w:rsidRPr="00667C0C">
        <w:rPr>
          <w:rFonts w:asciiTheme="minorHAnsi" w:hAnsiTheme="minorHAnsi" w:cstheme="minorHAnsi"/>
        </w:rPr>
        <w:fldChar w:fldCharType="end"/>
      </w:r>
      <w:r w:rsidR="00E97586" w:rsidRPr="00667C0C">
        <w:rPr>
          <w:rFonts w:asciiTheme="minorHAnsi" w:hAnsiTheme="minorHAnsi" w:cstheme="minorHAnsi"/>
        </w:rPr>
        <w:t xml:space="preserve"> - </w:t>
      </w:r>
      <w:r w:rsidRPr="00093344">
        <w:rPr>
          <w:rFonts w:asciiTheme="minorHAnsi" w:hAnsiTheme="minorHAnsi" w:cstheme="minorHAnsi"/>
          <w:caps w:val="0"/>
        </w:rPr>
        <w:t xml:space="preserve">count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2019 by number of </w:t>
      </w:r>
      <w:r>
        <w:rPr>
          <w:rFonts w:asciiTheme="minorHAnsi" w:hAnsiTheme="minorHAnsi" w:cstheme="minorHAnsi"/>
          <w:caps w:val="0"/>
        </w:rPr>
        <w:t>URP</w:t>
      </w:r>
      <w:r w:rsidRPr="00093344">
        <w:rPr>
          <w:rFonts w:asciiTheme="minorHAnsi" w:hAnsiTheme="minorHAnsi" w:cstheme="minorHAnsi"/>
          <w:caps w:val="0"/>
        </w:rPr>
        <w:t>s experienced in half year - WA</w:t>
      </w:r>
    </w:p>
    <w:p w14:paraId="3C5CB509" w14:textId="77777777" w:rsidR="005D188D" w:rsidRDefault="005D188D" w:rsidP="005D188D">
      <w:r>
        <w:rPr>
          <w:noProof/>
          <w:lang w:eastAsia="en-AU"/>
        </w:rPr>
        <w:drawing>
          <wp:inline distT="0" distB="0" distL="0" distR="0" wp14:anchorId="167E34AD" wp14:editId="18741743">
            <wp:extent cx="3168000" cy="1587154"/>
            <wp:effectExtent l="0" t="0" r="0" b="0"/>
            <wp:docPr id="73" name="Picture 73" descr="Bar chart showing the count of participants subject to URPs since July 2019 by number of URPs experienced in half year -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Bar chart showing the count of participants subject to URPs since July 2019 by number of URPs experienced in half year - WA"/>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68000" cy="1587154"/>
                    </a:xfrm>
                    <a:prstGeom prst="rect">
                      <a:avLst/>
                    </a:prstGeom>
                    <a:noFill/>
                  </pic:spPr>
                </pic:pic>
              </a:graphicData>
            </a:graphic>
          </wp:inline>
        </w:drawing>
      </w:r>
    </w:p>
    <w:p w14:paraId="4B99DF94" w14:textId="77777777" w:rsidR="005D188D" w:rsidRPr="00667C0C" w:rsidRDefault="00093344"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36</w:t>
      </w:r>
      <w:r w:rsidRPr="00667C0C">
        <w:rPr>
          <w:rFonts w:asciiTheme="minorHAnsi" w:hAnsiTheme="minorHAnsi" w:cstheme="minorHAnsi"/>
        </w:rPr>
        <w:fldChar w:fldCharType="end"/>
      </w:r>
      <w:r w:rsidRPr="00667C0C">
        <w:rPr>
          <w:rFonts w:asciiTheme="minorHAnsi" w:hAnsiTheme="minorHAnsi" w:cstheme="minorHAnsi"/>
        </w:rPr>
        <w:t xml:space="preserve"> - </w:t>
      </w:r>
      <w:r w:rsidRPr="00667C0C">
        <w:rPr>
          <w:rFonts w:asciiTheme="minorHAnsi" w:hAnsiTheme="minorHAnsi" w:cstheme="minorHAnsi"/>
          <w:caps w:val="0"/>
        </w:rPr>
        <w:t xml:space="preserve">Count of participants subject to </w:t>
      </w:r>
      <w:r>
        <w:rPr>
          <w:rFonts w:asciiTheme="minorHAnsi" w:hAnsiTheme="minorHAnsi" w:cstheme="minorHAnsi"/>
          <w:caps w:val="0"/>
        </w:rPr>
        <w:t>URP</w:t>
      </w:r>
      <w:r w:rsidRPr="00667C0C">
        <w:rPr>
          <w:rFonts w:asciiTheme="minorHAnsi" w:hAnsiTheme="minorHAnsi" w:cstheme="minorHAnsi"/>
          <w:caps w:val="0"/>
        </w:rPr>
        <w:t xml:space="preserve">s since </w:t>
      </w:r>
      <w:r>
        <w:rPr>
          <w:rFonts w:asciiTheme="minorHAnsi" w:hAnsiTheme="minorHAnsi" w:cstheme="minorHAnsi"/>
          <w:caps w:val="0"/>
        </w:rPr>
        <w:t>J</w:t>
      </w:r>
      <w:r w:rsidRPr="00667C0C">
        <w:rPr>
          <w:rFonts w:asciiTheme="minorHAnsi" w:hAnsiTheme="minorHAnsi" w:cstheme="minorHAnsi"/>
          <w:caps w:val="0"/>
        </w:rPr>
        <w:t xml:space="preserve">uly 2019 by number of </w:t>
      </w:r>
      <w:r>
        <w:rPr>
          <w:rFonts w:asciiTheme="minorHAnsi" w:hAnsiTheme="minorHAnsi" w:cstheme="minorHAnsi"/>
          <w:caps w:val="0"/>
        </w:rPr>
        <w:t>URP</w:t>
      </w:r>
      <w:r w:rsidRPr="00667C0C">
        <w:rPr>
          <w:rFonts w:asciiTheme="minorHAnsi" w:hAnsiTheme="minorHAnsi" w:cstheme="minorHAnsi"/>
          <w:caps w:val="0"/>
        </w:rPr>
        <w:t>s experienced in half year - SA</w:t>
      </w:r>
      <w:r w:rsidR="005D188D">
        <w:rPr>
          <w:noProof/>
          <w:lang w:eastAsia="en-AU"/>
        </w:rPr>
        <w:drawing>
          <wp:inline distT="0" distB="0" distL="0" distR="0" wp14:anchorId="56B5264E" wp14:editId="599AB9B2">
            <wp:extent cx="3168000" cy="1491546"/>
            <wp:effectExtent l="0" t="0" r="0" b="0"/>
            <wp:docPr id="74" name="Picture 74" descr="Bar chart showing the Count of participants subject to URPs since July 2019 by number of URPs experienced in half year -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Bar chart showing the Count of participants subject to URPs since July 2019 by number of URPs experienced in half year - S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68000" cy="1491546"/>
                    </a:xfrm>
                    <a:prstGeom prst="rect">
                      <a:avLst/>
                    </a:prstGeom>
                    <a:noFill/>
                  </pic:spPr>
                </pic:pic>
              </a:graphicData>
            </a:graphic>
          </wp:inline>
        </w:drawing>
      </w:r>
    </w:p>
    <w:p w14:paraId="69230B47" w14:textId="77777777" w:rsidR="005D188D" w:rsidRPr="00667C0C" w:rsidRDefault="00093344" w:rsidP="00667C0C">
      <w:pPr>
        <w:pStyle w:val="Caption"/>
        <w:keepNext/>
        <w:rPr>
          <w:rFonts w:asciiTheme="minorHAnsi" w:hAnsiTheme="minorHAnsi" w:cstheme="minorHAnsi"/>
        </w:rPr>
      </w:pPr>
      <w:r w:rsidRPr="00667C0C">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37</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C</w:t>
      </w:r>
      <w:r w:rsidRPr="00667C0C">
        <w:rPr>
          <w:rFonts w:asciiTheme="minorHAnsi" w:hAnsiTheme="minorHAnsi" w:cstheme="minorHAnsi"/>
          <w:caps w:val="0"/>
        </w:rPr>
        <w:t xml:space="preserve">ount of participants subject to </w:t>
      </w:r>
      <w:r>
        <w:rPr>
          <w:rFonts w:asciiTheme="minorHAnsi" w:hAnsiTheme="minorHAnsi" w:cstheme="minorHAnsi"/>
          <w:caps w:val="0"/>
        </w:rPr>
        <w:t>URP</w:t>
      </w:r>
      <w:r w:rsidRPr="00667C0C">
        <w:rPr>
          <w:rFonts w:asciiTheme="minorHAnsi" w:hAnsiTheme="minorHAnsi" w:cstheme="minorHAnsi"/>
          <w:caps w:val="0"/>
        </w:rPr>
        <w:t xml:space="preserve">s since </w:t>
      </w:r>
      <w:r>
        <w:rPr>
          <w:rFonts w:asciiTheme="minorHAnsi" w:hAnsiTheme="minorHAnsi" w:cstheme="minorHAnsi"/>
          <w:caps w:val="0"/>
        </w:rPr>
        <w:t>J</w:t>
      </w:r>
      <w:r w:rsidRPr="00667C0C">
        <w:rPr>
          <w:rFonts w:asciiTheme="minorHAnsi" w:hAnsiTheme="minorHAnsi" w:cstheme="minorHAnsi"/>
          <w:caps w:val="0"/>
        </w:rPr>
        <w:t xml:space="preserve">uly 2019 by number of </w:t>
      </w:r>
      <w:r>
        <w:rPr>
          <w:rFonts w:asciiTheme="minorHAnsi" w:hAnsiTheme="minorHAnsi" w:cstheme="minorHAnsi"/>
          <w:caps w:val="0"/>
        </w:rPr>
        <w:t>URP</w:t>
      </w:r>
      <w:r w:rsidRPr="00667C0C">
        <w:rPr>
          <w:rFonts w:asciiTheme="minorHAnsi" w:hAnsiTheme="minorHAnsi" w:cstheme="minorHAnsi"/>
          <w:caps w:val="0"/>
        </w:rPr>
        <w:t>s experienced in half year - TAS</w:t>
      </w:r>
      <w:r w:rsidR="005D188D">
        <w:rPr>
          <w:noProof/>
          <w:lang w:eastAsia="en-AU"/>
        </w:rPr>
        <w:drawing>
          <wp:inline distT="0" distB="0" distL="0" distR="0" wp14:anchorId="4352588E" wp14:editId="4611A90F">
            <wp:extent cx="3168000" cy="1695708"/>
            <wp:effectExtent l="0" t="0" r="0" b="0"/>
            <wp:docPr id="75" name="Picture 75" descr="Bar chart showing the Count of participants subject to URPs since July 2019 by number of URPs experienced in half year - 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Bar chart showing the Count of participants subject to URPs since July 2019 by number of URPs experienced in half year - TA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68000" cy="1695708"/>
                    </a:xfrm>
                    <a:prstGeom prst="rect">
                      <a:avLst/>
                    </a:prstGeom>
                    <a:noFill/>
                  </pic:spPr>
                </pic:pic>
              </a:graphicData>
            </a:graphic>
          </wp:inline>
        </w:drawing>
      </w:r>
    </w:p>
    <w:p w14:paraId="00748CD2" w14:textId="77777777" w:rsidR="00093344" w:rsidRPr="00667C0C" w:rsidRDefault="00093344"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38</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C</w:t>
      </w:r>
      <w:r w:rsidRPr="00093344">
        <w:rPr>
          <w:rFonts w:asciiTheme="minorHAnsi" w:hAnsiTheme="minorHAnsi" w:cstheme="minorHAnsi"/>
          <w:caps w:val="0"/>
        </w:rPr>
        <w:t xml:space="preserve">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 xml:space="preserve">uly 2019 by number of </w:t>
      </w:r>
      <w:r>
        <w:rPr>
          <w:rFonts w:asciiTheme="minorHAnsi" w:hAnsiTheme="minorHAnsi" w:cstheme="minorHAnsi"/>
          <w:caps w:val="0"/>
        </w:rPr>
        <w:t>URP</w:t>
      </w:r>
      <w:r w:rsidRPr="00093344">
        <w:rPr>
          <w:rFonts w:asciiTheme="minorHAnsi" w:hAnsiTheme="minorHAnsi" w:cstheme="minorHAnsi"/>
          <w:caps w:val="0"/>
        </w:rPr>
        <w:t>s experienced in half year - ACT</w:t>
      </w:r>
    </w:p>
    <w:p w14:paraId="124B0898" w14:textId="77777777" w:rsidR="005D188D" w:rsidRDefault="005D188D" w:rsidP="00667C0C">
      <w:r>
        <w:rPr>
          <w:noProof/>
          <w:lang w:eastAsia="en-AU"/>
        </w:rPr>
        <w:drawing>
          <wp:inline distT="0" distB="0" distL="0" distR="0" wp14:anchorId="583BA2EC" wp14:editId="2122227C">
            <wp:extent cx="3168000" cy="1485239"/>
            <wp:effectExtent l="0" t="0" r="0" b="1270"/>
            <wp:docPr id="76" name="Picture 76" descr="Bar chart showing the Count of participants subject to URPs since July 2019 by number of URPs experienced in half year -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Bar chart showing the Count of participants subject to URPs since July 2019 by number of URPs experienced in half year - AC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68000" cy="1485239"/>
                    </a:xfrm>
                    <a:prstGeom prst="rect">
                      <a:avLst/>
                    </a:prstGeom>
                    <a:noFill/>
                  </pic:spPr>
                </pic:pic>
              </a:graphicData>
            </a:graphic>
          </wp:inline>
        </w:drawing>
      </w:r>
    </w:p>
    <w:p w14:paraId="63955A74" w14:textId="77777777" w:rsidR="00093344" w:rsidRPr="00667C0C" w:rsidRDefault="00093344" w:rsidP="00667C0C">
      <w:pPr>
        <w:pStyle w:val="Caption"/>
        <w:keepNext/>
        <w:rPr>
          <w:rFonts w:asciiTheme="minorHAnsi" w:hAnsiTheme="minorHAnsi" w:cstheme="minorHAnsi"/>
        </w:rPr>
      </w:pPr>
      <w:r w:rsidRPr="00093344">
        <w:rPr>
          <w:rFonts w:asciiTheme="minorHAnsi" w:hAnsiTheme="minorHAnsi" w:cstheme="minorHAnsi"/>
          <w:caps w:val="0"/>
        </w:rPr>
        <w:t xml:space="preserve">Figure </w:t>
      </w:r>
      <w:r w:rsidRPr="00667C0C">
        <w:rPr>
          <w:rFonts w:asciiTheme="minorHAnsi" w:hAnsiTheme="minorHAnsi" w:cstheme="minorHAnsi"/>
        </w:rPr>
        <w:fldChar w:fldCharType="begin"/>
      </w:r>
      <w:r w:rsidRPr="00667C0C">
        <w:rPr>
          <w:rFonts w:asciiTheme="minorHAnsi" w:hAnsiTheme="minorHAnsi" w:cstheme="minorHAnsi"/>
        </w:rPr>
        <w:instrText xml:space="preserve"> SEQ Figure \* ARABIC </w:instrText>
      </w:r>
      <w:r w:rsidRPr="00667C0C">
        <w:rPr>
          <w:rFonts w:asciiTheme="minorHAnsi" w:hAnsiTheme="minorHAnsi" w:cstheme="minorHAnsi"/>
        </w:rPr>
        <w:fldChar w:fldCharType="separate"/>
      </w:r>
      <w:r w:rsidRPr="00667C0C">
        <w:rPr>
          <w:rFonts w:asciiTheme="minorHAnsi" w:hAnsiTheme="minorHAnsi" w:cstheme="minorHAnsi"/>
          <w:noProof/>
        </w:rPr>
        <w:t>39</w:t>
      </w:r>
      <w:r w:rsidRPr="00667C0C">
        <w:rPr>
          <w:rFonts w:asciiTheme="minorHAnsi" w:hAnsiTheme="minorHAnsi" w:cstheme="minorHAnsi"/>
        </w:rPr>
        <w:fldChar w:fldCharType="end"/>
      </w:r>
      <w:r w:rsidRPr="00667C0C">
        <w:rPr>
          <w:rFonts w:asciiTheme="minorHAnsi" w:hAnsiTheme="minorHAnsi" w:cstheme="minorHAnsi"/>
        </w:rPr>
        <w:t xml:space="preserve"> -</w:t>
      </w:r>
      <w:r>
        <w:rPr>
          <w:rFonts w:asciiTheme="minorHAnsi" w:hAnsiTheme="minorHAnsi" w:cstheme="minorHAnsi"/>
        </w:rPr>
        <w:t xml:space="preserve"> </w:t>
      </w:r>
      <w:r w:rsidRPr="00093344">
        <w:rPr>
          <w:rFonts w:asciiTheme="minorHAnsi" w:hAnsiTheme="minorHAnsi" w:cstheme="minorHAnsi"/>
          <w:caps w:val="0"/>
        </w:rPr>
        <w:t xml:space="preserve">Count of participants subject to </w:t>
      </w:r>
      <w:r>
        <w:rPr>
          <w:rFonts w:asciiTheme="minorHAnsi" w:hAnsiTheme="minorHAnsi" w:cstheme="minorHAnsi"/>
          <w:caps w:val="0"/>
        </w:rPr>
        <w:t>URP</w:t>
      </w:r>
      <w:r w:rsidRPr="00093344">
        <w:rPr>
          <w:rFonts w:asciiTheme="minorHAnsi" w:hAnsiTheme="minorHAnsi" w:cstheme="minorHAnsi"/>
          <w:caps w:val="0"/>
        </w:rPr>
        <w:t xml:space="preserve">s since </w:t>
      </w:r>
      <w:r>
        <w:rPr>
          <w:rFonts w:asciiTheme="minorHAnsi" w:hAnsiTheme="minorHAnsi" w:cstheme="minorHAnsi"/>
          <w:caps w:val="0"/>
        </w:rPr>
        <w:t>J</w:t>
      </w:r>
      <w:r w:rsidRPr="00093344">
        <w:rPr>
          <w:rFonts w:asciiTheme="minorHAnsi" w:hAnsiTheme="minorHAnsi" w:cstheme="minorHAnsi"/>
          <w:caps w:val="0"/>
        </w:rPr>
        <w:t>uly 2019 by number of URPs experienced in half year - NT</w:t>
      </w:r>
    </w:p>
    <w:p w14:paraId="73BBF20F" w14:textId="77777777" w:rsidR="00AF550C" w:rsidRDefault="005D188D" w:rsidP="005D188D">
      <w:pPr>
        <w:pStyle w:val="Heading1"/>
        <w:sectPr w:rsidR="00AF550C" w:rsidSect="00CC0BDF">
          <w:pgSz w:w="11906" w:h="16838"/>
          <w:pgMar w:top="1843" w:right="566" w:bottom="1702" w:left="993" w:header="283" w:footer="708" w:gutter="0"/>
          <w:cols w:num="2" w:space="708"/>
          <w:docGrid w:linePitch="360"/>
        </w:sectPr>
      </w:pPr>
      <w:r>
        <w:rPr>
          <w:noProof/>
          <w:lang w:eastAsia="en-AU"/>
        </w:rPr>
        <w:drawing>
          <wp:inline distT="0" distB="0" distL="0" distR="0" wp14:anchorId="4EDB4A78" wp14:editId="431BBAC7">
            <wp:extent cx="3168000" cy="1488558"/>
            <wp:effectExtent l="0" t="0" r="0" b="0"/>
            <wp:docPr id="77" name="Picture 77" descr="Bar chart showing the Count of participants subject to URPs since July 2019 by number of URPs experienced in half year -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Bar chart showing the Count of participants subject to URPs since July 2019 by number of URPs experienced in half year - N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68000" cy="1488558"/>
                    </a:xfrm>
                    <a:prstGeom prst="rect">
                      <a:avLst/>
                    </a:prstGeom>
                    <a:noFill/>
                  </pic:spPr>
                </pic:pic>
              </a:graphicData>
            </a:graphic>
          </wp:inline>
        </w:drawing>
      </w:r>
    </w:p>
    <w:p w14:paraId="0C4230C6" w14:textId="77777777" w:rsidR="00AF550C" w:rsidRPr="00667C0C" w:rsidRDefault="00AF550C" w:rsidP="00667C0C">
      <w:pPr>
        <w:pStyle w:val="Caption"/>
        <w:keepNext/>
        <w:rPr>
          <w:rFonts w:asciiTheme="minorHAnsi" w:hAnsiTheme="minorHAnsi" w:cstheme="minorHAnsi"/>
        </w:rPr>
      </w:pPr>
      <w:r w:rsidRPr="00667C0C">
        <w:rPr>
          <w:rFonts w:asciiTheme="minorHAnsi" w:hAnsiTheme="minorHAnsi" w:cstheme="minorHAnsi"/>
          <w:caps w:val="0"/>
        </w:rPr>
        <w:lastRenderedPageBreak/>
        <w:t xml:space="preserve">Table </w:t>
      </w:r>
      <w:r w:rsidRPr="00667C0C">
        <w:rPr>
          <w:rFonts w:asciiTheme="minorHAnsi" w:hAnsiTheme="minorHAnsi" w:cstheme="minorHAnsi"/>
        </w:rPr>
        <w:fldChar w:fldCharType="begin"/>
      </w:r>
      <w:r w:rsidRPr="00667C0C">
        <w:rPr>
          <w:rFonts w:asciiTheme="minorHAnsi" w:hAnsiTheme="minorHAnsi" w:cstheme="minorHAnsi"/>
        </w:rPr>
        <w:instrText xml:space="preserve"> SEQ Table \* ARABIC </w:instrText>
      </w:r>
      <w:r w:rsidRPr="00667C0C">
        <w:rPr>
          <w:rFonts w:asciiTheme="minorHAnsi" w:hAnsiTheme="minorHAnsi" w:cstheme="minorHAnsi"/>
        </w:rPr>
        <w:fldChar w:fldCharType="separate"/>
      </w:r>
      <w:r w:rsidRPr="00667C0C">
        <w:rPr>
          <w:rFonts w:asciiTheme="minorHAnsi" w:hAnsiTheme="minorHAnsi" w:cstheme="minorHAnsi"/>
          <w:noProof/>
        </w:rPr>
        <w:t>10</w:t>
      </w:r>
      <w:r w:rsidRPr="00667C0C">
        <w:rPr>
          <w:rFonts w:asciiTheme="minorHAnsi" w:hAnsiTheme="minorHAnsi" w:cstheme="minorHAnsi"/>
        </w:rPr>
        <w:fldChar w:fldCharType="end"/>
      </w:r>
      <w:r w:rsidRPr="00667C0C">
        <w:rPr>
          <w:rFonts w:asciiTheme="minorHAnsi" w:hAnsiTheme="minorHAnsi" w:cstheme="minorHAnsi"/>
        </w:rPr>
        <w:t xml:space="preserve"> - </w:t>
      </w:r>
      <w:r w:rsidRPr="00667C0C">
        <w:rPr>
          <w:rFonts w:asciiTheme="minorHAnsi" w:hAnsiTheme="minorHAnsi" w:cstheme="minorHAnsi"/>
          <w:caps w:val="0"/>
        </w:rPr>
        <w:t xml:space="preserve">Participants subject to restrictive practices in 2020-21 by </w:t>
      </w:r>
      <w:r>
        <w:rPr>
          <w:rFonts w:asciiTheme="minorHAnsi" w:hAnsiTheme="minorHAnsi" w:cstheme="minorHAnsi"/>
          <w:caps w:val="0"/>
        </w:rPr>
        <w:t>b</w:t>
      </w:r>
      <w:r w:rsidRPr="00667C0C">
        <w:rPr>
          <w:rFonts w:asciiTheme="minorHAnsi" w:hAnsiTheme="minorHAnsi" w:cstheme="minorHAnsi"/>
          <w:caps w:val="0"/>
        </w:rPr>
        <w:t xml:space="preserve">ehaviour </w:t>
      </w:r>
      <w:r>
        <w:rPr>
          <w:rFonts w:asciiTheme="minorHAnsi" w:hAnsiTheme="minorHAnsi" w:cstheme="minorHAnsi"/>
          <w:caps w:val="0"/>
        </w:rPr>
        <w:t>s</w:t>
      </w:r>
      <w:r w:rsidRPr="00667C0C">
        <w:rPr>
          <w:rFonts w:asciiTheme="minorHAnsi" w:hAnsiTheme="minorHAnsi" w:cstheme="minorHAnsi"/>
          <w:caps w:val="0"/>
        </w:rPr>
        <w:t>upport funding</w:t>
      </w:r>
      <w:r w:rsidRPr="00667C0C">
        <w:rPr>
          <w:rFonts w:asciiTheme="minorHAnsi" w:hAnsiTheme="minorHAnsi" w:cstheme="minorHAnsi"/>
          <w:noProof/>
        </w:rPr>
        <w:t xml:space="preserve"> </w:t>
      </w:r>
      <w:r w:rsidRPr="00667C0C">
        <w:rPr>
          <w:rFonts w:asciiTheme="minorHAnsi" w:hAnsiTheme="minorHAnsi" w:cstheme="minorHAnsi"/>
          <w:caps w:val="0"/>
          <w:noProof/>
        </w:rPr>
        <w:t>and age band</w:t>
      </w:r>
    </w:p>
    <w:tbl>
      <w:tblPr>
        <w:tblW w:w="9928" w:type="dxa"/>
        <w:tblLook w:val="04A0" w:firstRow="1" w:lastRow="0" w:firstColumn="1" w:lastColumn="0" w:noHBand="0" w:noVBand="1"/>
      </w:tblPr>
      <w:tblGrid>
        <w:gridCol w:w="2191"/>
        <w:gridCol w:w="2191"/>
        <w:gridCol w:w="2651"/>
        <w:gridCol w:w="2895"/>
      </w:tblGrid>
      <w:tr w:rsidR="00AF550C" w:rsidRPr="005E3174" w14:paraId="6DC30D7F" w14:textId="77777777" w:rsidTr="00667C0C">
        <w:trPr>
          <w:trHeight w:val="695"/>
        </w:trPr>
        <w:tc>
          <w:tcPr>
            <w:tcW w:w="219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255D134"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Participant Age</w:t>
            </w:r>
          </w:p>
        </w:tc>
        <w:tc>
          <w:tcPr>
            <w:tcW w:w="2191" w:type="dxa"/>
            <w:vMerge w:val="restart"/>
            <w:tcBorders>
              <w:top w:val="single" w:sz="4" w:space="0" w:color="auto"/>
              <w:left w:val="nil"/>
              <w:right w:val="single" w:sz="4" w:space="0" w:color="auto"/>
            </w:tcBorders>
            <w:shd w:val="clear" w:color="000000" w:fill="D9D9D9"/>
            <w:vAlign w:val="center"/>
            <w:hideMark/>
          </w:tcPr>
          <w:p w14:paraId="1147975A"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Participants subject to URPs</w:t>
            </w:r>
          </w:p>
        </w:tc>
        <w:tc>
          <w:tcPr>
            <w:tcW w:w="5546" w:type="dxa"/>
            <w:gridSpan w:val="2"/>
            <w:tcBorders>
              <w:top w:val="single" w:sz="4" w:space="0" w:color="auto"/>
              <w:left w:val="nil"/>
              <w:bottom w:val="nil"/>
              <w:right w:val="single" w:sz="4" w:space="0" w:color="000000"/>
            </w:tcBorders>
            <w:shd w:val="clear" w:color="000000" w:fill="D9D9D9"/>
            <w:vAlign w:val="center"/>
            <w:hideMark/>
          </w:tcPr>
          <w:p w14:paraId="02861AE9"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Participants with behaviour support funding and subjected to URP's</w:t>
            </w:r>
          </w:p>
        </w:tc>
      </w:tr>
      <w:tr w:rsidR="00AF550C" w:rsidRPr="005E3174" w14:paraId="0BAA181F" w14:textId="77777777" w:rsidTr="00667C0C">
        <w:trPr>
          <w:trHeight w:val="239"/>
        </w:trPr>
        <w:tc>
          <w:tcPr>
            <w:tcW w:w="2191" w:type="dxa"/>
            <w:vMerge/>
            <w:tcBorders>
              <w:top w:val="single" w:sz="4" w:space="0" w:color="auto"/>
              <w:left w:val="single" w:sz="4" w:space="0" w:color="auto"/>
              <w:bottom w:val="single" w:sz="4" w:space="0" w:color="000000"/>
              <w:right w:val="single" w:sz="4" w:space="0" w:color="auto"/>
            </w:tcBorders>
            <w:vAlign w:val="center"/>
            <w:hideMark/>
          </w:tcPr>
          <w:p w14:paraId="6EE9AB76" w14:textId="77777777" w:rsidR="00AF550C" w:rsidRPr="00667C0C" w:rsidRDefault="00AF550C" w:rsidP="00AF550C">
            <w:pPr>
              <w:spacing w:after="0" w:line="240" w:lineRule="auto"/>
              <w:rPr>
                <w:rFonts w:asciiTheme="minorHAnsi" w:eastAsia="Times New Roman" w:hAnsiTheme="minorHAnsi" w:cstheme="minorHAnsi"/>
                <w:b/>
                <w:bCs/>
                <w:color w:val="000000"/>
                <w:sz w:val="18"/>
                <w:szCs w:val="18"/>
                <w:lang w:eastAsia="en-AU"/>
              </w:rPr>
            </w:pPr>
          </w:p>
        </w:tc>
        <w:tc>
          <w:tcPr>
            <w:tcW w:w="2191" w:type="dxa"/>
            <w:vMerge/>
            <w:tcBorders>
              <w:left w:val="nil"/>
              <w:bottom w:val="single" w:sz="4" w:space="0" w:color="auto"/>
              <w:right w:val="single" w:sz="4" w:space="0" w:color="auto"/>
            </w:tcBorders>
            <w:shd w:val="clear" w:color="000000" w:fill="D9D9D9"/>
            <w:vAlign w:val="center"/>
            <w:hideMark/>
          </w:tcPr>
          <w:p w14:paraId="1563B50C"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p>
        </w:tc>
        <w:tc>
          <w:tcPr>
            <w:tcW w:w="2651" w:type="dxa"/>
            <w:tcBorders>
              <w:top w:val="nil"/>
              <w:left w:val="nil"/>
              <w:bottom w:val="single" w:sz="4" w:space="0" w:color="auto"/>
              <w:right w:val="nil"/>
            </w:tcBorders>
            <w:shd w:val="clear" w:color="000000" w:fill="D9D9D9"/>
            <w:noWrap/>
            <w:vAlign w:val="center"/>
            <w:hideMark/>
          </w:tcPr>
          <w:p w14:paraId="2D25457B"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w:t>
            </w:r>
          </w:p>
        </w:tc>
        <w:tc>
          <w:tcPr>
            <w:tcW w:w="2895" w:type="dxa"/>
            <w:tcBorders>
              <w:top w:val="nil"/>
              <w:left w:val="nil"/>
              <w:bottom w:val="single" w:sz="4" w:space="0" w:color="auto"/>
              <w:right w:val="single" w:sz="4" w:space="0" w:color="auto"/>
            </w:tcBorders>
            <w:shd w:val="clear" w:color="000000" w:fill="D9D9D9"/>
            <w:noWrap/>
            <w:vAlign w:val="center"/>
            <w:hideMark/>
          </w:tcPr>
          <w:p w14:paraId="09E75B66"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w:t>
            </w:r>
          </w:p>
        </w:tc>
      </w:tr>
      <w:tr w:rsidR="00AF550C" w:rsidRPr="005E3174" w14:paraId="6BCC6A44"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176C1C5B"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0 to 6</w:t>
            </w:r>
          </w:p>
        </w:tc>
        <w:tc>
          <w:tcPr>
            <w:tcW w:w="2191" w:type="dxa"/>
            <w:tcBorders>
              <w:top w:val="nil"/>
              <w:left w:val="nil"/>
              <w:bottom w:val="nil"/>
              <w:right w:val="single" w:sz="4" w:space="0" w:color="auto"/>
            </w:tcBorders>
            <w:shd w:val="clear" w:color="auto" w:fill="auto"/>
            <w:noWrap/>
            <w:vAlign w:val="bottom"/>
            <w:hideMark/>
          </w:tcPr>
          <w:p w14:paraId="2988804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50</w:t>
            </w:r>
          </w:p>
        </w:tc>
        <w:tc>
          <w:tcPr>
            <w:tcW w:w="2651" w:type="dxa"/>
            <w:tcBorders>
              <w:top w:val="nil"/>
              <w:left w:val="nil"/>
              <w:bottom w:val="nil"/>
              <w:right w:val="nil"/>
            </w:tcBorders>
            <w:shd w:val="clear" w:color="auto" w:fill="auto"/>
            <w:noWrap/>
            <w:vAlign w:val="bottom"/>
            <w:hideMark/>
          </w:tcPr>
          <w:p w14:paraId="74AE5751"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11</w:t>
            </w:r>
          </w:p>
        </w:tc>
        <w:tc>
          <w:tcPr>
            <w:tcW w:w="2895" w:type="dxa"/>
            <w:tcBorders>
              <w:top w:val="nil"/>
              <w:left w:val="nil"/>
              <w:bottom w:val="nil"/>
              <w:right w:val="single" w:sz="4" w:space="0" w:color="auto"/>
            </w:tcBorders>
            <w:shd w:val="clear" w:color="auto" w:fill="auto"/>
            <w:noWrap/>
            <w:vAlign w:val="bottom"/>
            <w:hideMark/>
          </w:tcPr>
          <w:p w14:paraId="5F58C6B8"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1.6%</w:t>
            </w:r>
          </w:p>
        </w:tc>
      </w:tr>
      <w:tr w:rsidR="00AF550C" w:rsidRPr="005E3174" w14:paraId="27C569F7"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1C15A259"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 to 14</w:t>
            </w:r>
          </w:p>
        </w:tc>
        <w:tc>
          <w:tcPr>
            <w:tcW w:w="2191" w:type="dxa"/>
            <w:tcBorders>
              <w:top w:val="nil"/>
              <w:left w:val="nil"/>
              <w:bottom w:val="nil"/>
              <w:right w:val="single" w:sz="4" w:space="0" w:color="auto"/>
            </w:tcBorders>
            <w:shd w:val="clear" w:color="auto" w:fill="auto"/>
            <w:noWrap/>
            <w:vAlign w:val="bottom"/>
            <w:hideMark/>
          </w:tcPr>
          <w:p w14:paraId="0501FCB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511</w:t>
            </w:r>
          </w:p>
        </w:tc>
        <w:tc>
          <w:tcPr>
            <w:tcW w:w="2651" w:type="dxa"/>
            <w:tcBorders>
              <w:top w:val="nil"/>
              <w:left w:val="nil"/>
              <w:bottom w:val="nil"/>
              <w:right w:val="nil"/>
            </w:tcBorders>
            <w:shd w:val="clear" w:color="auto" w:fill="auto"/>
            <w:noWrap/>
            <w:vAlign w:val="bottom"/>
            <w:hideMark/>
          </w:tcPr>
          <w:p w14:paraId="3847A2F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383</w:t>
            </w:r>
          </w:p>
        </w:tc>
        <w:tc>
          <w:tcPr>
            <w:tcW w:w="2895" w:type="dxa"/>
            <w:tcBorders>
              <w:top w:val="nil"/>
              <w:left w:val="nil"/>
              <w:bottom w:val="nil"/>
              <w:right w:val="single" w:sz="4" w:space="0" w:color="auto"/>
            </w:tcBorders>
            <w:shd w:val="clear" w:color="auto" w:fill="auto"/>
            <w:noWrap/>
            <w:vAlign w:val="bottom"/>
            <w:hideMark/>
          </w:tcPr>
          <w:p w14:paraId="2F42911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3.2%</w:t>
            </w:r>
          </w:p>
        </w:tc>
      </w:tr>
      <w:tr w:rsidR="00AF550C" w:rsidRPr="005E3174" w14:paraId="08E2B67E"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5B7EE233"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15 to 18</w:t>
            </w:r>
          </w:p>
        </w:tc>
        <w:tc>
          <w:tcPr>
            <w:tcW w:w="2191" w:type="dxa"/>
            <w:tcBorders>
              <w:top w:val="nil"/>
              <w:left w:val="nil"/>
              <w:bottom w:val="nil"/>
              <w:right w:val="single" w:sz="4" w:space="0" w:color="auto"/>
            </w:tcBorders>
            <w:shd w:val="clear" w:color="auto" w:fill="auto"/>
            <w:noWrap/>
            <w:vAlign w:val="bottom"/>
            <w:hideMark/>
          </w:tcPr>
          <w:p w14:paraId="2DB8A495"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496</w:t>
            </w:r>
          </w:p>
        </w:tc>
        <w:tc>
          <w:tcPr>
            <w:tcW w:w="2651" w:type="dxa"/>
            <w:tcBorders>
              <w:top w:val="nil"/>
              <w:left w:val="nil"/>
              <w:bottom w:val="nil"/>
              <w:right w:val="nil"/>
            </w:tcBorders>
            <w:shd w:val="clear" w:color="auto" w:fill="auto"/>
            <w:noWrap/>
            <w:vAlign w:val="bottom"/>
            <w:hideMark/>
          </w:tcPr>
          <w:p w14:paraId="1F8EAAB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400</w:t>
            </w:r>
          </w:p>
        </w:tc>
        <w:tc>
          <w:tcPr>
            <w:tcW w:w="2895" w:type="dxa"/>
            <w:tcBorders>
              <w:top w:val="nil"/>
              <w:left w:val="nil"/>
              <w:bottom w:val="nil"/>
              <w:right w:val="single" w:sz="4" w:space="0" w:color="auto"/>
            </w:tcBorders>
            <w:shd w:val="clear" w:color="auto" w:fill="auto"/>
            <w:noWrap/>
            <w:vAlign w:val="bottom"/>
            <w:hideMark/>
          </w:tcPr>
          <w:p w14:paraId="3F3900DB"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7.5%</w:t>
            </w:r>
          </w:p>
        </w:tc>
      </w:tr>
      <w:tr w:rsidR="00AF550C" w:rsidRPr="005E3174" w14:paraId="3BCCA27B"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7C7FA695"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19 to 24</w:t>
            </w:r>
          </w:p>
        </w:tc>
        <w:tc>
          <w:tcPr>
            <w:tcW w:w="2191" w:type="dxa"/>
            <w:tcBorders>
              <w:top w:val="nil"/>
              <w:left w:val="nil"/>
              <w:bottom w:val="nil"/>
              <w:right w:val="single" w:sz="4" w:space="0" w:color="auto"/>
            </w:tcBorders>
            <w:shd w:val="clear" w:color="auto" w:fill="auto"/>
            <w:noWrap/>
            <w:vAlign w:val="bottom"/>
            <w:hideMark/>
          </w:tcPr>
          <w:p w14:paraId="4826A5C7"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1,008</w:t>
            </w:r>
          </w:p>
        </w:tc>
        <w:tc>
          <w:tcPr>
            <w:tcW w:w="2651" w:type="dxa"/>
            <w:tcBorders>
              <w:top w:val="nil"/>
              <w:left w:val="nil"/>
              <w:bottom w:val="nil"/>
              <w:right w:val="nil"/>
            </w:tcBorders>
            <w:shd w:val="clear" w:color="auto" w:fill="auto"/>
            <w:noWrap/>
            <w:vAlign w:val="bottom"/>
            <w:hideMark/>
          </w:tcPr>
          <w:p w14:paraId="0DB2A2A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845</w:t>
            </w:r>
          </w:p>
        </w:tc>
        <w:tc>
          <w:tcPr>
            <w:tcW w:w="2895" w:type="dxa"/>
            <w:tcBorders>
              <w:top w:val="nil"/>
              <w:left w:val="nil"/>
              <w:bottom w:val="nil"/>
              <w:right w:val="single" w:sz="4" w:space="0" w:color="auto"/>
            </w:tcBorders>
            <w:shd w:val="clear" w:color="auto" w:fill="auto"/>
            <w:noWrap/>
            <w:vAlign w:val="bottom"/>
            <w:hideMark/>
          </w:tcPr>
          <w:p w14:paraId="1917A975"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16.9%</w:t>
            </w:r>
          </w:p>
        </w:tc>
      </w:tr>
      <w:tr w:rsidR="00AF550C" w:rsidRPr="005E3174" w14:paraId="4D9C8B81"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34820C45"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25 to 34</w:t>
            </w:r>
          </w:p>
        </w:tc>
        <w:tc>
          <w:tcPr>
            <w:tcW w:w="2191" w:type="dxa"/>
            <w:tcBorders>
              <w:top w:val="nil"/>
              <w:left w:val="nil"/>
              <w:bottom w:val="nil"/>
              <w:right w:val="single" w:sz="4" w:space="0" w:color="auto"/>
            </w:tcBorders>
            <w:shd w:val="clear" w:color="auto" w:fill="auto"/>
            <w:noWrap/>
            <w:vAlign w:val="bottom"/>
            <w:hideMark/>
          </w:tcPr>
          <w:p w14:paraId="7C1D86C2"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1,216</w:t>
            </w:r>
          </w:p>
        </w:tc>
        <w:tc>
          <w:tcPr>
            <w:tcW w:w="2651" w:type="dxa"/>
            <w:tcBorders>
              <w:top w:val="nil"/>
              <w:left w:val="nil"/>
              <w:bottom w:val="nil"/>
              <w:right w:val="nil"/>
            </w:tcBorders>
            <w:shd w:val="clear" w:color="auto" w:fill="auto"/>
            <w:noWrap/>
            <w:vAlign w:val="bottom"/>
            <w:hideMark/>
          </w:tcPr>
          <w:p w14:paraId="13C7BC9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1,000</w:t>
            </w:r>
          </w:p>
        </w:tc>
        <w:tc>
          <w:tcPr>
            <w:tcW w:w="2895" w:type="dxa"/>
            <w:tcBorders>
              <w:top w:val="nil"/>
              <w:left w:val="nil"/>
              <w:bottom w:val="nil"/>
              <w:right w:val="single" w:sz="4" w:space="0" w:color="auto"/>
            </w:tcBorders>
            <w:shd w:val="clear" w:color="auto" w:fill="auto"/>
            <w:noWrap/>
            <w:vAlign w:val="bottom"/>
            <w:hideMark/>
          </w:tcPr>
          <w:p w14:paraId="70998BF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18.0%</w:t>
            </w:r>
          </w:p>
        </w:tc>
      </w:tr>
      <w:tr w:rsidR="00AF550C" w:rsidRPr="005E3174" w14:paraId="3FAF1585"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09A0B400"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35 to 44</w:t>
            </w:r>
          </w:p>
        </w:tc>
        <w:tc>
          <w:tcPr>
            <w:tcW w:w="2191" w:type="dxa"/>
            <w:tcBorders>
              <w:top w:val="nil"/>
              <w:left w:val="nil"/>
              <w:bottom w:val="nil"/>
              <w:right w:val="single" w:sz="4" w:space="0" w:color="auto"/>
            </w:tcBorders>
            <w:shd w:val="clear" w:color="auto" w:fill="auto"/>
            <w:noWrap/>
            <w:vAlign w:val="bottom"/>
            <w:hideMark/>
          </w:tcPr>
          <w:p w14:paraId="75261932"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902</w:t>
            </w:r>
          </w:p>
        </w:tc>
        <w:tc>
          <w:tcPr>
            <w:tcW w:w="2651" w:type="dxa"/>
            <w:tcBorders>
              <w:top w:val="nil"/>
              <w:left w:val="nil"/>
              <w:bottom w:val="nil"/>
              <w:right w:val="nil"/>
            </w:tcBorders>
            <w:shd w:val="clear" w:color="auto" w:fill="auto"/>
            <w:noWrap/>
            <w:vAlign w:val="bottom"/>
            <w:hideMark/>
          </w:tcPr>
          <w:p w14:paraId="51A1920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731</w:t>
            </w:r>
          </w:p>
        </w:tc>
        <w:tc>
          <w:tcPr>
            <w:tcW w:w="2895" w:type="dxa"/>
            <w:tcBorders>
              <w:top w:val="nil"/>
              <w:left w:val="nil"/>
              <w:bottom w:val="nil"/>
              <w:right w:val="single" w:sz="4" w:space="0" w:color="auto"/>
            </w:tcBorders>
            <w:shd w:val="clear" w:color="auto" w:fill="auto"/>
            <w:noWrap/>
            <w:vAlign w:val="bottom"/>
            <w:hideMark/>
          </w:tcPr>
          <w:p w14:paraId="3E6B913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16.1%</w:t>
            </w:r>
          </w:p>
        </w:tc>
      </w:tr>
      <w:tr w:rsidR="00AF550C" w:rsidRPr="005E3174" w14:paraId="59A5DDA7"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3AD952AD"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45 to 54</w:t>
            </w:r>
          </w:p>
        </w:tc>
        <w:tc>
          <w:tcPr>
            <w:tcW w:w="2191" w:type="dxa"/>
            <w:tcBorders>
              <w:top w:val="nil"/>
              <w:left w:val="nil"/>
              <w:bottom w:val="nil"/>
              <w:right w:val="single" w:sz="4" w:space="0" w:color="auto"/>
            </w:tcBorders>
            <w:shd w:val="clear" w:color="auto" w:fill="auto"/>
            <w:noWrap/>
            <w:vAlign w:val="bottom"/>
            <w:hideMark/>
          </w:tcPr>
          <w:p w14:paraId="3E459C0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1,078</w:t>
            </w:r>
          </w:p>
        </w:tc>
        <w:tc>
          <w:tcPr>
            <w:tcW w:w="2651" w:type="dxa"/>
            <w:tcBorders>
              <w:top w:val="nil"/>
              <w:left w:val="nil"/>
              <w:bottom w:val="nil"/>
              <w:right w:val="nil"/>
            </w:tcBorders>
            <w:shd w:val="clear" w:color="auto" w:fill="auto"/>
            <w:noWrap/>
            <w:vAlign w:val="bottom"/>
            <w:hideMark/>
          </w:tcPr>
          <w:p w14:paraId="0F7E8E16"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836</w:t>
            </w:r>
          </w:p>
        </w:tc>
        <w:tc>
          <w:tcPr>
            <w:tcW w:w="2895" w:type="dxa"/>
            <w:tcBorders>
              <w:top w:val="nil"/>
              <w:left w:val="nil"/>
              <w:bottom w:val="nil"/>
              <w:right w:val="single" w:sz="4" w:space="0" w:color="auto"/>
            </w:tcBorders>
            <w:shd w:val="clear" w:color="auto" w:fill="auto"/>
            <w:noWrap/>
            <w:vAlign w:val="bottom"/>
            <w:hideMark/>
          </w:tcPr>
          <w:p w14:paraId="051D8C8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16.9%</w:t>
            </w:r>
          </w:p>
        </w:tc>
      </w:tr>
      <w:tr w:rsidR="00AF550C" w:rsidRPr="005E3174" w14:paraId="45DACE95"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4B35471A"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55 to 64</w:t>
            </w:r>
          </w:p>
        </w:tc>
        <w:tc>
          <w:tcPr>
            <w:tcW w:w="2191" w:type="dxa"/>
            <w:tcBorders>
              <w:top w:val="nil"/>
              <w:left w:val="nil"/>
              <w:bottom w:val="nil"/>
              <w:right w:val="single" w:sz="4" w:space="0" w:color="auto"/>
            </w:tcBorders>
            <w:shd w:val="clear" w:color="auto" w:fill="auto"/>
            <w:noWrap/>
            <w:vAlign w:val="bottom"/>
            <w:hideMark/>
          </w:tcPr>
          <w:p w14:paraId="55F59ED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1,028</w:t>
            </w:r>
          </w:p>
        </w:tc>
        <w:tc>
          <w:tcPr>
            <w:tcW w:w="2651" w:type="dxa"/>
            <w:tcBorders>
              <w:top w:val="nil"/>
              <w:left w:val="nil"/>
              <w:bottom w:val="nil"/>
              <w:right w:val="nil"/>
            </w:tcBorders>
            <w:shd w:val="clear" w:color="auto" w:fill="auto"/>
            <w:noWrap/>
            <w:vAlign w:val="bottom"/>
            <w:hideMark/>
          </w:tcPr>
          <w:p w14:paraId="4ADA80C1"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749</w:t>
            </w:r>
          </w:p>
        </w:tc>
        <w:tc>
          <w:tcPr>
            <w:tcW w:w="2895" w:type="dxa"/>
            <w:tcBorders>
              <w:top w:val="nil"/>
              <w:left w:val="nil"/>
              <w:bottom w:val="nil"/>
              <w:right w:val="single" w:sz="4" w:space="0" w:color="auto"/>
            </w:tcBorders>
            <w:shd w:val="clear" w:color="auto" w:fill="auto"/>
            <w:noWrap/>
            <w:vAlign w:val="bottom"/>
            <w:hideMark/>
          </w:tcPr>
          <w:p w14:paraId="3B8A5B3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14.9%</w:t>
            </w:r>
          </w:p>
        </w:tc>
      </w:tr>
      <w:tr w:rsidR="00AF550C" w:rsidRPr="005E3174" w14:paraId="27F348F1" w14:textId="77777777" w:rsidTr="00667C0C">
        <w:trPr>
          <w:trHeight w:val="197"/>
        </w:trPr>
        <w:tc>
          <w:tcPr>
            <w:tcW w:w="2191" w:type="dxa"/>
            <w:tcBorders>
              <w:top w:val="nil"/>
              <w:left w:val="single" w:sz="4" w:space="0" w:color="auto"/>
              <w:bottom w:val="nil"/>
              <w:right w:val="single" w:sz="4" w:space="0" w:color="auto"/>
            </w:tcBorders>
            <w:shd w:val="clear" w:color="auto" w:fill="auto"/>
            <w:noWrap/>
            <w:vAlign w:val="bottom"/>
            <w:hideMark/>
          </w:tcPr>
          <w:p w14:paraId="76341666"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65+</w:t>
            </w:r>
          </w:p>
        </w:tc>
        <w:tc>
          <w:tcPr>
            <w:tcW w:w="2191" w:type="dxa"/>
            <w:tcBorders>
              <w:top w:val="nil"/>
              <w:left w:val="nil"/>
              <w:bottom w:val="nil"/>
              <w:right w:val="single" w:sz="4" w:space="0" w:color="auto"/>
            </w:tcBorders>
            <w:shd w:val="clear" w:color="auto" w:fill="auto"/>
            <w:noWrap/>
            <w:vAlign w:val="bottom"/>
            <w:hideMark/>
          </w:tcPr>
          <w:p w14:paraId="474C32F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333</w:t>
            </w:r>
          </w:p>
        </w:tc>
        <w:tc>
          <w:tcPr>
            <w:tcW w:w="2651" w:type="dxa"/>
            <w:tcBorders>
              <w:top w:val="nil"/>
              <w:left w:val="nil"/>
              <w:bottom w:val="nil"/>
              <w:right w:val="nil"/>
            </w:tcBorders>
            <w:shd w:val="clear" w:color="auto" w:fill="auto"/>
            <w:noWrap/>
            <w:vAlign w:val="bottom"/>
            <w:hideMark/>
          </w:tcPr>
          <w:p w14:paraId="514B83B2"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217</w:t>
            </w:r>
          </w:p>
        </w:tc>
        <w:tc>
          <w:tcPr>
            <w:tcW w:w="2895" w:type="dxa"/>
            <w:tcBorders>
              <w:top w:val="nil"/>
              <w:left w:val="nil"/>
              <w:bottom w:val="nil"/>
              <w:right w:val="single" w:sz="4" w:space="0" w:color="auto"/>
            </w:tcBorders>
            <w:shd w:val="clear" w:color="auto" w:fill="auto"/>
            <w:noWrap/>
            <w:vAlign w:val="bottom"/>
            <w:hideMark/>
          </w:tcPr>
          <w:p w14:paraId="5908215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13.9%</w:t>
            </w:r>
          </w:p>
        </w:tc>
      </w:tr>
      <w:tr w:rsidR="00AF550C" w:rsidRPr="005E3174" w14:paraId="1AC3C18A" w14:textId="77777777" w:rsidTr="00667C0C">
        <w:trPr>
          <w:trHeight w:val="197"/>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20C95" w14:textId="77777777" w:rsidR="00AF550C" w:rsidRPr="00667C0C" w:rsidRDefault="00AF550C" w:rsidP="00AF550C">
            <w:pPr>
              <w:spacing w:after="0" w:line="240" w:lineRule="auto"/>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Total</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6FE99175"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6,622</w:t>
            </w:r>
          </w:p>
        </w:tc>
        <w:tc>
          <w:tcPr>
            <w:tcW w:w="2651" w:type="dxa"/>
            <w:tcBorders>
              <w:top w:val="single" w:sz="4" w:space="0" w:color="auto"/>
              <w:left w:val="nil"/>
              <w:bottom w:val="single" w:sz="4" w:space="0" w:color="auto"/>
              <w:right w:val="nil"/>
            </w:tcBorders>
            <w:shd w:val="clear" w:color="auto" w:fill="auto"/>
            <w:noWrap/>
            <w:vAlign w:val="bottom"/>
            <w:hideMark/>
          </w:tcPr>
          <w:p w14:paraId="6E7E33D5"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5,172</w:t>
            </w:r>
          </w:p>
        </w:tc>
        <w:tc>
          <w:tcPr>
            <w:tcW w:w="2895" w:type="dxa"/>
            <w:tcBorders>
              <w:top w:val="single" w:sz="4" w:space="0" w:color="auto"/>
              <w:left w:val="nil"/>
              <w:bottom w:val="single" w:sz="4" w:space="0" w:color="auto"/>
              <w:right w:val="single" w:sz="4" w:space="0" w:color="auto"/>
            </w:tcBorders>
            <w:shd w:val="clear" w:color="auto" w:fill="auto"/>
            <w:noWrap/>
            <w:vAlign w:val="bottom"/>
            <w:hideMark/>
          </w:tcPr>
          <w:p w14:paraId="7A9755C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11.6%</w:t>
            </w:r>
          </w:p>
        </w:tc>
      </w:tr>
    </w:tbl>
    <w:p w14:paraId="62E48ECB" w14:textId="77777777" w:rsidR="00AF550C" w:rsidRPr="00667C0C" w:rsidRDefault="00AF550C" w:rsidP="00667C0C">
      <w:pPr>
        <w:rPr>
          <w:rFonts w:asciiTheme="minorHAnsi" w:hAnsiTheme="minorHAnsi" w:cstheme="minorHAnsi"/>
          <w:sz w:val="18"/>
          <w:szCs w:val="18"/>
        </w:rPr>
      </w:pPr>
    </w:p>
    <w:p w14:paraId="7546DC68" w14:textId="77777777" w:rsidR="00AF550C" w:rsidRPr="00667C0C" w:rsidRDefault="005E3174" w:rsidP="00667C0C">
      <w:pPr>
        <w:pStyle w:val="Caption"/>
        <w:keepNext/>
        <w:rPr>
          <w:rFonts w:asciiTheme="minorHAnsi" w:hAnsiTheme="minorHAnsi" w:cstheme="minorHAnsi"/>
        </w:rPr>
      </w:pPr>
      <w:r w:rsidRPr="00667C0C">
        <w:rPr>
          <w:rFonts w:asciiTheme="minorHAnsi" w:hAnsiTheme="minorHAnsi" w:cstheme="minorHAnsi"/>
          <w:caps w:val="0"/>
        </w:rPr>
        <w:t xml:space="preserve">Table </w:t>
      </w:r>
      <w:r w:rsidR="00AF550C" w:rsidRPr="00667C0C">
        <w:rPr>
          <w:rFonts w:asciiTheme="minorHAnsi" w:hAnsiTheme="minorHAnsi" w:cstheme="minorHAnsi"/>
        </w:rPr>
        <w:fldChar w:fldCharType="begin"/>
      </w:r>
      <w:r w:rsidR="00AF550C" w:rsidRPr="00667C0C">
        <w:rPr>
          <w:rFonts w:asciiTheme="minorHAnsi" w:hAnsiTheme="minorHAnsi" w:cstheme="minorHAnsi"/>
        </w:rPr>
        <w:instrText xml:space="preserve"> SEQ Table \* ARABIC </w:instrText>
      </w:r>
      <w:r w:rsidR="00AF550C" w:rsidRPr="00667C0C">
        <w:rPr>
          <w:rFonts w:asciiTheme="minorHAnsi" w:hAnsiTheme="minorHAnsi" w:cstheme="minorHAnsi"/>
        </w:rPr>
        <w:fldChar w:fldCharType="separate"/>
      </w:r>
      <w:r w:rsidR="00AF550C" w:rsidRPr="00667C0C">
        <w:rPr>
          <w:rFonts w:asciiTheme="minorHAnsi" w:hAnsiTheme="minorHAnsi" w:cstheme="minorHAnsi"/>
          <w:noProof/>
        </w:rPr>
        <w:t>11</w:t>
      </w:r>
      <w:r w:rsidR="00AF550C" w:rsidRPr="00667C0C">
        <w:rPr>
          <w:rFonts w:asciiTheme="minorHAnsi" w:hAnsiTheme="minorHAnsi" w:cstheme="minorHAnsi"/>
        </w:rPr>
        <w:fldChar w:fldCharType="end"/>
      </w:r>
      <w:r w:rsidR="00AF550C" w:rsidRPr="00667C0C">
        <w:rPr>
          <w:rFonts w:asciiTheme="minorHAnsi" w:hAnsiTheme="minorHAnsi" w:cstheme="minorHAnsi"/>
        </w:rPr>
        <w:t xml:space="preserve"> - </w:t>
      </w:r>
      <w:r w:rsidRPr="00667C0C">
        <w:rPr>
          <w:rFonts w:asciiTheme="minorHAnsi" w:hAnsiTheme="minorHAnsi" w:cstheme="minorHAnsi"/>
          <w:caps w:val="0"/>
        </w:rPr>
        <w:t xml:space="preserve">Participants subject to restrictive practices in 2020-21 by behaviour support funding and </w:t>
      </w:r>
      <w:r>
        <w:rPr>
          <w:rFonts w:asciiTheme="minorHAnsi" w:hAnsiTheme="minorHAnsi" w:cstheme="minorHAnsi"/>
          <w:caps w:val="0"/>
        </w:rPr>
        <w:t>primary disability</w:t>
      </w:r>
    </w:p>
    <w:tbl>
      <w:tblPr>
        <w:tblW w:w="9911" w:type="dxa"/>
        <w:tblLook w:val="04A0" w:firstRow="1" w:lastRow="0" w:firstColumn="1" w:lastColumn="0" w:noHBand="0" w:noVBand="1"/>
      </w:tblPr>
      <w:tblGrid>
        <w:gridCol w:w="3236"/>
        <w:gridCol w:w="2188"/>
        <w:gridCol w:w="1884"/>
        <w:gridCol w:w="2603"/>
      </w:tblGrid>
      <w:tr w:rsidR="00AF550C" w:rsidRPr="005E3174" w14:paraId="6676991B" w14:textId="77777777" w:rsidTr="00AF550C">
        <w:trPr>
          <w:trHeight w:val="703"/>
        </w:trPr>
        <w:tc>
          <w:tcPr>
            <w:tcW w:w="32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A8279BE"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Primary Disability</w:t>
            </w:r>
          </w:p>
        </w:tc>
        <w:tc>
          <w:tcPr>
            <w:tcW w:w="2188" w:type="dxa"/>
            <w:vMerge w:val="restart"/>
            <w:tcBorders>
              <w:top w:val="single" w:sz="4" w:space="0" w:color="auto"/>
              <w:left w:val="nil"/>
              <w:right w:val="single" w:sz="4" w:space="0" w:color="auto"/>
            </w:tcBorders>
            <w:shd w:val="clear" w:color="000000" w:fill="D9D9D9"/>
            <w:vAlign w:val="center"/>
            <w:hideMark/>
          </w:tcPr>
          <w:p w14:paraId="3A854085" w14:textId="77777777" w:rsidR="00AF550C" w:rsidRPr="00667C0C" w:rsidRDefault="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Participants subject to URPs</w:t>
            </w:r>
          </w:p>
        </w:tc>
        <w:tc>
          <w:tcPr>
            <w:tcW w:w="4487" w:type="dxa"/>
            <w:gridSpan w:val="2"/>
            <w:tcBorders>
              <w:top w:val="single" w:sz="4" w:space="0" w:color="auto"/>
              <w:left w:val="nil"/>
              <w:bottom w:val="nil"/>
              <w:right w:val="single" w:sz="4" w:space="0" w:color="000000"/>
            </w:tcBorders>
            <w:shd w:val="clear" w:color="000000" w:fill="D9D9D9"/>
            <w:vAlign w:val="center"/>
            <w:hideMark/>
          </w:tcPr>
          <w:p w14:paraId="250907A2"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Participants with behaviour support funding and subjected to URP's</w:t>
            </w:r>
          </w:p>
        </w:tc>
      </w:tr>
      <w:tr w:rsidR="00AF550C" w:rsidRPr="005E3174" w14:paraId="4DD27CF6" w14:textId="77777777" w:rsidTr="005E3174">
        <w:trPr>
          <w:trHeight w:val="224"/>
        </w:trPr>
        <w:tc>
          <w:tcPr>
            <w:tcW w:w="3236" w:type="dxa"/>
            <w:vMerge/>
            <w:tcBorders>
              <w:top w:val="single" w:sz="4" w:space="0" w:color="auto"/>
              <w:left w:val="single" w:sz="4" w:space="0" w:color="auto"/>
              <w:bottom w:val="single" w:sz="4" w:space="0" w:color="000000"/>
              <w:right w:val="single" w:sz="4" w:space="0" w:color="auto"/>
            </w:tcBorders>
            <w:vAlign w:val="center"/>
            <w:hideMark/>
          </w:tcPr>
          <w:p w14:paraId="6EDC970B" w14:textId="77777777" w:rsidR="00AF550C" w:rsidRPr="00667C0C" w:rsidRDefault="00AF550C" w:rsidP="00AF550C">
            <w:pPr>
              <w:spacing w:after="0" w:line="240" w:lineRule="auto"/>
              <w:rPr>
                <w:rFonts w:asciiTheme="minorHAnsi" w:eastAsia="Times New Roman" w:hAnsiTheme="minorHAnsi" w:cstheme="minorHAnsi"/>
                <w:b/>
                <w:bCs/>
                <w:color w:val="000000"/>
                <w:sz w:val="18"/>
                <w:szCs w:val="18"/>
                <w:lang w:eastAsia="en-AU"/>
              </w:rPr>
            </w:pPr>
          </w:p>
        </w:tc>
        <w:tc>
          <w:tcPr>
            <w:tcW w:w="2188" w:type="dxa"/>
            <w:vMerge/>
            <w:tcBorders>
              <w:left w:val="nil"/>
              <w:bottom w:val="single" w:sz="4" w:space="0" w:color="auto"/>
              <w:right w:val="single" w:sz="4" w:space="0" w:color="auto"/>
            </w:tcBorders>
            <w:shd w:val="clear" w:color="000000" w:fill="D9D9D9"/>
            <w:vAlign w:val="center"/>
            <w:hideMark/>
          </w:tcPr>
          <w:p w14:paraId="1F9B72F7"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p>
        </w:tc>
        <w:tc>
          <w:tcPr>
            <w:tcW w:w="1884" w:type="dxa"/>
            <w:tcBorders>
              <w:top w:val="nil"/>
              <w:left w:val="nil"/>
              <w:bottom w:val="single" w:sz="4" w:space="0" w:color="auto"/>
              <w:right w:val="nil"/>
            </w:tcBorders>
            <w:shd w:val="clear" w:color="000000" w:fill="D9D9D9"/>
            <w:noWrap/>
            <w:vAlign w:val="center"/>
            <w:hideMark/>
          </w:tcPr>
          <w:p w14:paraId="29962BD9"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w:t>
            </w:r>
          </w:p>
        </w:tc>
        <w:tc>
          <w:tcPr>
            <w:tcW w:w="2603" w:type="dxa"/>
            <w:tcBorders>
              <w:top w:val="nil"/>
              <w:left w:val="nil"/>
              <w:bottom w:val="single" w:sz="4" w:space="0" w:color="auto"/>
              <w:right w:val="single" w:sz="4" w:space="0" w:color="auto"/>
            </w:tcBorders>
            <w:shd w:val="clear" w:color="000000" w:fill="D9D9D9"/>
            <w:noWrap/>
            <w:vAlign w:val="center"/>
            <w:hideMark/>
          </w:tcPr>
          <w:p w14:paraId="011CED91"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w:t>
            </w:r>
          </w:p>
        </w:tc>
      </w:tr>
      <w:tr w:rsidR="00AF550C" w:rsidRPr="005E3174" w14:paraId="4A4E1BDB"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1F10C66E"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ABI</w:t>
            </w:r>
          </w:p>
        </w:tc>
        <w:tc>
          <w:tcPr>
            <w:tcW w:w="2188" w:type="dxa"/>
            <w:tcBorders>
              <w:top w:val="nil"/>
              <w:left w:val="nil"/>
              <w:bottom w:val="nil"/>
              <w:right w:val="single" w:sz="4" w:space="0" w:color="auto"/>
            </w:tcBorders>
            <w:shd w:val="clear" w:color="auto" w:fill="auto"/>
            <w:noWrap/>
            <w:vAlign w:val="bottom"/>
            <w:hideMark/>
          </w:tcPr>
          <w:p w14:paraId="61993FD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387</w:t>
            </w:r>
          </w:p>
        </w:tc>
        <w:tc>
          <w:tcPr>
            <w:tcW w:w="1884" w:type="dxa"/>
            <w:tcBorders>
              <w:top w:val="nil"/>
              <w:left w:val="nil"/>
              <w:bottom w:val="nil"/>
              <w:right w:val="nil"/>
            </w:tcBorders>
            <w:shd w:val="clear" w:color="auto" w:fill="auto"/>
            <w:noWrap/>
            <w:vAlign w:val="bottom"/>
            <w:hideMark/>
          </w:tcPr>
          <w:p w14:paraId="4F32880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301</w:t>
            </w:r>
          </w:p>
        </w:tc>
        <w:tc>
          <w:tcPr>
            <w:tcW w:w="2603" w:type="dxa"/>
            <w:tcBorders>
              <w:top w:val="nil"/>
              <w:left w:val="nil"/>
              <w:bottom w:val="nil"/>
              <w:right w:val="single" w:sz="4" w:space="0" w:color="auto"/>
            </w:tcBorders>
            <w:shd w:val="clear" w:color="auto" w:fill="auto"/>
            <w:noWrap/>
            <w:vAlign w:val="bottom"/>
            <w:hideMark/>
          </w:tcPr>
          <w:p w14:paraId="609835A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77.8%</w:t>
            </w:r>
          </w:p>
        </w:tc>
      </w:tr>
      <w:tr w:rsidR="00AF550C" w:rsidRPr="005E3174" w14:paraId="7AACCD10"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318F8D81"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Autism</w:t>
            </w:r>
          </w:p>
        </w:tc>
        <w:tc>
          <w:tcPr>
            <w:tcW w:w="2188" w:type="dxa"/>
            <w:tcBorders>
              <w:top w:val="nil"/>
              <w:left w:val="nil"/>
              <w:bottom w:val="nil"/>
              <w:right w:val="single" w:sz="4" w:space="0" w:color="auto"/>
            </w:tcBorders>
            <w:shd w:val="clear" w:color="auto" w:fill="auto"/>
            <w:noWrap/>
            <w:vAlign w:val="bottom"/>
            <w:hideMark/>
          </w:tcPr>
          <w:p w14:paraId="6B346BBF"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1,777</w:t>
            </w:r>
          </w:p>
        </w:tc>
        <w:tc>
          <w:tcPr>
            <w:tcW w:w="1884" w:type="dxa"/>
            <w:tcBorders>
              <w:top w:val="nil"/>
              <w:left w:val="nil"/>
              <w:bottom w:val="nil"/>
              <w:right w:val="nil"/>
            </w:tcBorders>
            <w:shd w:val="clear" w:color="auto" w:fill="auto"/>
            <w:noWrap/>
            <w:vAlign w:val="bottom"/>
            <w:hideMark/>
          </w:tcPr>
          <w:p w14:paraId="55166F1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1,504</w:t>
            </w:r>
          </w:p>
        </w:tc>
        <w:tc>
          <w:tcPr>
            <w:tcW w:w="2603" w:type="dxa"/>
            <w:tcBorders>
              <w:top w:val="nil"/>
              <w:left w:val="nil"/>
              <w:bottom w:val="nil"/>
              <w:right w:val="single" w:sz="4" w:space="0" w:color="auto"/>
            </w:tcBorders>
            <w:shd w:val="clear" w:color="auto" w:fill="auto"/>
            <w:noWrap/>
            <w:vAlign w:val="bottom"/>
            <w:hideMark/>
          </w:tcPr>
          <w:p w14:paraId="58B0334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84.6%</w:t>
            </w:r>
          </w:p>
        </w:tc>
      </w:tr>
      <w:tr w:rsidR="00AF550C" w:rsidRPr="005E3174" w14:paraId="11F8A5FE"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5243D293"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Cerebral Palsy</w:t>
            </w:r>
          </w:p>
        </w:tc>
        <w:tc>
          <w:tcPr>
            <w:tcW w:w="2188" w:type="dxa"/>
            <w:tcBorders>
              <w:top w:val="nil"/>
              <w:left w:val="nil"/>
              <w:bottom w:val="nil"/>
              <w:right w:val="single" w:sz="4" w:space="0" w:color="auto"/>
            </w:tcBorders>
            <w:shd w:val="clear" w:color="auto" w:fill="auto"/>
            <w:noWrap/>
            <w:vAlign w:val="bottom"/>
            <w:hideMark/>
          </w:tcPr>
          <w:p w14:paraId="0EF243A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360</w:t>
            </w:r>
          </w:p>
        </w:tc>
        <w:tc>
          <w:tcPr>
            <w:tcW w:w="1884" w:type="dxa"/>
            <w:tcBorders>
              <w:top w:val="nil"/>
              <w:left w:val="nil"/>
              <w:bottom w:val="nil"/>
              <w:right w:val="nil"/>
            </w:tcBorders>
            <w:shd w:val="clear" w:color="auto" w:fill="auto"/>
            <w:noWrap/>
            <w:vAlign w:val="bottom"/>
            <w:hideMark/>
          </w:tcPr>
          <w:p w14:paraId="7F1AD108"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216</w:t>
            </w:r>
          </w:p>
        </w:tc>
        <w:tc>
          <w:tcPr>
            <w:tcW w:w="2603" w:type="dxa"/>
            <w:tcBorders>
              <w:top w:val="nil"/>
              <w:left w:val="nil"/>
              <w:bottom w:val="nil"/>
              <w:right w:val="single" w:sz="4" w:space="0" w:color="auto"/>
            </w:tcBorders>
            <w:shd w:val="clear" w:color="auto" w:fill="auto"/>
            <w:noWrap/>
            <w:vAlign w:val="bottom"/>
            <w:hideMark/>
          </w:tcPr>
          <w:p w14:paraId="42D21EE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60.0%</w:t>
            </w:r>
          </w:p>
        </w:tc>
      </w:tr>
      <w:tr w:rsidR="00AF550C" w:rsidRPr="005E3174" w14:paraId="02152B6B"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0B04B07B"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Developmental delay</w:t>
            </w:r>
          </w:p>
        </w:tc>
        <w:tc>
          <w:tcPr>
            <w:tcW w:w="2188" w:type="dxa"/>
            <w:tcBorders>
              <w:top w:val="nil"/>
              <w:left w:val="nil"/>
              <w:bottom w:val="nil"/>
              <w:right w:val="single" w:sz="4" w:space="0" w:color="auto"/>
            </w:tcBorders>
            <w:shd w:val="clear" w:color="auto" w:fill="auto"/>
            <w:noWrap/>
            <w:vAlign w:val="bottom"/>
            <w:hideMark/>
          </w:tcPr>
          <w:p w14:paraId="4DF322CB"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w:t>
            </w:r>
          </w:p>
        </w:tc>
        <w:tc>
          <w:tcPr>
            <w:tcW w:w="1884" w:type="dxa"/>
            <w:tcBorders>
              <w:top w:val="nil"/>
              <w:left w:val="nil"/>
              <w:bottom w:val="nil"/>
              <w:right w:val="nil"/>
            </w:tcBorders>
            <w:shd w:val="clear" w:color="auto" w:fill="auto"/>
            <w:noWrap/>
            <w:vAlign w:val="bottom"/>
            <w:hideMark/>
          </w:tcPr>
          <w:p w14:paraId="038AA3D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w:t>
            </w:r>
          </w:p>
        </w:tc>
        <w:tc>
          <w:tcPr>
            <w:tcW w:w="2603" w:type="dxa"/>
            <w:tcBorders>
              <w:top w:val="nil"/>
              <w:left w:val="nil"/>
              <w:bottom w:val="nil"/>
              <w:right w:val="single" w:sz="4" w:space="0" w:color="auto"/>
            </w:tcBorders>
            <w:shd w:val="clear" w:color="auto" w:fill="auto"/>
            <w:noWrap/>
            <w:vAlign w:val="bottom"/>
            <w:hideMark/>
          </w:tcPr>
          <w:p w14:paraId="78BCE7C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25.0%</w:t>
            </w:r>
          </w:p>
        </w:tc>
      </w:tr>
      <w:tr w:rsidR="00AF550C" w:rsidRPr="005E3174" w14:paraId="362145D2"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012F653E"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Global developmental delay</w:t>
            </w:r>
          </w:p>
        </w:tc>
        <w:tc>
          <w:tcPr>
            <w:tcW w:w="2188" w:type="dxa"/>
            <w:tcBorders>
              <w:top w:val="nil"/>
              <w:left w:val="nil"/>
              <w:bottom w:val="nil"/>
              <w:right w:val="single" w:sz="4" w:space="0" w:color="auto"/>
            </w:tcBorders>
            <w:shd w:val="clear" w:color="auto" w:fill="auto"/>
            <w:noWrap/>
            <w:vAlign w:val="bottom"/>
            <w:hideMark/>
          </w:tcPr>
          <w:p w14:paraId="124BA5F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w:t>
            </w:r>
          </w:p>
        </w:tc>
        <w:tc>
          <w:tcPr>
            <w:tcW w:w="1884" w:type="dxa"/>
            <w:tcBorders>
              <w:top w:val="nil"/>
              <w:left w:val="nil"/>
              <w:bottom w:val="nil"/>
              <w:right w:val="nil"/>
            </w:tcBorders>
            <w:shd w:val="clear" w:color="auto" w:fill="auto"/>
            <w:noWrap/>
            <w:vAlign w:val="bottom"/>
            <w:hideMark/>
          </w:tcPr>
          <w:p w14:paraId="7B29AB5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w:t>
            </w:r>
          </w:p>
        </w:tc>
        <w:tc>
          <w:tcPr>
            <w:tcW w:w="2603" w:type="dxa"/>
            <w:tcBorders>
              <w:top w:val="nil"/>
              <w:left w:val="nil"/>
              <w:bottom w:val="nil"/>
              <w:right w:val="single" w:sz="4" w:space="0" w:color="auto"/>
            </w:tcBorders>
            <w:shd w:val="clear" w:color="auto" w:fill="auto"/>
            <w:noWrap/>
            <w:vAlign w:val="bottom"/>
            <w:hideMark/>
          </w:tcPr>
          <w:p w14:paraId="089E25E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25.0%</w:t>
            </w:r>
          </w:p>
        </w:tc>
      </w:tr>
      <w:tr w:rsidR="00AF550C" w:rsidRPr="005E3174" w14:paraId="5ABE8267"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35804B87"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Hearing Impairment</w:t>
            </w:r>
          </w:p>
        </w:tc>
        <w:tc>
          <w:tcPr>
            <w:tcW w:w="2188" w:type="dxa"/>
            <w:tcBorders>
              <w:top w:val="nil"/>
              <w:left w:val="nil"/>
              <w:bottom w:val="nil"/>
              <w:right w:val="single" w:sz="4" w:space="0" w:color="auto"/>
            </w:tcBorders>
            <w:shd w:val="clear" w:color="auto" w:fill="auto"/>
            <w:noWrap/>
            <w:vAlign w:val="bottom"/>
            <w:hideMark/>
          </w:tcPr>
          <w:p w14:paraId="15DE4367"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0</w:t>
            </w:r>
          </w:p>
        </w:tc>
        <w:tc>
          <w:tcPr>
            <w:tcW w:w="1884" w:type="dxa"/>
            <w:tcBorders>
              <w:top w:val="nil"/>
              <w:left w:val="nil"/>
              <w:bottom w:val="nil"/>
              <w:right w:val="nil"/>
            </w:tcBorders>
            <w:shd w:val="clear" w:color="auto" w:fill="auto"/>
            <w:noWrap/>
            <w:vAlign w:val="bottom"/>
            <w:hideMark/>
          </w:tcPr>
          <w:p w14:paraId="0ACC733B"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0</w:t>
            </w:r>
          </w:p>
        </w:tc>
        <w:tc>
          <w:tcPr>
            <w:tcW w:w="2603" w:type="dxa"/>
            <w:tcBorders>
              <w:top w:val="nil"/>
              <w:left w:val="nil"/>
              <w:bottom w:val="nil"/>
              <w:right w:val="single" w:sz="4" w:space="0" w:color="auto"/>
            </w:tcBorders>
            <w:shd w:val="clear" w:color="auto" w:fill="auto"/>
            <w:noWrap/>
            <w:vAlign w:val="bottom"/>
            <w:hideMark/>
          </w:tcPr>
          <w:p w14:paraId="606D435F"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p>
        </w:tc>
      </w:tr>
      <w:tr w:rsidR="00AF550C" w:rsidRPr="005E3174" w14:paraId="5D60BA09"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599DA306"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Intellectual Disability</w:t>
            </w:r>
          </w:p>
        </w:tc>
        <w:tc>
          <w:tcPr>
            <w:tcW w:w="2188" w:type="dxa"/>
            <w:tcBorders>
              <w:top w:val="nil"/>
              <w:left w:val="nil"/>
              <w:bottom w:val="nil"/>
              <w:right w:val="single" w:sz="4" w:space="0" w:color="auto"/>
            </w:tcBorders>
            <w:shd w:val="clear" w:color="auto" w:fill="auto"/>
            <w:noWrap/>
            <w:vAlign w:val="bottom"/>
            <w:hideMark/>
          </w:tcPr>
          <w:p w14:paraId="0F8415D1"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3,166</w:t>
            </w:r>
          </w:p>
        </w:tc>
        <w:tc>
          <w:tcPr>
            <w:tcW w:w="1884" w:type="dxa"/>
            <w:tcBorders>
              <w:top w:val="nil"/>
              <w:left w:val="nil"/>
              <w:bottom w:val="nil"/>
              <w:right w:val="nil"/>
            </w:tcBorders>
            <w:shd w:val="clear" w:color="auto" w:fill="auto"/>
            <w:noWrap/>
            <w:vAlign w:val="bottom"/>
            <w:hideMark/>
          </w:tcPr>
          <w:p w14:paraId="5945B756"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2,526</w:t>
            </w:r>
          </w:p>
        </w:tc>
        <w:tc>
          <w:tcPr>
            <w:tcW w:w="2603" w:type="dxa"/>
            <w:tcBorders>
              <w:top w:val="nil"/>
              <w:left w:val="nil"/>
              <w:bottom w:val="nil"/>
              <w:right w:val="single" w:sz="4" w:space="0" w:color="auto"/>
            </w:tcBorders>
            <w:shd w:val="clear" w:color="auto" w:fill="auto"/>
            <w:noWrap/>
            <w:vAlign w:val="bottom"/>
            <w:hideMark/>
          </w:tcPr>
          <w:p w14:paraId="629731D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79.8%</w:t>
            </w:r>
          </w:p>
        </w:tc>
      </w:tr>
      <w:tr w:rsidR="00AF550C" w:rsidRPr="005E3174" w14:paraId="2157457B"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62CDC16F"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Multiple Sclerosis</w:t>
            </w:r>
          </w:p>
        </w:tc>
        <w:tc>
          <w:tcPr>
            <w:tcW w:w="2188" w:type="dxa"/>
            <w:tcBorders>
              <w:top w:val="nil"/>
              <w:left w:val="nil"/>
              <w:bottom w:val="nil"/>
              <w:right w:val="single" w:sz="4" w:space="0" w:color="auto"/>
            </w:tcBorders>
            <w:shd w:val="clear" w:color="auto" w:fill="auto"/>
            <w:noWrap/>
            <w:vAlign w:val="bottom"/>
            <w:hideMark/>
          </w:tcPr>
          <w:p w14:paraId="0A82BB2F"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23</w:t>
            </w:r>
          </w:p>
        </w:tc>
        <w:tc>
          <w:tcPr>
            <w:tcW w:w="1884" w:type="dxa"/>
            <w:tcBorders>
              <w:top w:val="nil"/>
              <w:left w:val="nil"/>
              <w:bottom w:val="nil"/>
              <w:right w:val="nil"/>
            </w:tcBorders>
            <w:shd w:val="clear" w:color="auto" w:fill="auto"/>
            <w:noWrap/>
            <w:vAlign w:val="bottom"/>
            <w:hideMark/>
          </w:tcPr>
          <w:p w14:paraId="5453B737"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10</w:t>
            </w:r>
          </w:p>
        </w:tc>
        <w:tc>
          <w:tcPr>
            <w:tcW w:w="2603" w:type="dxa"/>
            <w:tcBorders>
              <w:top w:val="nil"/>
              <w:left w:val="nil"/>
              <w:bottom w:val="nil"/>
              <w:right w:val="single" w:sz="4" w:space="0" w:color="auto"/>
            </w:tcBorders>
            <w:shd w:val="clear" w:color="auto" w:fill="auto"/>
            <w:noWrap/>
            <w:vAlign w:val="bottom"/>
            <w:hideMark/>
          </w:tcPr>
          <w:p w14:paraId="2AA89B37"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43.5%</w:t>
            </w:r>
          </w:p>
        </w:tc>
      </w:tr>
      <w:tr w:rsidR="00AF550C" w:rsidRPr="005E3174" w14:paraId="45C2100D"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2C113183"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Other</w:t>
            </w:r>
          </w:p>
        </w:tc>
        <w:tc>
          <w:tcPr>
            <w:tcW w:w="2188" w:type="dxa"/>
            <w:tcBorders>
              <w:top w:val="nil"/>
              <w:left w:val="nil"/>
              <w:bottom w:val="nil"/>
              <w:right w:val="single" w:sz="4" w:space="0" w:color="auto"/>
            </w:tcBorders>
            <w:shd w:val="clear" w:color="auto" w:fill="auto"/>
            <w:noWrap/>
            <w:vAlign w:val="bottom"/>
            <w:hideMark/>
          </w:tcPr>
          <w:p w14:paraId="2AA5406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21</w:t>
            </w:r>
          </w:p>
        </w:tc>
        <w:tc>
          <w:tcPr>
            <w:tcW w:w="1884" w:type="dxa"/>
            <w:tcBorders>
              <w:top w:val="nil"/>
              <w:left w:val="nil"/>
              <w:bottom w:val="nil"/>
              <w:right w:val="nil"/>
            </w:tcBorders>
            <w:shd w:val="clear" w:color="auto" w:fill="auto"/>
            <w:noWrap/>
            <w:vAlign w:val="bottom"/>
            <w:hideMark/>
          </w:tcPr>
          <w:p w14:paraId="20A4E37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16</w:t>
            </w:r>
          </w:p>
        </w:tc>
        <w:tc>
          <w:tcPr>
            <w:tcW w:w="2603" w:type="dxa"/>
            <w:tcBorders>
              <w:top w:val="nil"/>
              <w:left w:val="nil"/>
              <w:bottom w:val="nil"/>
              <w:right w:val="single" w:sz="4" w:space="0" w:color="auto"/>
            </w:tcBorders>
            <w:shd w:val="clear" w:color="auto" w:fill="auto"/>
            <w:noWrap/>
            <w:vAlign w:val="bottom"/>
            <w:hideMark/>
          </w:tcPr>
          <w:p w14:paraId="70B75EF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76.2%</w:t>
            </w:r>
          </w:p>
        </w:tc>
      </w:tr>
      <w:tr w:rsidR="00AF550C" w:rsidRPr="005E3174" w14:paraId="0D24EC9C"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40EEAE18"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Other Neurological</w:t>
            </w:r>
          </w:p>
        </w:tc>
        <w:tc>
          <w:tcPr>
            <w:tcW w:w="2188" w:type="dxa"/>
            <w:tcBorders>
              <w:top w:val="nil"/>
              <w:left w:val="nil"/>
              <w:bottom w:val="nil"/>
              <w:right w:val="single" w:sz="4" w:space="0" w:color="auto"/>
            </w:tcBorders>
            <w:shd w:val="clear" w:color="auto" w:fill="auto"/>
            <w:noWrap/>
            <w:vAlign w:val="bottom"/>
            <w:hideMark/>
          </w:tcPr>
          <w:p w14:paraId="1F99B3B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302</w:t>
            </w:r>
          </w:p>
        </w:tc>
        <w:tc>
          <w:tcPr>
            <w:tcW w:w="1884" w:type="dxa"/>
            <w:tcBorders>
              <w:top w:val="nil"/>
              <w:left w:val="nil"/>
              <w:bottom w:val="nil"/>
              <w:right w:val="nil"/>
            </w:tcBorders>
            <w:shd w:val="clear" w:color="auto" w:fill="auto"/>
            <w:noWrap/>
            <w:vAlign w:val="bottom"/>
            <w:hideMark/>
          </w:tcPr>
          <w:p w14:paraId="6690945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186</w:t>
            </w:r>
          </w:p>
        </w:tc>
        <w:tc>
          <w:tcPr>
            <w:tcW w:w="2603" w:type="dxa"/>
            <w:tcBorders>
              <w:top w:val="nil"/>
              <w:left w:val="nil"/>
              <w:bottom w:val="nil"/>
              <w:right w:val="single" w:sz="4" w:space="0" w:color="auto"/>
            </w:tcBorders>
            <w:shd w:val="clear" w:color="auto" w:fill="auto"/>
            <w:noWrap/>
            <w:vAlign w:val="bottom"/>
            <w:hideMark/>
          </w:tcPr>
          <w:p w14:paraId="539819D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61.6%</w:t>
            </w:r>
          </w:p>
        </w:tc>
      </w:tr>
      <w:tr w:rsidR="00AF550C" w:rsidRPr="005E3174" w14:paraId="0CB4EDFB"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5C95CE6C"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Other Physical</w:t>
            </w:r>
          </w:p>
        </w:tc>
        <w:tc>
          <w:tcPr>
            <w:tcW w:w="2188" w:type="dxa"/>
            <w:tcBorders>
              <w:top w:val="nil"/>
              <w:left w:val="nil"/>
              <w:bottom w:val="nil"/>
              <w:right w:val="single" w:sz="4" w:space="0" w:color="auto"/>
            </w:tcBorders>
            <w:shd w:val="clear" w:color="auto" w:fill="auto"/>
            <w:noWrap/>
            <w:vAlign w:val="bottom"/>
            <w:hideMark/>
          </w:tcPr>
          <w:p w14:paraId="7A1CF67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38</w:t>
            </w:r>
          </w:p>
        </w:tc>
        <w:tc>
          <w:tcPr>
            <w:tcW w:w="1884" w:type="dxa"/>
            <w:tcBorders>
              <w:top w:val="nil"/>
              <w:left w:val="nil"/>
              <w:bottom w:val="nil"/>
              <w:right w:val="nil"/>
            </w:tcBorders>
            <w:shd w:val="clear" w:color="auto" w:fill="auto"/>
            <w:noWrap/>
            <w:vAlign w:val="bottom"/>
            <w:hideMark/>
          </w:tcPr>
          <w:p w14:paraId="4427853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19</w:t>
            </w:r>
          </w:p>
        </w:tc>
        <w:tc>
          <w:tcPr>
            <w:tcW w:w="2603" w:type="dxa"/>
            <w:tcBorders>
              <w:top w:val="nil"/>
              <w:left w:val="nil"/>
              <w:bottom w:val="nil"/>
              <w:right w:val="single" w:sz="4" w:space="0" w:color="auto"/>
            </w:tcBorders>
            <w:shd w:val="clear" w:color="auto" w:fill="auto"/>
            <w:noWrap/>
            <w:vAlign w:val="bottom"/>
            <w:hideMark/>
          </w:tcPr>
          <w:p w14:paraId="3B2EC7D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50.0%</w:t>
            </w:r>
          </w:p>
        </w:tc>
      </w:tr>
      <w:tr w:rsidR="00AF550C" w:rsidRPr="005E3174" w14:paraId="1867A89C"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141A611F"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Other Sensory/Speech</w:t>
            </w:r>
          </w:p>
        </w:tc>
        <w:tc>
          <w:tcPr>
            <w:tcW w:w="2188" w:type="dxa"/>
            <w:tcBorders>
              <w:top w:val="nil"/>
              <w:left w:val="nil"/>
              <w:bottom w:val="nil"/>
              <w:right w:val="single" w:sz="4" w:space="0" w:color="auto"/>
            </w:tcBorders>
            <w:shd w:val="clear" w:color="auto" w:fill="auto"/>
            <w:noWrap/>
            <w:vAlign w:val="bottom"/>
            <w:hideMark/>
          </w:tcPr>
          <w:p w14:paraId="530C98CF"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0</w:t>
            </w:r>
          </w:p>
        </w:tc>
        <w:tc>
          <w:tcPr>
            <w:tcW w:w="1884" w:type="dxa"/>
            <w:tcBorders>
              <w:top w:val="nil"/>
              <w:left w:val="nil"/>
              <w:bottom w:val="nil"/>
              <w:right w:val="nil"/>
            </w:tcBorders>
            <w:shd w:val="clear" w:color="auto" w:fill="auto"/>
            <w:noWrap/>
            <w:vAlign w:val="bottom"/>
            <w:hideMark/>
          </w:tcPr>
          <w:p w14:paraId="254F2008"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0</w:t>
            </w:r>
          </w:p>
        </w:tc>
        <w:tc>
          <w:tcPr>
            <w:tcW w:w="2603" w:type="dxa"/>
            <w:tcBorders>
              <w:top w:val="nil"/>
              <w:left w:val="nil"/>
              <w:bottom w:val="nil"/>
              <w:right w:val="single" w:sz="4" w:space="0" w:color="auto"/>
            </w:tcBorders>
            <w:shd w:val="clear" w:color="auto" w:fill="auto"/>
            <w:noWrap/>
            <w:vAlign w:val="bottom"/>
            <w:hideMark/>
          </w:tcPr>
          <w:p w14:paraId="678C9CC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p>
        </w:tc>
      </w:tr>
      <w:tr w:rsidR="00AF550C" w:rsidRPr="005E3174" w14:paraId="1FE23600"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5BBC1720"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Psychosocial disability</w:t>
            </w:r>
          </w:p>
        </w:tc>
        <w:tc>
          <w:tcPr>
            <w:tcW w:w="2188" w:type="dxa"/>
            <w:tcBorders>
              <w:top w:val="nil"/>
              <w:left w:val="nil"/>
              <w:bottom w:val="nil"/>
              <w:right w:val="single" w:sz="4" w:space="0" w:color="auto"/>
            </w:tcBorders>
            <w:shd w:val="clear" w:color="auto" w:fill="auto"/>
            <w:noWrap/>
            <w:vAlign w:val="bottom"/>
            <w:hideMark/>
          </w:tcPr>
          <w:p w14:paraId="59D0182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444</w:t>
            </w:r>
          </w:p>
        </w:tc>
        <w:tc>
          <w:tcPr>
            <w:tcW w:w="1884" w:type="dxa"/>
            <w:tcBorders>
              <w:top w:val="nil"/>
              <w:left w:val="nil"/>
              <w:bottom w:val="nil"/>
              <w:right w:val="nil"/>
            </w:tcBorders>
            <w:shd w:val="clear" w:color="auto" w:fill="auto"/>
            <w:noWrap/>
            <w:vAlign w:val="bottom"/>
            <w:hideMark/>
          </w:tcPr>
          <w:p w14:paraId="1F3AFE0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344</w:t>
            </w:r>
          </w:p>
        </w:tc>
        <w:tc>
          <w:tcPr>
            <w:tcW w:w="2603" w:type="dxa"/>
            <w:tcBorders>
              <w:top w:val="nil"/>
              <w:left w:val="nil"/>
              <w:bottom w:val="nil"/>
              <w:right w:val="single" w:sz="4" w:space="0" w:color="auto"/>
            </w:tcBorders>
            <w:shd w:val="clear" w:color="auto" w:fill="auto"/>
            <w:noWrap/>
            <w:vAlign w:val="bottom"/>
            <w:hideMark/>
          </w:tcPr>
          <w:p w14:paraId="35307AC2"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77.5%</w:t>
            </w:r>
          </w:p>
        </w:tc>
      </w:tr>
      <w:tr w:rsidR="00AF550C" w:rsidRPr="005E3174" w14:paraId="0F4A1F62"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443E6974"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Spinal Cord Injury</w:t>
            </w:r>
          </w:p>
        </w:tc>
        <w:tc>
          <w:tcPr>
            <w:tcW w:w="2188" w:type="dxa"/>
            <w:tcBorders>
              <w:top w:val="nil"/>
              <w:left w:val="nil"/>
              <w:bottom w:val="nil"/>
              <w:right w:val="single" w:sz="4" w:space="0" w:color="auto"/>
            </w:tcBorders>
            <w:shd w:val="clear" w:color="auto" w:fill="auto"/>
            <w:noWrap/>
            <w:vAlign w:val="bottom"/>
            <w:hideMark/>
          </w:tcPr>
          <w:p w14:paraId="29605D9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26</w:t>
            </w:r>
          </w:p>
        </w:tc>
        <w:tc>
          <w:tcPr>
            <w:tcW w:w="1884" w:type="dxa"/>
            <w:tcBorders>
              <w:top w:val="nil"/>
              <w:left w:val="nil"/>
              <w:bottom w:val="nil"/>
              <w:right w:val="nil"/>
            </w:tcBorders>
            <w:shd w:val="clear" w:color="auto" w:fill="auto"/>
            <w:noWrap/>
            <w:vAlign w:val="bottom"/>
            <w:hideMark/>
          </w:tcPr>
          <w:p w14:paraId="70F3F4AC"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9</w:t>
            </w:r>
          </w:p>
        </w:tc>
        <w:tc>
          <w:tcPr>
            <w:tcW w:w="2603" w:type="dxa"/>
            <w:tcBorders>
              <w:top w:val="nil"/>
              <w:left w:val="nil"/>
              <w:bottom w:val="nil"/>
              <w:right w:val="single" w:sz="4" w:space="0" w:color="auto"/>
            </w:tcBorders>
            <w:shd w:val="clear" w:color="auto" w:fill="auto"/>
            <w:noWrap/>
            <w:vAlign w:val="bottom"/>
            <w:hideMark/>
          </w:tcPr>
          <w:p w14:paraId="59FE63D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34.6%</w:t>
            </w:r>
          </w:p>
        </w:tc>
      </w:tr>
      <w:tr w:rsidR="00AF550C" w:rsidRPr="005E3174" w14:paraId="196A2561"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29A29D03"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Stroke</w:t>
            </w:r>
          </w:p>
        </w:tc>
        <w:tc>
          <w:tcPr>
            <w:tcW w:w="2188" w:type="dxa"/>
            <w:tcBorders>
              <w:top w:val="nil"/>
              <w:left w:val="nil"/>
              <w:bottom w:val="nil"/>
              <w:right w:val="single" w:sz="4" w:space="0" w:color="auto"/>
            </w:tcBorders>
            <w:shd w:val="clear" w:color="auto" w:fill="auto"/>
            <w:noWrap/>
            <w:vAlign w:val="bottom"/>
            <w:hideMark/>
          </w:tcPr>
          <w:p w14:paraId="5E6E4E96"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55</w:t>
            </w:r>
          </w:p>
        </w:tc>
        <w:tc>
          <w:tcPr>
            <w:tcW w:w="1884" w:type="dxa"/>
            <w:tcBorders>
              <w:top w:val="nil"/>
              <w:left w:val="nil"/>
              <w:bottom w:val="nil"/>
              <w:right w:val="nil"/>
            </w:tcBorders>
            <w:shd w:val="clear" w:color="auto" w:fill="auto"/>
            <w:noWrap/>
            <w:vAlign w:val="bottom"/>
            <w:hideMark/>
          </w:tcPr>
          <w:p w14:paraId="48C9A9C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33</w:t>
            </w:r>
          </w:p>
        </w:tc>
        <w:tc>
          <w:tcPr>
            <w:tcW w:w="2603" w:type="dxa"/>
            <w:tcBorders>
              <w:top w:val="nil"/>
              <w:left w:val="nil"/>
              <w:bottom w:val="nil"/>
              <w:right w:val="single" w:sz="4" w:space="0" w:color="auto"/>
            </w:tcBorders>
            <w:shd w:val="clear" w:color="auto" w:fill="auto"/>
            <w:noWrap/>
            <w:vAlign w:val="bottom"/>
            <w:hideMark/>
          </w:tcPr>
          <w:p w14:paraId="7B84317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60.0%</w:t>
            </w:r>
          </w:p>
        </w:tc>
      </w:tr>
      <w:tr w:rsidR="00AF550C" w:rsidRPr="005E3174" w14:paraId="55623586" w14:textId="77777777" w:rsidTr="00667C0C">
        <w:trPr>
          <w:trHeight w:val="224"/>
        </w:trPr>
        <w:tc>
          <w:tcPr>
            <w:tcW w:w="3236" w:type="dxa"/>
            <w:tcBorders>
              <w:top w:val="nil"/>
              <w:left w:val="single" w:sz="4" w:space="0" w:color="auto"/>
              <w:bottom w:val="nil"/>
              <w:right w:val="single" w:sz="4" w:space="0" w:color="auto"/>
            </w:tcBorders>
            <w:shd w:val="clear" w:color="auto" w:fill="auto"/>
            <w:noWrap/>
            <w:vAlign w:val="bottom"/>
            <w:hideMark/>
          </w:tcPr>
          <w:p w14:paraId="1828C5FE"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Visual Impairment</w:t>
            </w:r>
          </w:p>
        </w:tc>
        <w:tc>
          <w:tcPr>
            <w:tcW w:w="2188" w:type="dxa"/>
            <w:tcBorders>
              <w:top w:val="nil"/>
              <w:left w:val="nil"/>
              <w:bottom w:val="nil"/>
              <w:right w:val="single" w:sz="4" w:space="0" w:color="auto"/>
            </w:tcBorders>
            <w:shd w:val="clear" w:color="auto" w:fill="auto"/>
            <w:noWrap/>
            <w:vAlign w:val="bottom"/>
            <w:hideMark/>
          </w:tcPr>
          <w:p w14:paraId="6F406D4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11</w:t>
            </w:r>
          </w:p>
        </w:tc>
        <w:tc>
          <w:tcPr>
            <w:tcW w:w="1884" w:type="dxa"/>
            <w:tcBorders>
              <w:top w:val="nil"/>
              <w:left w:val="nil"/>
              <w:bottom w:val="nil"/>
              <w:right w:val="nil"/>
            </w:tcBorders>
            <w:shd w:val="clear" w:color="auto" w:fill="auto"/>
            <w:noWrap/>
            <w:vAlign w:val="bottom"/>
            <w:hideMark/>
          </w:tcPr>
          <w:p w14:paraId="15AC112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w:t>
            </w:r>
          </w:p>
        </w:tc>
        <w:tc>
          <w:tcPr>
            <w:tcW w:w="2603" w:type="dxa"/>
            <w:tcBorders>
              <w:top w:val="nil"/>
              <w:left w:val="nil"/>
              <w:bottom w:val="nil"/>
              <w:right w:val="single" w:sz="4" w:space="0" w:color="auto"/>
            </w:tcBorders>
            <w:shd w:val="clear" w:color="auto" w:fill="auto"/>
            <w:noWrap/>
            <w:vAlign w:val="bottom"/>
            <w:hideMark/>
          </w:tcPr>
          <w:p w14:paraId="051A19F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45.5%</w:t>
            </w:r>
          </w:p>
        </w:tc>
      </w:tr>
      <w:tr w:rsidR="00AF550C" w:rsidRPr="005E3174" w14:paraId="7D833916" w14:textId="77777777" w:rsidTr="00667C0C">
        <w:trPr>
          <w:trHeight w:val="224"/>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4300" w14:textId="77777777" w:rsidR="00AF550C" w:rsidRPr="00667C0C" w:rsidRDefault="00AF550C" w:rsidP="00AF550C">
            <w:pPr>
              <w:spacing w:after="0" w:line="240" w:lineRule="auto"/>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Total</w:t>
            </w:r>
          </w:p>
        </w:tc>
        <w:tc>
          <w:tcPr>
            <w:tcW w:w="2188" w:type="dxa"/>
            <w:tcBorders>
              <w:top w:val="single" w:sz="4" w:space="0" w:color="auto"/>
              <w:left w:val="nil"/>
              <w:bottom w:val="single" w:sz="4" w:space="0" w:color="auto"/>
              <w:right w:val="single" w:sz="4" w:space="0" w:color="auto"/>
            </w:tcBorders>
            <w:shd w:val="clear" w:color="auto" w:fill="auto"/>
            <w:noWrap/>
            <w:vAlign w:val="bottom"/>
            <w:hideMark/>
          </w:tcPr>
          <w:p w14:paraId="7293315C"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6,622</w:t>
            </w:r>
          </w:p>
        </w:tc>
        <w:tc>
          <w:tcPr>
            <w:tcW w:w="1884" w:type="dxa"/>
            <w:tcBorders>
              <w:top w:val="single" w:sz="4" w:space="0" w:color="auto"/>
              <w:left w:val="nil"/>
              <w:bottom w:val="single" w:sz="4" w:space="0" w:color="auto"/>
              <w:right w:val="nil"/>
            </w:tcBorders>
            <w:shd w:val="clear" w:color="auto" w:fill="auto"/>
            <w:noWrap/>
            <w:vAlign w:val="bottom"/>
            <w:hideMark/>
          </w:tcPr>
          <w:p w14:paraId="13D998E0"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5,172</w:t>
            </w:r>
          </w:p>
        </w:tc>
        <w:tc>
          <w:tcPr>
            <w:tcW w:w="2603" w:type="dxa"/>
            <w:tcBorders>
              <w:top w:val="single" w:sz="4" w:space="0" w:color="auto"/>
              <w:left w:val="nil"/>
              <w:bottom w:val="single" w:sz="4" w:space="0" w:color="auto"/>
              <w:right w:val="single" w:sz="4" w:space="0" w:color="auto"/>
            </w:tcBorders>
            <w:shd w:val="clear" w:color="auto" w:fill="auto"/>
            <w:noWrap/>
            <w:vAlign w:val="bottom"/>
            <w:hideMark/>
          </w:tcPr>
          <w:p w14:paraId="1DCA85FF"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78.1%</w:t>
            </w:r>
          </w:p>
        </w:tc>
      </w:tr>
    </w:tbl>
    <w:p w14:paraId="2E31FCB3" w14:textId="77777777" w:rsidR="00AF550C" w:rsidRPr="00667C0C" w:rsidRDefault="00AF550C" w:rsidP="00667C0C">
      <w:pPr>
        <w:rPr>
          <w:rFonts w:asciiTheme="minorHAnsi" w:hAnsiTheme="minorHAnsi" w:cstheme="minorHAnsi"/>
          <w:sz w:val="18"/>
          <w:szCs w:val="18"/>
        </w:rPr>
      </w:pPr>
    </w:p>
    <w:p w14:paraId="4EB834AB" w14:textId="77777777" w:rsidR="005E3174" w:rsidRPr="00667C0C" w:rsidRDefault="005E3174" w:rsidP="00667C0C">
      <w:pPr>
        <w:pStyle w:val="Caption"/>
        <w:keepNext/>
        <w:rPr>
          <w:rFonts w:asciiTheme="minorHAnsi" w:hAnsiTheme="minorHAnsi" w:cstheme="minorHAnsi"/>
        </w:rPr>
      </w:pPr>
      <w:r w:rsidRPr="00667C0C">
        <w:rPr>
          <w:rFonts w:asciiTheme="minorHAnsi" w:hAnsiTheme="minorHAnsi" w:cstheme="minorHAnsi"/>
          <w:caps w:val="0"/>
        </w:rPr>
        <w:t xml:space="preserve">Table </w:t>
      </w:r>
      <w:r w:rsidRPr="00667C0C">
        <w:rPr>
          <w:rFonts w:asciiTheme="minorHAnsi" w:hAnsiTheme="minorHAnsi" w:cstheme="minorHAnsi"/>
        </w:rPr>
        <w:fldChar w:fldCharType="begin"/>
      </w:r>
      <w:r w:rsidRPr="00667C0C">
        <w:rPr>
          <w:rFonts w:asciiTheme="minorHAnsi" w:hAnsiTheme="minorHAnsi" w:cstheme="minorHAnsi"/>
        </w:rPr>
        <w:instrText xml:space="preserve"> SEQ Table \* ARABIC </w:instrText>
      </w:r>
      <w:r w:rsidRPr="00667C0C">
        <w:rPr>
          <w:rFonts w:asciiTheme="minorHAnsi" w:hAnsiTheme="minorHAnsi" w:cstheme="minorHAnsi"/>
        </w:rPr>
        <w:fldChar w:fldCharType="separate"/>
      </w:r>
      <w:r w:rsidRPr="00667C0C">
        <w:rPr>
          <w:rFonts w:asciiTheme="minorHAnsi" w:hAnsiTheme="minorHAnsi" w:cstheme="minorHAnsi"/>
          <w:noProof/>
        </w:rPr>
        <w:t>12</w:t>
      </w:r>
      <w:r w:rsidRPr="00667C0C">
        <w:rPr>
          <w:rFonts w:asciiTheme="minorHAnsi" w:hAnsiTheme="minorHAnsi" w:cstheme="minorHAnsi"/>
        </w:rPr>
        <w:fldChar w:fldCharType="end"/>
      </w:r>
      <w:r w:rsidRPr="00667C0C">
        <w:rPr>
          <w:rFonts w:asciiTheme="minorHAnsi" w:hAnsiTheme="minorHAnsi" w:cstheme="minorHAnsi"/>
        </w:rPr>
        <w:t xml:space="preserve"> - </w:t>
      </w:r>
      <w:r>
        <w:rPr>
          <w:rFonts w:asciiTheme="minorHAnsi" w:hAnsiTheme="minorHAnsi" w:cstheme="minorHAnsi"/>
        </w:rPr>
        <w:t>P</w:t>
      </w:r>
      <w:r w:rsidRPr="00667C0C">
        <w:rPr>
          <w:rFonts w:asciiTheme="minorHAnsi" w:hAnsiTheme="minorHAnsi" w:cstheme="minorHAnsi"/>
          <w:caps w:val="0"/>
        </w:rPr>
        <w:t>articipants subject to restrictive practices in 2020-21 by behaviour support funding and state/territory</w:t>
      </w:r>
    </w:p>
    <w:tbl>
      <w:tblPr>
        <w:tblW w:w="9583" w:type="dxa"/>
        <w:tblLook w:val="04A0" w:firstRow="1" w:lastRow="0" w:firstColumn="1" w:lastColumn="0" w:noHBand="0" w:noVBand="1"/>
      </w:tblPr>
      <w:tblGrid>
        <w:gridCol w:w="2115"/>
        <w:gridCol w:w="2115"/>
        <w:gridCol w:w="2248"/>
        <w:gridCol w:w="3105"/>
      </w:tblGrid>
      <w:tr w:rsidR="00AF550C" w:rsidRPr="005E3174" w14:paraId="6B2CF146" w14:textId="77777777" w:rsidTr="005E3174">
        <w:trPr>
          <w:trHeight w:val="621"/>
        </w:trPr>
        <w:tc>
          <w:tcPr>
            <w:tcW w:w="211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BC97591"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Jurisdiction</w:t>
            </w:r>
          </w:p>
        </w:tc>
        <w:tc>
          <w:tcPr>
            <w:tcW w:w="2115" w:type="dxa"/>
            <w:vMerge w:val="restart"/>
            <w:tcBorders>
              <w:top w:val="single" w:sz="4" w:space="0" w:color="auto"/>
              <w:left w:val="nil"/>
              <w:right w:val="single" w:sz="4" w:space="0" w:color="auto"/>
            </w:tcBorders>
            <w:shd w:val="clear" w:color="000000" w:fill="D9D9D9"/>
            <w:vAlign w:val="center"/>
            <w:hideMark/>
          </w:tcPr>
          <w:p w14:paraId="4AAFEF4D" w14:textId="77777777" w:rsidR="00AF550C" w:rsidRPr="00667C0C" w:rsidRDefault="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Participants subject to URPs</w:t>
            </w:r>
          </w:p>
        </w:tc>
        <w:tc>
          <w:tcPr>
            <w:tcW w:w="5353" w:type="dxa"/>
            <w:gridSpan w:val="2"/>
            <w:tcBorders>
              <w:top w:val="single" w:sz="4" w:space="0" w:color="auto"/>
              <w:left w:val="nil"/>
              <w:bottom w:val="nil"/>
              <w:right w:val="single" w:sz="4" w:space="0" w:color="000000"/>
            </w:tcBorders>
            <w:shd w:val="clear" w:color="000000" w:fill="D9D9D9"/>
            <w:vAlign w:val="center"/>
            <w:hideMark/>
          </w:tcPr>
          <w:p w14:paraId="5A7C3C94"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Participants with behaviour support funding and subjected to URP's</w:t>
            </w:r>
          </w:p>
        </w:tc>
      </w:tr>
      <w:tr w:rsidR="00AF550C" w:rsidRPr="005E3174" w14:paraId="3463CEDC" w14:textId="77777777" w:rsidTr="005E3174">
        <w:trPr>
          <w:trHeight w:val="198"/>
        </w:trPr>
        <w:tc>
          <w:tcPr>
            <w:tcW w:w="2115" w:type="dxa"/>
            <w:vMerge/>
            <w:tcBorders>
              <w:top w:val="single" w:sz="4" w:space="0" w:color="auto"/>
              <w:left w:val="single" w:sz="4" w:space="0" w:color="auto"/>
              <w:bottom w:val="single" w:sz="4" w:space="0" w:color="000000"/>
              <w:right w:val="single" w:sz="4" w:space="0" w:color="auto"/>
            </w:tcBorders>
            <w:vAlign w:val="center"/>
            <w:hideMark/>
          </w:tcPr>
          <w:p w14:paraId="3630FFC5" w14:textId="77777777" w:rsidR="00AF550C" w:rsidRPr="00667C0C" w:rsidRDefault="00AF550C" w:rsidP="00AF550C">
            <w:pPr>
              <w:spacing w:after="0" w:line="240" w:lineRule="auto"/>
              <w:rPr>
                <w:rFonts w:asciiTheme="minorHAnsi" w:eastAsia="Times New Roman" w:hAnsiTheme="minorHAnsi" w:cstheme="minorHAnsi"/>
                <w:b/>
                <w:bCs/>
                <w:color w:val="000000"/>
                <w:sz w:val="18"/>
                <w:szCs w:val="18"/>
                <w:lang w:eastAsia="en-AU"/>
              </w:rPr>
            </w:pPr>
          </w:p>
        </w:tc>
        <w:tc>
          <w:tcPr>
            <w:tcW w:w="2115" w:type="dxa"/>
            <w:vMerge/>
            <w:tcBorders>
              <w:left w:val="nil"/>
              <w:bottom w:val="single" w:sz="4" w:space="0" w:color="auto"/>
              <w:right w:val="single" w:sz="4" w:space="0" w:color="auto"/>
            </w:tcBorders>
            <w:shd w:val="clear" w:color="000000" w:fill="D9D9D9"/>
            <w:vAlign w:val="center"/>
            <w:hideMark/>
          </w:tcPr>
          <w:p w14:paraId="10D0ED6E"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p>
        </w:tc>
        <w:tc>
          <w:tcPr>
            <w:tcW w:w="2248" w:type="dxa"/>
            <w:tcBorders>
              <w:top w:val="nil"/>
              <w:left w:val="nil"/>
              <w:bottom w:val="single" w:sz="4" w:space="0" w:color="auto"/>
              <w:right w:val="nil"/>
            </w:tcBorders>
            <w:shd w:val="clear" w:color="000000" w:fill="D9D9D9"/>
            <w:noWrap/>
            <w:vAlign w:val="center"/>
            <w:hideMark/>
          </w:tcPr>
          <w:p w14:paraId="3A3145AA"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w:t>
            </w:r>
          </w:p>
        </w:tc>
        <w:tc>
          <w:tcPr>
            <w:tcW w:w="3105" w:type="dxa"/>
            <w:tcBorders>
              <w:top w:val="nil"/>
              <w:left w:val="nil"/>
              <w:bottom w:val="single" w:sz="4" w:space="0" w:color="auto"/>
              <w:right w:val="single" w:sz="4" w:space="0" w:color="auto"/>
            </w:tcBorders>
            <w:shd w:val="clear" w:color="000000" w:fill="D9D9D9"/>
            <w:noWrap/>
            <w:vAlign w:val="center"/>
            <w:hideMark/>
          </w:tcPr>
          <w:p w14:paraId="0F4A6726"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w:t>
            </w:r>
          </w:p>
        </w:tc>
      </w:tr>
      <w:tr w:rsidR="00AF550C" w:rsidRPr="005E3174" w14:paraId="009E8439"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74038E48"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NSW</w:t>
            </w:r>
          </w:p>
        </w:tc>
        <w:tc>
          <w:tcPr>
            <w:tcW w:w="2115" w:type="dxa"/>
            <w:tcBorders>
              <w:top w:val="nil"/>
              <w:left w:val="nil"/>
              <w:bottom w:val="nil"/>
              <w:right w:val="single" w:sz="4" w:space="0" w:color="auto"/>
            </w:tcBorders>
            <w:shd w:val="clear" w:color="auto" w:fill="auto"/>
            <w:noWrap/>
            <w:vAlign w:val="bottom"/>
            <w:hideMark/>
          </w:tcPr>
          <w:p w14:paraId="4776617B"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2,604</w:t>
            </w:r>
          </w:p>
        </w:tc>
        <w:tc>
          <w:tcPr>
            <w:tcW w:w="2248" w:type="dxa"/>
            <w:tcBorders>
              <w:top w:val="nil"/>
              <w:left w:val="nil"/>
              <w:bottom w:val="nil"/>
              <w:right w:val="nil"/>
            </w:tcBorders>
            <w:shd w:val="clear" w:color="auto" w:fill="auto"/>
            <w:noWrap/>
            <w:vAlign w:val="bottom"/>
            <w:hideMark/>
          </w:tcPr>
          <w:p w14:paraId="2386994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2,127</w:t>
            </w:r>
          </w:p>
        </w:tc>
        <w:tc>
          <w:tcPr>
            <w:tcW w:w="3105" w:type="dxa"/>
            <w:tcBorders>
              <w:top w:val="nil"/>
              <w:left w:val="nil"/>
              <w:bottom w:val="nil"/>
              <w:right w:val="single" w:sz="4" w:space="0" w:color="auto"/>
            </w:tcBorders>
            <w:shd w:val="clear" w:color="auto" w:fill="auto"/>
            <w:noWrap/>
            <w:vAlign w:val="bottom"/>
            <w:hideMark/>
          </w:tcPr>
          <w:p w14:paraId="7DB41535"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81.7%</w:t>
            </w:r>
          </w:p>
        </w:tc>
      </w:tr>
      <w:tr w:rsidR="00AF550C" w:rsidRPr="005E3174" w14:paraId="570DEFBD"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5C433CD2"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VIC</w:t>
            </w:r>
          </w:p>
        </w:tc>
        <w:tc>
          <w:tcPr>
            <w:tcW w:w="2115" w:type="dxa"/>
            <w:tcBorders>
              <w:top w:val="nil"/>
              <w:left w:val="nil"/>
              <w:bottom w:val="nil"/>
              <w:right w:val="single" w:sz="4" w:space="0" w:color="auto"/>
            </w:tcBorders>
            <w:shd w:val="clear" w:color="auto" w:fill="auto"/>
            <w:noWrap/>
            <w:vAlign w:val="bottom"/>
            <w:hideMark/>
          </w:tcPr>
          <w:p w14:paraId="1A81346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1,246</w:t>
            </w:r>
          </w:p>
        </w:tc>
        <w:tc>
          <w:tcPr>
            <w:tcW w:w="2248" w:type="dxa"/>
            <w:tcBorders>
              <w:top w:val="nil"/>
              <w:left w:val="nil"/>
              <w:bottom w:val="nil"/>
              <w:right w:val="nil"/>
            </w:tcBorders>
            <w:shd w:val="clear" w:color="auto" w:fill="auto"/>
            <w:noWrap/>
            <w:vAlign w:val="bottom"/>
            <w:hideMark/>
          </w:tcPr>
          <w:p w14:paraId="69C36EB6"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995</w:t>
            </w:r>
          </w:p>
        </w:tc>
        <w:tc>
          <w:tcPr>
            <w:tcW w:w="3105" w:type="dxa"/>
            <w:tcBorders>
              <w:top w:val="nil"/>
              <w:left w:val="nil"/>
              <w:bottom w:val="nil"/>
              <w:right w:val="single" w:sz="4" w:space="0" w:color="auto"/>
            </w:tcBorders>
            <w:shd w:val="clear" w:color="auto" w:fill="auto"/>
            <w:noWrap/>
            <w:vAlign w:val="bottom"/>
            <w:hideMark/>
          </w:tcPr>
          <w:p w14:paraId="097B3787"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79.9%</w:t>
            </w:r>
          </w:p>
        </w:tc>
      </w:tr>
      <w:tr w:rsidR="00AF550C" w:rsidRPr="005E3174" w14:paraId="2348825F"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4CB2FA41"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QLD</w:t>
            </w:r>
          </w:p>
        </w:tc>
        <w:tc>
          <w:tcPr>
            <w:tcW w:w="2115" w:type="dxa"/>
            <w:tcBorders>
              <w:top w:val="nil"/>
              <w:left w:val="nil"/>
              <w:bottom w:val="nil"/>
              <w:right w:val="single" w:sz="4" w:space="0" w:color="auto"/>
            </w:tcBorders>
            <w:shd w:val="clear" w:color="auto" w:fill="auto"/>
            <w:noWrap/>
            <w:vAlign w:val="bottom"/>
            <w:hideMark/>
          </w:tcPr>
          <w:p w14:paraId="09376C3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1,175</w:t>
            </w:r>
          </w:p>
        </w:tc>
        <w:tc>
          <w:tcPr>
            <w:tcW w:w="2248" w:type="dxa"/>
            <w:tcBorders>
              <w:top w:val="nil"/>
              <w:left w:val="nil"/>
              <w:bottom w:val="nil"/>
              <w:right w:val="nil"/>
            </w:tcBorders>
            <w:shd w:val="clear" w:color="auto" w:fill="auto"/>
            <w:noWrap/>
            <w:vAlign w:val="bottom"/>
            <w:hideMark/>
          </w:tcPr>
          <w:p w14:paraId="2E3FB407"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794</w:t>
            </w:r>
          </w:p>
        </w:tc>
        <w:tc>
          <w:tcPr>
            <w:tcW w:w="3105" w:type="dxa"/>
            <w:tcBorders>
              <w:top w:val="nil"/>
              <w:left w:val="nil"/>
              <w:bottom w:val="nil"/>
              <w:right w:val="single" w:sz="4" w:space="0" w:color="auto"/>
            </w:tcBorders>
            <w:shd w:val="clear" w:color="auto" w:fill="auto"/>
            <w:noWrap/>
            <w:vAlign w:val="bottom"/>
            <w:hideMark/>
          </w:tcPr>
          <w:p w14:paraId="5CEA4AE8"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67.6%</w:t>
            </w:r>
          </w:p>
        </w:tc>
      </w:tr>
      <w:tr w:rsidR="00AF550C" w:rsidRPr="005E3174" w14:paraId="359F2CE6"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2FBE330E"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WA</w:t>
            </w:r>
          </w:p>
        </w:tc>
        <w:tc>
          <w:tcPr>
            <w:tcW w:w="2115" w:type="dxa"/>
            <w:tcBorders>
              <w:top w:val="nil"/>
              <w:left w:val="nil"/>
              <w:bottom w:val="nil"/>
              <w:right w:val="single" w:sz="4" w:space="0" w:color="auto"/>
            </w:tcBorders>
            <w:shd w:val="clear" w:color="auto" w:fill="auto"/>
            <w:noWrap/>
            <w:vAlign w:val="bottom"/>
            <w:hideMark/>
          </w:tcPr>
          <w:p w14:paraId="2EB970EF"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89</w:t>
            </w:r>
          </w:p>
        </w:tc>
        <w:tc>
          <w:tcPr>
            <w:tcW w:w="2248" w:type="dxa"/>
            <w:tcBorders>
              <w:top w:val="nil"/>
              <w:left w:val="nil"/>
              <w:bottom w:val="nil"/>
              <w:right w:val="nil"/>
            </w:tcBorders>
            <w:shd w:val="clear" w:color="auto" w:fill="auto"/>
            <w:noWrap/>
            <w:vAlign w:val="bottom"/>
            <w:hideMark/>
          </w:tcPr>
          <w:p w14:paraId="1B2E5A4B"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56</w:t>
            </w:r>
          </w:p>
        </w:tc>
        <w:tc>
          <w:tcPr>
            <w:tcW w:w="3105" w:type="dxa"/>
            <w:tcBorders>
              <w:top w:val="nil"/>
              <w:left w:val="nil"/>
              <w:bottom w:val="nil"/>
              <w:right w:val="single" w:sz="4" w:space="0" w:color="auto"/>
            </w:tcBorders>
            <w:shd w:val="clear" w:color="auto" w:fill="auto"/>
            <w:noWrap/>
            <w:vAlign w:val="bottom"/>
            <w:hideMark/>
          </w:tcPr>
          <w:p w14:paraId="5C4A9E1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62.9%</w:t>
            </w:r>
          </w:p>
        </w:tc>
      </w:tr>
      <w:tr w:rsidR="00AF550C" w:rsidRPr="005E3174" w14:paraId="7A6C92AE"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368A3FE8"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SA</w:t>
            </w:r>
          </w:p>
        </w:tc>
        <w:tc>
          <w:tcPr>
            <w:tcW w:w="2115" w:type="dxa"/>
            <w:tcBorders>
              <w:top w:val="nil"/>
              <w:left w:val="nil"/>
              <w:bottom w:val="nil"/>
              <w:right w:val="single" w:sz="4" w:space="0" w:color="auto"/>
            </w:tcBorders>
            <w:shd w:val="clear" w:color="auto" w:fill="auto"/>
            <w:noWrap/>
            <w:vAlign w:val="bottom"/>
            <w:hideMark/>
          </w:tcPr>
          <w:p w14:paraId="70C284A4"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786</w:t>
            </w:r>
          </w:p>
        </w:tc>
        <w:tc>
          <w:tcPr>
            <w:tcW w:w="2248" w:type="dxa"/>
            <w:tcBorders>
              <w:top w:val="nil"/>
              <w:left w:val="nil"/>
              <w:bottom w:val="nil"/>
              <w:right w:val="nil"/>
            </w:tcBorders>
            <w:shd w:val="clear" w:color="auto" w:fill="auto"/>
            <w:noWrap/>
            <w:vAlign w:val="bottom"/>
            <w:hideMark/>
          </w:tcPr>
          <w:p w14:paraId="71676DDA"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660</w:t>
            </w:r>
          </w:p>
        </w:tc>
        <w:tc>
          <w:tcPr>
            <w:tcW w:w="3105" w:type="dxa"/>
            <w:tcBorders>
              <w:top w:val="nil"/>
              <w:left w:val="nil"/>
              <w:bottom w:val="nil"/>
              <w:right w:val="single" w:sz="4" w:space="0" w:color="auto"/>
            </w:tcBorders>
            <w:shd w:val="clear" w:color="auto" w:fill="auto"/>
            <w:noWrap/>
            <w:vAlign w:val="bottom"/>
            <w:hideMark/>
          </w:tcPr>
          <w:p w14:paraId="27EE4227"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84.0%</w:t>
            </w:r>
          </w:p>
        </w:tc>
      </w:tr>
      <w:tr w:rsidR="00AF550C" w:rsidRPr="005E3174" w14:paraId="56A61438"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3244061D"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TAS</w:t>
            </w:r>
          </w:p>
        </w:tc>
        <w:tc>
          <w:tcPr>
            <w:tcW w:w="2115" w:type="dxa"/>
            <w:tcBorders>
              <w:top w:val="nil"/>
              <w:left w:val="nil"/>
              <w:bottom w:val="nil"/>
              <w:right w:val="single" w:sz="4" w:space="0" w:color="auto"/>
            </w:tcBorders>
            <w:shd w:val="clear" w:color="auto" w:fill="auto"/>
            <w:noWrap/>
            <w:vAlign w:val="bottom"/>
            <w:hideMark/>
          </w:tcPr>
          <w:p w14:paraId="76AB4566"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465</w:t>
            </w:r>
          </w:p>
        </w:tc>
        <w:tc>
          <w:tcPr>
            <w:tcW w:w="2248" w:type="dxa"/>
            <w:tcBorders>
              <w:top w:val="nil"/>
              <w:left w:val="nil"/>
              <w:bottom w:val="nil"/>
              <w:right w:val="nil"/>
            </w:tcBorders>
            <w:shd w:val="clear" w:color="auto" w:fill="auto"/>
            <w:noWrap/>
            <w:vAlign w:val="bottom"/>
            <w:hideMark/>
          </w:tcPr>
          <w:p w14:paraId="2392431B"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324</w:t>
            </w:r>
          </w:p>
        </w:tc>
        <w:tc>
          <w:tcPr>
            <w:tcW w:w="3105" w:type="dxa"/>
            <w:tcBorders>
              <w:top w:val="nil"/>
              <w:left w:val="nil"/>
              <w:bottom w:val="nil"/>
              <w:right w:val="single" w:sz="4" w:space="0" w:color="auto"/>
            </w:tcBorders>
            <w:shd w:val="clear" w:color="auto" w:fill="auto"/>
            <w:noWrap/>
            <w:vAlign w:val="bottom"/>
            <w:hideMark/>
          </w:tcPr>
          <w:p w14:paraId="3D252FC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69.7%</w:t>
            </w:r>
          </w:p>
        </w:tc>
      </w:tr>
      <w:tr w:rsidR="00AF550C" w:rsidRPr="005E3174" w14:paraId="7E09B9E3"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3C629404"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ACT</w:t>
            </w:r>
          </w:p>
        </w:tc>
        <w:tc>
          <w:tcPr>
            <w:tcW w:w="2115" w:type="dxa"/>
            <w:tcBorders>
              <w:top w:val="nil"/>
              <w:left w:val="nil"/>
              <w:bottom w:val="nil"/>
              <w:right w:val="single" w:sz="4" w:space="0" w:color="auto"/>
            </w:tcBorders>
            <w:shd w:val="clear" w:color="auto" w:fill="auto"/>
            <w:noWrap/>
            <w:vAlign w:val="bottom"/>
            <w:hideMark/>
          </w:tcPr>
          <w:p w14:paraId="2CD537F8"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106</w:t>
            </w:r>
          </w:p>
        </w:tc>
        <w:tc>
          <w:tcPr>
            <w:tcW w:w="2248" w:type="dxa"/>
            <w:tcBorders>
              <w:top w:val="nil"/>
              <w:left w:val="nil"/>
              <w:bottom w:val="nil"/>
              <w:right w:val="nil"/>
            </w:tcBorders>
            <w:shd w:val="clear" w:color="auto" w:fill="auto"/>
            <w:noWrap/>
            <w:vAlign w:val="bottom"/>
            <w:hideMark/>
          </w:tcPr>
          <w:p w14:paraId="0AD0E8C2"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91</w:t>
            </w:r>
          </w:p>
        </w:tc>
        <w:tc>
          <w:tcPr>
            <w:tcW w:w="3105" w:type="dxa"/>
            <w:tcBorders>
              <w:top w:val="nil"/>
              <w:left w:val="nil"/>
              <w:bottom w:val="nil"/>
              <w:right w:val="single" w:sz="4" w:space="0" w:color="auto"/>
            </w:tcBorders>
            <w:shd w:val="clear" w:color="auto" w:fill="auto"/>
            <w:noWrap/>
            <w:vAlign w:val="bottom"/>
            <w:hideMark/>
          </w:tcPr>
          <w:p w14:paraId="0B7E0EC8"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85.8%</w:t>
            </w:r>
          </w:p>
        </w:tc>
      </w:tr>
      <w:tr w:rsidR="00AF550C" w:rsidRPr="005E3174" w14:paraId="3020E6C6" w14:textId="77777777" w:rsidTr="005E3174">
        <w:trPr>
          <w:trHeight w:val="198"/>
        </w:trPr>
        <w:tc>
          <w:tcPr>
            <w:tcW w:w="2115" w:type="dxa"/>
            <w:tcBorders>
              <w:top w:val="nil"/>
              <w:left w:val="single" w:sz="4" w:space="0" w:color="auto"/>
              <w:bottom w:val="nil"/>
              <w:right w:val="single" w:sz="4" w:space="0" w:color="auto"/>
            </w:tcBorders>
            <w:shd w:val="clear" w:color="auto" w:fill="auto"/>
            <w:noWrap/>
            <w:vAlign w:val="bottom"/>
            <w:hideMark/>
          </w:tcPr>
          <w:p w14:paraId="562D3240" w14:textId="77777777" w:rsidR="00AF550C" w:rsidRPr="00667C0C" w:rsidRDefault="00AF550C" w:rsidP="00AF550C">
            <w:pPr>
              <w:spacing w:after="0" w:line="240" w:lineRule="auto"/>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NT</w:t>
            </w:r>
          </w:p>
        </w:tc>
        <w:tc>
          <w:tcPr>
            <w:tcW w:w="2115" w:type="dxa"/>
            <w:tcBorders>
              <w:top w:val="nil"/>
              <w:left w:val="nil"/>
              <w:bottom w:val="nil"/>
              <w:right w:val="single" w:sz="4" w:space="0" w:color="auto"/>
            </w:tcBorders>
            <w:shd w:val="clear" w:color="auto" w:fill="auto"/>
            <w:noWrap/>
            <w:vAlign w:val="bottom"/>
            <w:hideMark/>
          </w:tcPr>
          <w:p w14:paraId="1EED9399"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151</w:t>
            </w:r>
          </w:p>
        </w:tc>
        <w:tc>
          <w:tcPr>
            <w:tcW w:w="2248" w:type="dxa"/>
            <w:tcBorders>
              <w:top w:val="nil"/>
              <w:left w:val="nil"/>
              <w:bottom w:val="nil"/>
              <w:right w:val="nil"/>
            </w:tcBorders>
            <w:shd w:val="clear" w:color="auto" w:fill="auto"/>
            <w:noWrap/>
            <w:vAlign w:val="bottom"/>
            <w:hideMark/>
          </w:tcPr>
          <w:p w14:paraId="1B441FF6"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125</w:t>
            </w:r>
          </w:p>
        </w:tc>
        <w:tc>
          <w:tcPr>
            <w:tcW w:w="3105" w:type="dxa"/>
            <w:tcBorders>
              <w:top w:val="nil"/>
              <w:left w:val="nil"/>
              <w:bottom w:val="nil"/>
              <w:right w:val="single" w:sz="4" w:space="0" w:color="auto"/>
            </w:tcBorders>
            <w:shd w:val="clear" w:color="auto" w:fill="auto"/>
            <w:noWrap/>
            <w:vAlign w:val="bottom"/>
            <w:hideMark/>
          </w:tcPr>
          <w:p w14:paraId="1F8AEFDE"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82.8%</w:t>
            </w:r>
          </w:p>
        </w:tc>
      </w:tr>
      <w:tr w:rsidR="00AF550C" w:rsidRPr="005E3174" w14:paraId="6899A5C2" w14:textId="77777777" w:rsidTr="005E3174">
        <w:trPr>
          <w:trHeight w:val="198"/>
        </w:trPr>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0C93" w14:textId="77777777" w:rsidR="00AF550C" w:rsidRPr="00667C0C" w:rsidRDefault="00AF550C" w:rsidP="00AF550C">
            <w:pPr>
              <w:spacing w:after="0" w:line="240" w:lineRule="auto"/>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Total</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75E94AA7" w14:textId="77777777" w:rsidR="00AF550C" w:rsidRPr="00667C0C" w:rsidRDefault="00AF550C" w:rsidP="00AF550C">
            <w:pPr>
              <w:spacing w:after="0" w:line="240" w:lineRule="auto"/>
              <w:jc w:val="center"/>
              <w:rPr>
                <w:rFonts w:asciiTheme="minorHAnsi" w:eastAsia="Times New Roman" w:hAnsiTheme="minorHAnsi" w:cstheme="minorHAnsi"/>
                <w:b/>
                <w:bCs/>
                <w:color w:val="000000"/>
                <w:sz w:val="18"/>
                <w:szCs w:val="18"/>
                <w:lang w:eastAsia="en-AU"/>
              </w:rPr>
            </w:pPr>
            <w:r w:rsidRPr="00667C0C">
              <w:rPr>
                <w:rFonts w:asciiTheme="minorHAnsi" w:eastAsia="Times New Roman" w:hAnsiTheme="minorHAnsi" w:cstheme="minorHAnsi"/>
                <w:b/>
                <w:bCs/>
                <w:color w:val="000000"/>
                <w:sz w:val="18"/>
                <w:szCs w:val="18"/>
                <w:lang w:eastAsia="en-AU"/>
              </w:rPr>
              <w:t>6,622</w:t>
            </w:r>
          </w:p>
        </w:tc>
        <w:tc>
          <w:tcPr>
            <w:tcW w:w="2248" w:type="dxa"/>
            <w:tcBorders>
              <w:top w:val="single" w:sz="4" w:space="0" w:color="auto"/>
              <w:left w:val="nil"/>
              <w:bottom w:val="single" w:sz="4" w:space="0" w:color="auto"/>
              <w:right w:val="nil"/>
            </w:tcBorders>
            <w:shd w:val="clear" w:color="auto" w:fill="auto"/>
            <w:noWrap/>
            <w:vAlign w:val="bottom"/>
            <w:hideMark/>
          </w:tcPr>
          <w:p w14:paraId="11E1CE33"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5,172</w:t>
            </w:r>
          </w:p>
        </w:tc>
        <w:tc>
          <w:tcPr>
            <w:tcW w:w="3105" w:type="dxa"/>
            <w:tcBorders>
              <w:top w:val="single" w:sz="4" w:space="0" w:color="auto"/>
              <w:left w:val="nil"/>
              <w:bottom w:val="single" w:sz="4" w:space="0" w:color="auto"/>
              <w:right w:val="single" w:sz="4" w:space="0" w:color="auto"/>
            </w:tcBorders>
            <w:shd w:val="clear" w:color="auto" w:fill="auto"/>
            <w:noWrap/>
            <w:vAlign w:val="bottom"/>
            <w:hideMark/>
          </w:tcPr>
          <w:p w14:paraId="1EB032CD" w14:textId="77777777" w:rsidR="00AF550C" w:rsidRPr="00667C0C" w:rsidRDefault="00AF550C" w:rsidP="00AF550C">
            <w:pPr>
              <w:spacing w:after="0" w:line="240" w:lineRule="auto"/>
              <w:jc w:val="center"/>
              <w:rPr>
                <w:rFonts w:asciiTheme="minorHAnsi" w:eastAsia="Times New Roman" w:hAnsiTheme="minorHAnsi" w:cstheme="minorHAnsi"/>
                <w:color w:val="000000"/>
                <w:sz w:val="18"/>
                <w:szCs w:val="18"/>
                <w:lang w:eastAsia="en-AU"/>
              </w:rPr>
            </w:pPr>
            <w:r w:rsidRPr="00667C0C">
              <w:rPr>
                <w:rFonts w:asciiTheme="minorHAnsi" w:eastAsia="Times New Roman" w:hAnsiTheme="minorHAnsi" w:cstheme="minorHAnsi"/>
                <w:color w:val="000000"/>
                <w:sz w:val="18"/>
                <w:szCs w:val="18"/>
                <w:lang w:eastAsia="en-AU"/>
              </w:rPr>
              <w:t>78.1%</w:t>
            </w:r>
          </w:p>
        </w:tc>
      </w:tr>
    </w:tbl>
    <w:p w14:paraId="6978E1A9" w14:textId="77777777" w:rsidR="009B18C9" w:rsidRDefault="009B18C9" w:rsidP="00CE344E">
      <w:pPr>
        <w:pStyle w:val="Heading1"/>
        <w:sectPr w:rsidR="009B18C9" w:rsidSect="00667C0C">
          <w:pgSz w:w="11906" w:h="16838"/>
          <w:pgMar w:top="1843" w:right="566" w:bottom="1702" w:left="993" w:header="283" w:footer="708" w:gutter="0"/>
          <w:cols w:space="708"/>
          <w:docGrid w:linePitch="360"/>
        </w:sectPr>
      </w:pPr>
    </w:p>
    <w:p w14:paraId="5D75F698" w14:textId="77777777" w:rsidR="00764BE0" w:rsidRPr="00764BE0" w:rsidRDefault="00764BE0" w:rsidP="00CE344E">
      <w:pPr>
        <w:pStyle w:val="Heading1"/>
      </w:pPr>
      <w:r>
        <w:lastRenderedPageBreak/>
        <w:t>Background</w:t>
      </w:r>
    </w:p>
    <w:p w14:paraId="11821C22" w14:textId="77777777" w:rsidR="00764BE0" w:rsidRPr="00C3568C" w:rsidRDefault="00764BE0" w:rsidP="00CE344E">
      <w:pPr>
        <w:pStyle w:val="Heading2"/>
        <w:rPr>
          <w:lang w:eastAsia="en-AU"/>
        </w:rPr>
      </w:pPr>
      <w:r w:rsidRPr="00C3568C">
        <w:rPr>
          <w:lang w:eastAsia="en-AU"/>
        </w:rPr>
        <w:t>About the NDIS Commission</w:t>
      </w:r>
    </w:p>
    <w:p w14:paraId="477E01F1" w14:textId="77777777" w:rsidR="00764BE0" w:rsidRPr="004B0A1B" w:rsidRDefault="00764BE0" w:rsidP="00F73B2A">
      <w:pPr>
        <w:shd w:val="clear" w:color="auto" w:fill="FFFFFF"/>
        <w:rPr>
          <w:rFonts w:asciiTheme="minorHAnsi" w:eastAsia="Times New Roman" w:hAnsiTheme="minorHAnsi" w:cstheme="minorHAnsi"/>
          <w:color w:val="222222"/>
          <w:lang w:eastAsia="en-AU"/>
        </w:rPr>
      </w:pPr>
      <w:r w:rsidRPr="004B0A1B">
        <w:rPr>
          <w:rFonts w:asciiTheme="minorHAnsi" w:eastAsia="Times New Roman" w:hAnsiTheme="minorHAnsi" w:cstheme="minorHAnsi"/>
          <w:color w:val="222222"/>
          <w:lang w:eastAsia="en-AU"/>
        </w:rPr>
        <w:t xml:space="preserve">The NDIS Quality and Safeguards Commission is an independent </w:t>
      </w:r>
      <w:r>
        <w:rPr>
          <w:rFonts w:asciiTheme="minorHAnsi" w:eastAsia="Times New Roman" w:hAnsiTheme="minorHAnsi" w:cstheme="minorHAnsi"/>
          <w:color w:val="222222"/>
          <w:lang w:eastAsia="en-AU"/>
        </w:rPr>
        <w:t xml:space="preserve">Commonwealth </w:t>
      </w:r>
      <w:r w:rsidRPr="004B0A1B">
        <w:rPr>
          <w:rFonts w:asciiTheme="minorHAnsi" w:eastAsia="Times New Roman" w:hAnsiTheme="minorHAnsi" w:cstheme="minorHAnsi"/>
          <w:color w:val="222222"/>
          <w:lang w:eastAsia="en-AU"/>
        </w:rPr>
        <w:t>agency established to improve the quality and safety of NDIS supports and services.</w:t>
      </w:r>
    </w:p>
    <w:p w14:paraId="481D603A" w14:textId="77777777" w:rsidR="00764BE0" w:rsidRPr="004B0A1B" w:rsidRDefault="00764BE0" w:rsidP="00F73B2A">
      <w:pPr>
        <w:shd w:val="clear" w:color="auto" w:fill="FFFFFF"/>
        <w:rPr>
          <w:rFonts w:asciiTheme="minorHAnsi" w:eastAsia="Times New Roman" w:hAnsiTheme="minorHAnsi" w:cstheme="minorHAnsi"/>
          <w:color w:val="222222"/>
          <w:lang w:eastAsia="en-AU"/>
        </w:rPr>
      </w:pPr>
      <w:r w:rsidRPr="004B0A1B">
        <w:rPr>
          <w:rFonts w:asciiTheme="minorHAnsi" w:eastAsia="Times New Roman" w:hAnsiTheme="minorHAnsi" w:cstheme="minorHAnsi"/>
          <w:color w:val="222222"/>
          <w:lang w:eastAsia="en-AU"/>
        </w:rPr>
        <w:t>The NDIS Commission works with NDIS participants, service providers, workers and the community to implement a new nationally consistent approach so participants can access services and supports that promote choice, control and dignity.</w:t>
      </w:r>
    </w:p>
    <w:p w14:paraId="2A017D91" w14:textId="77777777" w:rsidR="00764BE0" w:rsidRDefault="00764BE0" w:rsidP="00F73B2A">
      <w:pPr>
        <w:rPr>
          <w:rFonts w:asciiTheme="minorHAnsi" w:hAnsiTheme="minorHAnsi" w:cstheme="minorHAnsi"/>
        </w:rPr>
      </w:pPr>
      <w:r w:rsidRPr="004B0A1B">
        <w:rPr>
          <w:rFonts w:asciiTheme="minorHAnsi" w:hAnsiTheme="minorHAnsi" w:cstheme="minorHAnsi"/>
        </w:rPr>
        <w:t xml:space="preserve">The </w:t>
      </w:r>
      <w:r w:rsidR="008D3EB1">
        <w:rPr>
          <w:rFonts w:asciiTheme="minorHAnsi" w:hAnsiTheme="minorHAnsi" w:cstheme="minorHAnsi"/>
        </w:rPr>
        <w:t xml:space="preserve">NDIS </w:t>
      </w:r>
      <w:r w:rsidRPr="004B0A1B">
        <w:rPr>
          <w:rFonts w:asciiTheme="minorHAnsi" w:hAnsiTheme="minorHAnsi" w:cstheme="minorHAnsi"/>
        </w:rPr>
        <w:t xml:space="preserve">Commission regulates the quality and safety of NDIS services and supports. </w:t>
      </w:r>
      <w:r>
        <w:rPr>
          <w:rFonts w:asciiTheme="minorHAnsi" w:hAnsiTheme="minorHAnsi" w:cstheme="minorHAnsi"/>
        </w:rPr>
        <w:t>The Commission’s</w:t>
      </w:r>
      <w:r w:rsidRPr="004B0A1B">
        <w:rPr>
          <w:rFonts w:asciiTheme="minorHAnsi" w:hAnsiTheme="minorHAnsi" w:cstheme="minorHAnsi"/>
        </w:rPr>
        <w:t xml:space="preserve"> activities </w:t>
      </w:r>
      <w:r w:rsidRPr="00847833">
        <w:rPr>
          <w:rFonts w:asciiTheme="minorHAnsi" w:hAnsiTheme="minorHAnsi" w:cstheme="minorHAnsi"/>
        </w:rPr>
        <w:t>include: upholding the rights, health and safety of people with disability; development of a nationally consistent approach to managing quality and safeguards; registration of providers; education activities and provision of information; complaints management, including, assessment, investigation, conciliation and resolution of complaints; oversight of a provider’s responses to reportable incidents and taking action as appropriate; behaviour support leadership and oversight; compliance and enforcement, including invest</w:t>
      </w:r>
      <w:r>
        <w:rPr>
          <w:rFonts w:asciiTheme="minorHAnsi" w:hAnsiTheme="minorHAnsi" w:cstheme="minorHAnsi"/>
        </w:rPr>
        <w:t>igations; market oversight; and</w:t>
      </w:r>
      <w:r w:rsidRPr="00847833">
        <w:rPr>
          <w:rFonts w:asciiTheme="minorHAnsi" w:hAnsiTheme="minorHAnsi" w:cstheme="minorHAnsi"/>
        </w:rPr>
        <w:t xml:space="preserve"> </w:t>
      </w:r>
      <w:r>
        <w:rPr>
          <w:rFonts w:asciiTheme="minorHAnsi" w:hAnsiTheme="minorHAnsi" w:cstheme="minorHAnsi"/>
        </w:rPr>
        <w:t xml:space="preserve">supporting providers to meet their </w:t>
      </w:r>
      <w:r w:rsidRPr="00847833">
        <w:rPr>
          <w:rFonts w:asciiTheme="minorHAnsi" w:hAnsiTheme="minorHAnsi" w:cstheme="minorHAnsi"/>
        </w:rPr>
        <w:t>NDIS worker screening</w:t>
      </w:r>
      <w:r>
        <w:rPr>
          <w:rFonts w:asciiTheme="minorHAnsi" w:hAnsiTheme="minorHAnsi" w:cstheme="minorHAnsi"/>
        </w:rPr>
        <w:t xml:space="preserve"> obligations</w:t>
      </w:r>
      <w:r w:rsidRPr="00847833">
        <w:rPr>
          <w:rFonts w:asciiTheme="minorHAnsi" w:hAnsiTheme="minorHAnsi" w:cstheme="minorHAnsi"/>
        </w:rPr>
        <w:t>.</w:t>
      </w:r>
    </w:p>
    <w:p w14:paraId="163AFE1E" w14:textId="77777777" w:rsidR="00764BE0" w:rsidRPr="002041AF" w:rsidRDefault="00764BE0" w:rsidP="00F73B2A">
      <w:pPr>
        <w:rPr>
          <w:rFonts w:asciiTheme="minorHAnsi" w:hAnsiTheme="minorHAnsi" w:cstheme="minorHAnsi"/>
        </w:rPr>
      </w:pPr>
      <w:r w:rsidRPr="002041AF">
        <w:rPr>
          <w:rFonts w:asciiTheme="minorHAnsi" w:hAnsiTheme="minorHAnsi" w:cstheme="minorHAnsi"/>
        </w:rPr>
        <w:t xml:space="preserve">The NDIS Commission began operations in New South Wales and South Australia on 1 July 2018. Operations expanded to Victoria, Queensland, Tasmania, the Northern Territory, and the Australian Capital Territory on 1 July 2019. Operations began in Western Australia and residential aged care facilities on 1 December 2020. </w:t>
      </w:r>
    </w:p>
    <w:p w14:paraId="70338196" w14:textId="77777777" w:rsidR="00764BE0" w:rsidRPr="00C3568C" w:rsidRDefault="00764BE0" w:rsidP="00CE344E">
      <w:pPr>
        <w:pStyle w:val="Heading2"/>
      </w:pPr>
      <w:r w:rsidRPr="00C3568C">
        <w:t xml:space="preserve">The Policy </w:t>
      </w:r>
      <w:r w:rsidRPr="008D3EB1">
        <w:t>Framework</w:t>
      </w:r>
    </w:p>
    <w:p w14:paraId="02FF5CA5" w14:textId="77777777" w:rsidR="00764BE0" w:rsidRPr="009821F3" w:rsidRDefault="00764BE0" w:rsidP="00F73B2A">
      <w:pPr>
        <w:rPr>
          <w:rFonts w:asciiTheme="minorHAnsi" w:hAnsiTheme="minorHAnsi" w:cstheme="minorHAnsi"/>
        </w:rPr>
      </w:pPr>
      <w:r w:rsidRPr="00AD019A">
        <w:rPr>
          <w:rFonts w:asciiTheme="minorHAnsi" w:hAnsiTheme="minorHAnsi" w:cstheme="minorHAnsi"/>
          <w:lang w:eastAsia="en-AU"/>
        </w:rPr>
        <w:t xml:space="preserve">Consistent with the </w:t>
      </w:r>
      <w:hyperlink r:id="rId53" w:history="1">
        <w:r w:rsidRPr="00AD019A">
          <w:rPr>
            <w:rStyle w:val="Hyperlink"/>
            <w:rFonts w:asciiTheme="minorHAnsi" w:hAnsiTheme="minorHAnsi" w:cstheme="minorHAnsi"/>
            <w:color w:val="4F6228" w:themeColor="accent3" w:themeShade="80"/>
          </w:rPr>
          <w:t>UN Convention on the Rights of Persons with Disabilities</w:t>
        </w:r>
      </w:hyperlink>
      <w:r>
        <w:rPr>
          <w:rFonts w:asciiTheme="minorHAnsi" w:hAnsiTheme="minorHAnsi" w:cstheme="minorHAnsi"/>
        </w:rPr>
        <w:t xml:space="preserve">, </w:t>
      </w:r>
      <w:r w:rsidRPr="00AD019A">
        <w:rPr>
          <w:rFonts w:asciiTheme="minorHAnsi" w:hAnsiTheme="minorHAnsi" w:cstheme="minorHAnsi"/>
          <w:lang w:eastAsia="en-AU"/>
        </w:rPr>
        <w:t xml:space="preserve">the Commonwealth, State and Territory Governments </w:t>
      </w:r>
      <w:r>
        <w:rPr>
          <w:rFonts w:asciiTheme="minorHAnsi" w:hAnsiTheme="minorHAnsi" w:cstheme="minorHAnsi"/>
          <w:lang w:eastAsia="en-AU"/>
        </w:rPr>
        <w:t xml:space="preserve">established a </w:t>
      </w:r>
      <w:r w:rsidRPr="008D3EB1">
        <w:rPr>
          <w:rFonts w:asciiTheme="minorHAnsi" w:hAnsiTheme="minorHAnsi" w:cstheme="minorHAnsi"/>
        </w:rPr>
        <w:t>National Framework for Reducing and Eliminating the Use of Restrictive Practices in the Disability Services Sector</w:t>
      </w:r>
      <w:r w:rsidRPr="009821F3">
        <w:rPr>
          <w:rFonts w:asciiTheme="minorHAnsi" w:hAnsiTheme="minorHAnsi" w:cstheme="minorHAnsi"/>
        </w:rPr>
        <w:t xml:space="preserve"> (2014)</w:t>
      </w:r>
      <w:r w:rsidRPr="009821F3">
        <w:rPr>
          <w:rStyle w:val="FootnoteReference"/>
          <w:rFonts w:asciiTheme="minorHAnsi" w:hAnsiTheme="minorHAnsi" w:cstheme="minorHAnsi"/>
        </w:rPr>
        <w:footnoteReference w:id="14"/>
      </w:r>
      <w:r>
        <w:rPr>
          <w:rFonts w:asciiTheme="minorHAnsi" w:hAnsiTheme="minorHAnsi" w:cstheme="minorHAnsi"/>
        </w:rPr>
        <w:t xml:space="preserve"> </w:t>
      </w:r>
      <w:r w:rsidRPr="008D3EB1">
        <w:rPr>
          <w:rFonts w:asciiTheme="minorHAnsi" w:hAnsiTheme="minorHAnsi" w:cstheme="minorHAnsi"/>
        </w:rPr>
        <w:t>(</w:t>
      </w:r>
      <w:r w:rsidRPr="006E7495">
        <w:rPr>
          <w:rFonts w:asciiTheme="minorHAnsi" w:hAnsiTheme="minorHAnsi" w:cstheme="minorHAnsi"/>
          <w:b/>
        </w:rPr>
        <w:t>National Framework</w:t>
      </w:r>
      <w:r w:rsidRPr="008D3EB1">
        <w:rPr>
          <w:rFonts w:asciiTheme="minorHAnsi" w:hAnsiTheme="minorHAnsi" w:cstheme="minorHAnsi"/>
        </w:rPr>
        <w:t>).</w:t>
      </w:r>
      <w:r w:rsidRPr="009821F3">
        <w:rPr>
          <w:rFonts w:asciiTheme="minorHAnsi" w:hAnsiTheme="minorHAnsi" w:cstheme="minorHAnsi"/>
        </w:rPr>
        <w:t xml:space="preserve"> </w:t>
      </w:r>
      <w:r>
        <w:rPr>
          <w:rFonts w:asciiTheme="minorHAnsi" w:hAnsiTheme="minorHAnsi" w:cstheme="minorHAnsi"/>
        </w:rPr>
        <w:t xml:space="preserve"> </w:t>
      </w:r>
      <w:r w:rsidRPr="009821F3">
        <w:rPr>
          <w:rFonts w:asciiTheme="minorHAnsi" w:hAnsiTheme="minorHAnsi" w:cstheme="minorHAnsi"/>
        </w:rPr>
        <w:t>This framework emphasises that restrictive practices should only be use where they are proportionate and justified in order to protect the rights or safety of the person or others. Recording, reporting, and monitoring on restrictive practices is critical to ensuring accountability and awareness.</w:t>
      </w:r>
    </w:p>
    <w:p w14:paraId="1991D0E1" w14:textId="77777777" w:rsidR="00764BE0" w:rsidRDefault="00764BE0" w:rsidP="00F73B2A">
      <w:pPr>
        <w:rPr>
          <w:rFonts w:asciiTheme="minorHAnsi" w:hAnsiTheme="minorHAnsi" w:cstheme="minorHAnsi"/>
        </w:rPr>
      </w:pPr>
      <w:r>
        <w:rPr>
          <w:rFonts w:asciiTheme="minorHAnsi" w:hAnsiTheme="minorHAnsi" w:cstheme="minorHAnsi"/>
        </w:rPr>
        <w:t xml:space="preserve">The </w:t>
      </w:r>
      <w:r w:rsidRPr="006E7495">
        <w:rPr>
          <w:rFonts w:asciiTheme="minorHAnsi" w:hAnsiTheme="minorHAnsi" w:cstheme="minorHAnsi"/>
          <w:b/>
        </w:rPr>
        <w:t>NDIS Quality and Safeguarding Framework</w:t>
      </w:r>
      <w:r w:rsidRPr="003E05DA">
        <w:rPr>
          <w:rFonts w:asciiTheme="minorHAnsi" w:hAnsiTheme="minorHAnsi" w:cstheme="minorHAnsi"/>
        </w:rPr>
        <w:t xml:space="preserve"> </w:t>
      </w:r>
      <w:r>
        <w:rPr>
          <w:rFonts w:asciiTheme="minorHAnsi" w:hAnsiTheme="minorHAnsi" w:cstheme="minorHAnsi"/>
        </w:rPr>
        <w:t>contextualises the need for regulation of restrictive practices, particularly that:</w:t>
      </w:r>
    </w:p>
    <w:p w14:paraId="0A06FE4B" w14:textId="77777777" w:rsidR="00764BE0" w:rsidRPr="00C3568C" w:rsidRDefault="00764BE0" w:rsidP="003A1DA0">
      <w:pPr>
        <w:pStyle w:val="ListParagraph"/>
        <w:numPr>
          <w:ilvl w:val="0"/>
          <w:numId w:val="7"/>
        </w:numPr>
        <w:rPr>
          <w:rFonts w:asciiTheme="minorHAnsi" w:hAnsiTheme="minorHAnsi" w:cstheme="minorHAnsi"/>
        </w:rPr>
      </w:pPr>
      <w:r w:rsidRPr="00C3568C">
        <w:rPr>
          <w:rFonts w:asciiTheme="minorHAnsi" w:hAnsiTheme="minorHAnsi" w:cstheme="minorHAnsi"/>
        </w:rPr>
        <w:t>Such practices would apply to a small proportion of the NDIS participant population, specifically those who require supports to address behaviours which pose a risk to themselves or others;</w:t>
      </w:r>
    </w:p>
    <w:p w14:paraId="4956305A" w14:textId="77777777" w:rsidR="00764BE0" w:rsidRPr="00C3568C" w:rsidRDefault="00764BE0" w:rsidP="003A1DA0">
      <w:pPr>
        <w:pStyle w:val="ListParagraph"/>
        <w:numPr>
          <w:ilvl w:val="0"/>
          <w:numId w:val="7"/>
        </w:numPr>
        <w:rPr>
          <w:rFonts w:asciiTheme="minorHAnsi" w:hAnsiTheme="minorHAnsi" w:cstheme="minorHAnsi"/>
        </w:rPr>
      </w:pPr>
      <w:r w:rsidRPr="00C3568C">
        <w:rPr>
          <w:rFonts w:asciiTheme="minorHAnsi" w:hAnsiTheme="minorHAnsi" w:cstheme="minorHAnsi"/>
        </w:rPr>
        <w:t xml:space="preserve">Restrictive practices have been used as a </w:t>
      </w:r>
      <w:r w:rsidRPr="00C3568C">
        <w:rPr>
          <w:rFonts w:asciiTheme="minorHAnsi" w:hAnsiTheme="minorHAnsi" w:cstheme="minorHAnsi"/>
          <w:i/>
          <w:lang w:eastAsia="en-AU"/>
        </w:rPr>
        <w:t xml:space="preserve">first line of response for people with behaviours of </w:t>
      </w:r>
      <w:r w:rsidRPr="00C3568C">
        <w:rPr>
          <w:rFonts w:asciiTheme="minorHAnsi" w:hAnsiTheme="minorHAnsi" w:cstheme="minorHAnsi"/>
          <w:lang w:eastAsia="en-AU"/>
        </w:rPr>
        <w:t>concern but are now understood to represent serious human rights infringements</w:t>
      </w:r>
    </w:p>
    <w:p w14:paraId="0A89D3E0" w14:textId="77777777" w:rsidR="00764BE0" w:rsidRPr="00C3568C" w:rsidRDefault="00764BE0" w:rsidP="003A1DA0">
      <w:pPr>
        <w:pStyle w:val="ListParagraph"/>
        <w:numPr>
          <w:ilvl w:val="0"/>
          <w:numId w:val="7"/>
        </w:numPr>
        <w:rPr>
          <w:rFonts w:asciiTheme="minorHAnsi" w:hAnsiTheme="minorHAnsi" w:cstheme="minorHAnsi"/>
        </w:rPr>
      </w:pPr>
      <w:r w:rsidRPr="00C3568C">
        <w:rPr>
          <w:rFonts w:asciiTheme="minorHAnsi" w:hAnsiTheme="minorHAnsi" w:cstheme="minorHAnsi"/>
        </w:rPr>
        <w:t xml:space="preserve">There is clear evidence that the use of restrictive practices </w:t>
      </w:r>
      <w:r w:rsidRPr="00C3568C">
        <w:rPr>
          <w:rFonts w:asciiTheme="minorHAnsi" w:hAnsiTheme="minorHAnsi" w:cstheme="minorHAnsi"/>
          <w:lang w:eastAsia="en-AU"/>
        </w:rPr>
        <w:t xml:space="preserve">to control individuals’ behaviour has often been harmful and exacerbated the behaviours they were intended to control. </w:t>
      </w:r>
    </w:p>
    <w:p w14:paraId="6491F06B" w14:textId="77777777" w:rsidR="00764BE0" w:rsidRPr="00C3568C" w:rsidRDefault="00764BE0" w:rsidP="003A1DA0">
      <w:pPr>
        <w:pStyle w:val="ListParagraph"/>
        <w:numPr>
          <w:ilvl w:val="0"/>
          <w:numId w:val="7"/>
        </w:numPr>
        <w:rPr>
          <w:rFonts w:asciiTheme="minorHAnsi" w:hAnsiTheme="minorHAnsi" w:cstheme="minorHAnsi"/>
        </w:rPr>
      </w:pPr>
      <w:r w:rsidRPr="00C3568C">
        <w:rPr>
          <w:rFonts w:asciiTheme="minorHAnsi" w:hAnsiTheme="minorHAnsi" w:cstheme="minorHAnsi"/>
        </w:rPr>
        <w:t xml:space="preserve">For most people subject to restrictive practices it should be possible to eliminate the use by understanding and responding to underlying behaviours, but for a small number of people it may not be possible to fully eliminate the use of restrictive practices for example. </w:t>
      </w:r>
    </w:p>
    <w:p w14:paraId="4DC133FA" w14:textId="77777777" w:rsidR="00764BE0" w:rsidRPr="00C3568C" w:rsidRDefault="00764BE0" w:rsidP="003A1DA0">
      <w:pPr>
        <w:pStyle w:val="ListParagraph"/>
        <w:numPr>
          <w:ilvl w:val="0"/>
          <w:numId w:val="7"/>
        </w:numPr>
        <w:rPr>
          <w:rFonts w:asciiTheme="minorHAnsi" w:hAnsiTheme="minorHAnsi" w:cstheme="minorHAnsi"/>
        </w:rPr>
      </w:pPr>
      <w:r w:rsidRPr="00C3568C">
        <w:rPr>
          <w:rFonts w:asciiTheme="minorHAnsi" w:hAnsiTheme="minorHAnsi" w:cstheme="minorHAnsi"/>
        </w:rPr>
        <w:lastRenderedPageBreak/>
        <w:t xml:space="preserve">The goal should always be to move to a reduction or elimination. However there might be some emergency of extenuating circumstances where a restriction might be the most appropriate response.  </w:t>
      </w:r>
    </w:p>
    <w:p w14:paraId="07F3E85F" w14:textId="77777777" w:rsidR="00764BE0" w:rsidRPr="00C3568C" w:rsidRDefault="00764BE0" w:rsidP="003A1DA0">
      <w:pPr>
        <w:pStyle w:val="ListParagraph"/>
        <w:numPr>
          <w:ilvl w:val="0"/>
          <w:numId w:val="7"/>
        </w:numPr>
        <w:rPr>
          <w:rFonts w:asciiTheme="minorHAnsi" w:hAnsiTheme="minorHAnsi" w:cstheme="minorHAnsi"/>
        </w:rPr>
      </w:pPr>
      <w:r w:rsidRPr="00C3568C">
        <w:rPr>
          <w:rFonts w:asciiTheme="minorHAnsi" w:hAnsiTheme="minorHAnsi" w:cstheme="minorHAnsi"/>
        </w:rPr>
        <w:t xml:space="preserve">The </w:t>
      </w:r>
      <w:r w:rsidRPr="00C3568C">
        <w:rPr>
          <w:rFonts w:asciiTheme="minorHAnsi" w:hAnsiTheme="minorHAnsi" w:cstheme="minorHAnsi"/>
          <w:lang w:eastAsia="en-AU"/>
        </w:rPr>
        <w:t xml:space="preserve">NDIS should move toward a system in which the use of restrictive practices in response to behaviours of concern occurs by exception and is underpinned by a positive behaviour support framework </w:t>
      </w:r>
    </w:p>
    <w:p w14:paraId="3326433A" w14:textId="77777777" w:rsidR="00113BBB" w:rsidRPr="00C3568C" w:rsidRDefault="00113BBB" w:rsidP="00CE344E">
      <w:pPr>
        <w:pStyle w:val="Heading2"/>
      </w:pPr>
      <w:bookmarkStart w:id="27" w:name="_Toc89091821"/>
      <w:r w:rsidRPr="00C3568C">
        <w:t xml:space="preserve">Types of </w:t>
      </w:r>
      <w:bookmarkEnd w:id="27"/>
      <w:r w:rsidRPr="00C3568C">
        <w:t>restrictive practices in the NDIS</w:t>
      </w:r>
    </w:p>
    <w:p w14:paraId="5DEDE32E" w14:textId="77777777" w:rsidR="00113BBB" w:rsidRPr="002041AF" w:rsidRDefault="00113BBB" w:rsidP="00C838E0">
      <w:pPr>
        <w:rPr>
          <w:rFonts w:asciiTheme="minorHAnsi" w:hAnsiTheme="minorHAnsi" w:cstheme="minorHAnsi"/>
        </w:rPr>
      </w:pPr>
      <w:r w:rsidRPr="002041AF">
        <w:rPr>
          <w:rFonts w:asciiTheme="minorHAnsi" w:hAnsiTheme="minorHAnsi" w:cstheme="minorHAnsi"/>
        </w:rPr>
        <w:t xml:space="preserve">The </w:t>
      </w:r>
      <w:r w:rsidRPr="00113BBB">
        <w:rPr>
          <w:rFonts w:asciiTheme="minorHAnsi" w:hAnsiTheme="minorHAnsi" w:cstheme="minorHAnsi"/>
          <w:i/>
        </w:rPr>
        <w:t>NDIS (Restrictive Practice and Behaviour Support) Rules 2018</w:t>
      </w:r>
      <w:r w:rsidRPr="002041AF">
        <w:rPr>
          <w:rFonts w:asciiTheme="minorHAnsi" w:hAnsiTheme="minorHAnsi" w:cstheme="minorHAnsi"/>
        </w:rPr>
        <w:t xml:space="preserve"> identify five types of regulated restrictive practice. The rules require NDIS providers to report where these regulated restrictive practices have been used on NDIS participants. The five types of regulated restrictive practice are:</w:t>
      </w:r>
    </w:p>
    <w:p w14:paraId="0A31571F" w14:textId="77777777" w:rsidR="00113BBB" w:rsidRPr="00C838E0" w:rsidRDefault="00113BBB" w:rsidP="003A1DA0">
      <w:pPr>
        <w:pStyle w:val="ListParagraph"/>
        <w:numPr>
          <w:ilvl w:val="0"/>
          <w:numId w:val="9"/>
        </w:numPr>
        <w:rPr>
          <w:rFonts w:asciiTheme="minorHAnsi" w:hAnsiTheme="minorHAnsi" w:cstheme="minorHAnsi"/>
        </w:rPr>
      </w:pPr>
      <w:r w:rsidRPr="00C838E0">
        <w:rPr>
          <w:rFonts w:asciiTheme="minorHAnsi" w:hAnsiTheme="minorHAnsi" w:cstheme="minorHAnsi"/>
          <w:b/>
        </w:rPr>
        <w:t>seclusion</w:t>
      </w:r>
      <w:r w:rsidRPr="00C838E0">
        <w:rPr>
          <w:rFonts w:asciiTheme="minorHAnsi" w:hAnsiTheme="minorHAnsi" w:cstheme="minorHAnsi"/>
        </w:rPr>
        <w:t>, which is the sole confinement of a person with disability in a room or a physical space at any hour of the day or night where voluntary exit is prevented, or not facilitated, or it is implied that voluntary exit is not permitted;</w:t>
      </w:r>
    </w:p>
    <w:p w14:paraId="21E7F9F5" w14:textId="77777777" w:rsidR="00113BBB" w:rsidRPr="00C838E0" w:rsidRDefault="00113BBB" w:rsidP="003A1DA0">
      <w:pPr>
        <w:pStyle w:val="ListParagraph"/>
        <w:numPr>
          <w:ilvl w:val="0"/>
          <w:numId w:val="9"/>
        </w:numPr>
        <w:rPr>
          <w:rFonts w:asciiTheme="minorHAnsi" w:hAnsiTheme="minorHAnsi" w:cstheme="minorHAnsi"/>
        </w:rPr>
      </w:pPr>
      <w:r w:rsidRPr="00C838E0">
        <w:rPr>
          <w:rFonts w:asciiTheme="minorHAnsi" w:hAnsiTheme="minorHAnsi" w:cstheme="minorHAnsi"/>
          <w:b/>
        </w:rPr>
        <w:t>chemical restraint</w:t>
      </w:r>
      <w:r w:rsidRPr="00C838E0">
        <w:rPr>
          <w:rFonts w:asciiTheme="minorHAnsi" w:hAnsiTheme="minorHAnsi" w:cstheme="minorHAnsi"/>
        </w:rPr>
        <w:t>, which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5B6D0099" w14:textId="77777777" w:rsidR="00113BBB" w:rsidRPr="00C838E0" w:rsidRDefault="00113BBB" w:rsidP="003A1DA0">
      <w:pPr>
        <w:pStyle w:val="ListParagraph"/>
        <w:numPr>
          <w:ilvl w:val="0"/>
          <w:numId w:val="9"/>
        </w:numPr>
        <w:rPr>
          <w:rFonts w:asciiTheme="minorHAnsi" w:hAnsiTheme="minorHAnsi" w:cstheme="minorHAnsi"/>
        </w:rPr>
      </w:pPr>
      <w:r w:rsidRPr="00C838E0">
        <w:rPr>
          <w:rFonts w:asciiTheme="minorHAnsi" w:hAnsiTheme="minorHAnsi" w:cstheme="minorHAnsi"/>
          <w:b/>
        </w:rPr>
        <w:t>mechanical restraint</w:t>
      </w:r>
      <w:r w:rsidRPr="00C838E0">
        <w:rPr>
          <w:rFonts w:asciiTheme="minorHAnsi" w:hAnsiTheme="minorHAnsi" w:cstheme="minorHAnsi"/>
        </w:rPr>
        <w:t>, which is the use of a device to prevent, restrict, or subdue a person’s movement for the primary purpose of influencing a person’s behaviour but does not include the use of devices for therapeutic or non-behavioural purposes;</w:t>
      </w:r>
    </w:p>
    <w:p w14:paraId="7FBCCA31" w14:textId="77777777" w:rsidR="00113BBB" w:rsidRPr="00C838E0" w:rsidRDefault="00113BBB" w:rsidP="003A1DA0">
      <w:pPr>
        <w:pStyle w:val="ListParagraph"/>
        <w:numPr>
          <w:ilvl w:val="0"/>
          <w:numId w:val="9"/>
        </w:numPr>
        <w:rPr>
          <w:rFonts w:asciiTheme="minorHAnsi" w:hAnsiTheme="minorHAnsi" w:cstheme="minorHAnsi"/>
        </w:rPr>
      </w:pPr>
      <w:r w:rsidRPr="00C838E0">
        <w:rPr>
          <w:rFonts w:asciiTheme="minorHAnsi" w:hAnsiTheme="minorHAnsi" w:cstheme="minorHAnsi"/>
          <w:b/>
        </w:rPr>
        <w:t>physical restraint</w:t>
      </w:r>
      <w:r w:rsidRPr="00C838E0">
        <w:rPr>
          <w:rFonts w:asciiTheme="minorHAnsi" w:hAnsiTheme="minorHAnsi" w:cstheme="minorHAnsi"/>
        </w:rPr>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p>
    <w:p w14:paraId="08A5A720" w14:textId="77777777" w:rsidR="00113BBB" w:rsidRPr="00C838E0" w:rsidRDefault="00113BBB" w:rsidP="003A1DA0">
      <w:pPr>
        <w:pStyle w:val="ListParagraph"/>
        <w:numPr>
          <w:ilvl w:val="0"/>
          <w:numId w:val="9"/>
        </w:numPr>
        <w:rPr>
          <w:rFonts w:asciiTheme="minorHAnsi" w:hAnsiTheme="minorHAnsi" w:cstheme="minorHAnsi"/>
        </w:rPr>
      </w:pPr>
      <w:r w:rsidRPr="00C838E0">
        <w:rPr>
          <w:rFonts w:asciiTheme="minorHAnsi" w:hAnsiTheme="minorHAnsi" w:cstheme="minorHAnsi"/>
          <w:b/>
        </w:rPr>
        <w:t>environmental restraint</w:t>
      </w:r>
      <w:r w:rsidRPr="00C838E0">
        <w:rPr>
          <w:rFonts w:asciiTheme="minorHAnsi" w:hAnsiTheme="minorHAnsi" w:cstheme="minorHAnsi"/>
        </w:rPr>
        <w:t>, which restrict a person’s free access to all parts of their environment, including items or activities.</w:t>
      </w:r>
    </w:p>
    <w:p w14:paraId="56092AB3" w14:textId="77777777" w:rsidR="00C838E0" w:rsidRPr="00C838E0" w:rsidRDefault="00C838E0" w:rsidP="00CE344E">
      <w:pPr>
        <w:pStyle w:val="Heading2"/>
      </w:pPr>
      <w:r w:rsidRPr="00C838E0">
        <w:t>What is required of providers</w:t>
      </w:r>
    </w:p>
    <w:p w14:paraId="38B7F815"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Where an NDIS participant’s behaviours of concern place themselves or others at risk of harm, and subsequently a regulated restrictive practice required, a behaviour support plan must be developed and lodged with the NDIS Commission by a specialist behaviour support provider. An interim behaviour support plan must be lodged within one month and a comprehensive plan lodged within six months</w:t>
      </w:r>
      <w:r w:rsidRPr="003E05DA">
        <w:rPr>
          <w:rStyle w:val="FootnoteReference"/>
          <w:rFonts w:asciiTheme="minorHAnsi" w:hAnsiTheme="minorHAnsi" w:cstheme="minorHAnsi"/>
        </w:rPr>
        <w:footnoteReference w:id="15"/>
      </w:r>
      <w:r w:rsidRPr="00C838E0">
        <w:rPr>
          <w:rFonts w:asciiTheme="minorHAnsi" w:hAnsiTheme="minorHAnsi" w:cstheme="minorHAnsi"/>
        </w:rPr>
        <w:t xml:space="preserve">. </w:t>
      </w:r>
    </w:p>
    <w:p w14:paraId="04B51C6B"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An implementing provider who uses regulated restrictive practices needs to provide monthly reports to the NDIS Commission on the use of these practices. Unplanned or unauthorised use of a regulated restrictive practice must be reported to the NDIS Commission through the reportable incident process</w:t>
      </w:r>
      <w:r w:rsidRPr="003E05DA">
        <w:rPr>
          <w:rStyle w:val="FootnoteReference"/>
          <w:rFonts w:asciiTheme="minorHAnsi" w:hAnsiTheme="minorHAnsi" w:cstheme="minorHAnsi"/>
        </w:rPr>
        <w:footnoteReference w:id="16"/>
      </w:r>
      <w:r w:rsidRPr="00C838E0">
        <w:rPr>
          <w:rFonts w:asciiTheme="minorHAnsi" w:hAnsiTheme="minorHAnsi" w:cstheme="minorHAnsi"/>
        </w:rPr>
        <w:t>.</w:t>
      </w:r>
    </w:p>
    <w:p w14:paraId="330FDFBB" w14:textId="77777777" w:rsidR="00C838E0" w:rsidRPr="00C838E0" w:rsidRDefault="008D3EB1" w:rsidP="00C838E0">
      <w:pPr>
        <w:rPr>
          <w:rFonts w:asciiTheme="minorHAnsi" w:hAnsiTheme="minorHAnsi" w:cstheme="minorHAnsi"/>
        </w:rPr>
      </w:pPr>
      <w:r>
        <w:rPr>
          <w:rFonts w:asciiTheme="minorHAnsi" w:hAnsiTheme="minorHAnsi" w:cstheme="minorHAnsi"/>
        </w:rPr>
        <w:t xml:space="preserve">As </w:t>
      </w:r>
      <w:r w:rsidR="00C838E0" w:rsidRPr="00C838E0">
        <w:rPr>
          <w:rFonts w:asciiTheme="minorHAnsi" w:hAnsiTheme="minorHAnsi" w:cstheme="minorHAnsi"/>
        </w:rPr>
        <w:t xml:space="preserve">the </w:t>
      </w:r>
      <w:r>
        <w:rPr>
          <w:rFonts w:asciiTheme="minorHAnsi" w:hAnsiTheme="minorHAnsi" w:cstheme="minorHAnsi"/>
        </w:rPr>
        <w:t>NDIS C</w:t>
      </w:r>
      <w:r w:rsidR="00C838E0" w:rsidRPr="00C838E0">
        <w:rPr>
          <w:rFonts w:asciiTheme="minorHAnsi" w:hAnsiTheme="minorHAnsi" w:cstheme="minorHAnsi"/>
        </w:rPr>
        <w:t>ommission commenced in each jurisdiction</w:t>
      </w:r>
      <w:r>
        <w:rPr>
          <w:rFonts w:asciiTheme="minorHAnsi" w:hAnsiTheme="minorHAnsi" w:cstheme="minorHAnsi"/>
        </w:rPr>
        <w:t>, there was</w:t>
      </w:r>
      <w:r w:rsidR="00C838E0" w:rsidRPr="00C838E0">
        <w:rPr>
          <w:rFonts w:asciiTheme="minorHAnsi" w:hAnsiTheme="minorHAnsi" w:cstheme="minorHAnsi"/>
        </w:rPr>
        <w:t xml:space="preserve"> a transitional period where providers did not need to report these practices. </w:t>
      </w:r>
    </w:p>
    <w:p w14:paraId="0306DEE1" w14:textId="77777777" w:rsidR="00C838E0" w:rsidRDefault="00C838E0" w:rsidP="00C838E0"/>
    <w:p w14:paraId="39A11E54" w14:textId="77777777" w:rsidR="00C838E0" w:rsidRPr="00C838E0" w:rsidRDefault="00C838E0" w:rsidP="00CE344E">
      <w:pPr>
        <w:pStyle w:val="Heading2"/>
      </w:pPr>
      <w:r w:rsidRPr="00C838E0">
        <w:t>Oversight and analysis of restrictive practices</w:t>
      </w:r>
    </w:p>
    <w:p w14:paraId="75154605"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 xml:space="preserve">The NDIS Commission monitors the use of restrictive practices and educates providers and participants about behaviour support strategies, with the aim of reducing and eliminating restrictive practices. </w:t>
      </w:r>
    </w:p>
    <w:p w14:paraId="4C2C25ED"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 xml:space="preserve">The NDIS Commission’s first line of oversight of restrictive practices is the registration of implementing providers and behaviour support providers. Both implementing providers and behaviour support providers are required to abide by the NDIS Code of Conduct. </w:t>
      </w:r>
    </w:p>
    <w:p w14:paraId="54B7D588"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 xml:space="preserve">Behaviour support providers are also required to register with the NDIS Commission for specialist behaviour support. Assessment against the </w:t>
      </w:r>
      <w:hyperlink r:id="rId54" w:history="1">
        <w:r w:rsidRPr="00C838E0">
          <w:rPr>
            <w:rStyle w:val="Hyperlink"/>
            <w:rFonts w:asciiTheme="minorHAnsi" w:hAnsiTheme="minorHAnsi" w:cstheme="minorHAnsi"/>
          </w:rPr>
          <w:t>Positive Behaviour Support Capability Framework</w:t>
        </w:r>
      </w:hyperlink>
      <w:r w:rsidRPr="00C838E0">
        <w:rPr>
          <w:rFonts w:asciiTheme="minorHAnsi" w:hAnsiTheme="minorHAnsi" w:cstheme="minorHAnsi"/>
        </w:rPr>
        <w:t xml:space="preserve"> forms the basis for determining suitability as an NDIS behaviour support practitioner. </w:t>
      </w:r>
    </w:p>
    <w:p w14:paraId="2B87937B"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The NDIS Commission’s second line of oversight of restrictive practices is the review of behaviour support plans. The NDIS Commission’s behaviour support teams regularly review behaviour support plans to ensure they are compliant with restrictive practice and behaviour support legislation. The behaviour support teams also assist NDIS providers to deliver quality behaviour supports and reduce restrictive practice by developing and sharing research on best practice.</w:t>
      </w:r>
    </w:p>
    <w:p w14:paraId="0B319DB1"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 xml:space="preserve">The NDIS Commission’s third line of oversight of restrictive practices is the investigation of complaints from the public regarding behaviour of concern, safety of persons with disability and restrictive practices. Where these restrictive practices are unauthorised the NDIS Commission will work with the participant, provider, and relevant State / Territory authorities to develop a behaviour support plan and report any authorised restrictive practices. </w:t>
      </w:r>
    </w:p>
    <w:p w14:paraId="097B5822" w14:textId="77777777" w:rsidR="00C838E0" w:rsidRPr="00C838E0" w:rsidRDefault="00C838E0" w:rsidP="00C838E0">
      <w:pPr>
        <w:rPr>
          <w:rFonts w:asciiTheme="minorHAnsi" w:hAnsiTheme="minorHAnsi" w:cstheme="minorHAnsi"/>
        </w:rPr>
      </w:pPr>
      <w:r w:rsidRPr="00C838E0">
        <w:rPr>
          <w:rFonts w:asciiTheme="minorHAnsi" w:hAnsiTheme="minorHAnsi" w:cstheme="minorHAnsi"/>
        </w:rPr>
        <w:t>The NDIS does not regulate medical practitioners or their prescribing practices. The use of chemical restraint is a concern that needs to be dealt with primarily at the level of medical practitioner and prescribing practices. The Senior Practitioner has noted that there is increasing evidence that there is insufficient evidence for the use of medicine to ‘treat’ behaviours of concern.</w:t>
      </w:r>
    </w:p>
    <w:bookmarkEnd w:id="3"/>
    <w:p w14:paraId="5BF0D91B" w14:textId="77777777" w:rsidR="00764BE0" w:rsidRDefault="00764BE0">
      <w:pPr>
        <w:rPr>
          <w:rFonts w:asciiTheme="minorHAnsi" w:hAnsiTheme="minorHAnsi" w:cstheme="minorHAnsi"/>
          <w:shd w:val="clear" w:color="auto" w:fill="FFFFFF"/>
        </w:rPr>
      </w:pPr>
    </w:p>
    <w:sectPr w:rsidR="00764BE0" w:rsidSect="00667C0C">
      <w:pgSz w:w="11906" w:h="16838"/>
      <w:pgMar w:top="1843" w:right="566" w:bottom="1702" w:left="993"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90C24" w14:textId="77777777" w:rsidR="007826F5" w:rsidRDefault="007826F5" w:rsidP="00B04ED8">
      <w:pPr>
        <w:spacing w:after="0" w:line="240" w:lineRule="auto"/>
      </w:pPr>
      <w:r>
        <w:separator/>
      </w:r>
    </w:p>
  </w:endnote>
  <w:endnote w:type="continuationSeparator" w:id="0">
    <w:p w14:paraId="1A6FFE18" w14:textId="77777777" w:rsidR="007826F5" w:rsidRDefault="007826F5"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8"/>
        <w:szCs w:val="18"/>
      </w:rPr>
      <w:id w:val="409507443"/>
      <w:docPartObj>
        <w:docPartGallery w:val="Page Numbers (Bottom of Page)"/>
        <w:docPartUnique/>
      </w:docPartObj>
    </w:sdtPr>
    <w:sdtEndPr>
      <w:rPr>
        <w:noProof/>
      </w:rPr>
    </w:sdtEndPr>
    <w:sdtContent>
      <w:p w14:paraId="31DF7BC4" w14:textId="7D65F2E6" w:rsidR="00867212" w:rsidRPr="00FC49C3" w:rsidRDefault="00867212">
        <w:pPr>
          <w:pStyle w:val="Footer"/>
          <w:jc w:val="right"/>
          <w:rPr>
            <w:rFonts w:asciiTheme="minorHAnsi" w:hAnsiTheme="minorHAnsi" w:cstheme="minorHAnsi"/>
            <w:sz w:val="18"/>
            <w:szCs w:val="18"/>
          </w:rPr>
        </w:pPr>
        <w:r w:rsidRPr="00FC49C3">
          <w:rPr>
            <w:rFonts w:asciiTheme="minorHAnsi" w:hAnsiTheme="minorHAnsi" w:cstheme="minorHAnsi"/>
            <w:sz w:val="18"/>
            <w:szCs w:val="18"/>
          </w:rPr>
          <w:fldChar w:fldCharType="begin"/>
        </w:r>
        <w:r w:rsidRPr="00FC49C3">
          <w:rPr>
            <w:rFonts w:asciiTheme="minorHAnsi" w:hAnsiTheme="minorHAnsi" w:cstheme="minorHAnsi"/>
            <w:sz w:val="18"/>
            <w:szCs w:val="18"/>
          </w:rPr>
          <w:instrText xml:space="preserve"> PAGE   \* MERGEFORMAT </w:instrText>
        </w:r>
        <w:r w:rsidRPr="00FC49C3">
          <w:rPr>
            <w:rFonts w:asciiTheme="minorHAnsi" w:hAnsiTheme="minorHAnsi" w:cstheme="minorHAnsi"/>
            <w:sz w:val="18"/>
            <w:szCs w:val="18"/>
          </w:rPr>
          <w:fldChar w:fldCharType="separate"/>
        </w:r>
        <w:r w:rsidR="00BA7ED3">
          <w:rPr>
            <w:rFonts w:asciiTheme="minorHAnsi" w:hAnsiTheme="minorHAnsi" w:cstheme="minorHAnsi"/>
            <w:noProof/>
            <w:sz w:val="18"/>
            <w:szCs w:val="18"/>
          </w:rPr>
          <w:t>1</w:t>
        </w:r>
        <w:r w:rsidRPr="00FC49C3">
          <w:rPr>
            <w:rFonts w:asciiTheme="minorHAnsi" w:hAnsiTheme="minorHAnsi" w:cstheme="minorHAnsi"/>
            <w:noProof/>
            <w:sz w:val="18"/>
            <w:szCs w:val="18"/>
          </w:rPr>
          <w:fldChar w:fldCharType="end"/>
        </w:r>
      </w:p>
    </w:sdtContent>
  </w:sdt>
  <w:p w14:paraId="6F3829D3" w14:textId="77777777" w:rsidR="00867212" w:rsidRDefault="00867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074FD" w14:textId="77777777" w:rsidR="007826F5" w:rsidRDefault="007826F5" w:rsidP="00B04ED8">
      <w:pPr>
        <w:spacing w:after="0" w:line="240" w:lineRule="auto"/>
      </w:pPr>
      <w:r>
        <w:separator/>
      </w:r>
    </w:p>
  </w:footnote>
  <w:footnote w:type="continuationSeparator" w:id="0">
    <w:p w14:paraId="1A6EBD91" w14:textId="77777777" w:rsidR="007826F5" w:rsidRDefault="007826F5" w:rsidP="00B04ED8">
      <w:pPr>
        <w:spacing w:after="0" w:line="240" w:lineRule="auto"/>
      </w:pPr>
      <w:r>
        <w:continuationSeparator/>
      </w:r>
    </w:p>
  </w:footnote>
  <w:footnote w:id="1">
    <w:p w14:paraId="6C5613FB" w14:textId="77777777" w:rsidR="00867212" w:rsidRPr="00764BE0" w:rsidRDefault="00867212" w:rsidP="00BF04DC">
      <w:pPr>
        <w:pStyle w:val="FootnoteText"/>
        <w:rPr>
          <w:rFonts w:asciiTheme="minorHAnsi" w:hAnsiTheme="minorHAnsi" w:cstheme="minorHAnsi"/>
        </w:rPr>
      </w:pPr>
      <w:r w:rsidRPr="00764BE0">
        <w:rPr>
          <w:rStyle w:val="FootnoteReference"/>
          <w:rFonts w:asciiTheme="minorHAnsi" w:hAnsiTheme="minorHAnsi" w:cstheme="minorHAnsi"/>
        </w:rPr>
        <w:footnoteRef/>
      </w:r>
      <w:r w:rsidRPr="00764BE0">
        <w:rPr>
          <w:rFonts w:asciiTheme="minorHAnsi" w:hAnsiTheme="minorHAnsi" w:cstheme="minorHAnsi"/>
        </w:rPr>
        <w:t xml:space="preserve"> See s21(3), </w:t>
      </w:r>
      <w:r w:rsidRPr="00764BE0">
        <w:rPr>
          <w:rFonts w:asciiTheme="minorHAnsi" w:hAnsiTheme="minorHAnsi" w:cstheme="minorHAnsi"/>
          <w:i/>
        </w:rPr>
        <w:t>National Disability Insurance Scheme (Restrictive Practices and Behaviour Support) Rules 2018</w:t>
      </w:r>
      <w:r w:rsidRPr="00764BE0">
        <w:rPr>
          <w:rFonts w:asciiTheme="minorHAnsi" w:hAnsiTheme="minorHAnsi" w:cstheme="minorHAnsi"/>
        </w:rPr>
        <w:t>.</w:t>
      </w:r>
    </w:p>
  </w:footnote>
  <w:footnote w:id="2">
    <w:p w14:paraId="3D49788C" w14:textId="77777777" w:rsidR="00867212" w:rsidRPr="00764BE0" w:rsidRDefault="00867212" w:rsidP="00BF04DC">
      <w:pPr>
        <w:pStyle w:val="FootnoteText"/>
        <w:rPr>
          <w:rFonts w:asciiTheme="minorHAnsi" w:hAnsiTheme="minorHAnsi" w:cstheme="minorHAnsi"/>
        </w:rPr>
      </w:pPr>
      <w:r w:rsidRPr="00764BE0">
        <w:rPr>
          <w:rStyle w:val="FootnoteReference"/>
          <w:rFonts w:asciiTheme="minorHAnsi" w:hAnsiTheme="minorHAnsi" w:cstheme="minorHAnsi"/>
        </w:rPr>
        <w:footnoteRef/>
      </w:r>
      <w:r w:rsidRPr="00764BE0">
        <w:rPr>
          <w:rFonts w:asciiTheme="minorHAnsi" w:hAnsiTheme="minorHAnsi" w:cstheme="minorHAnsi"/>
        </w:rPr>
        <w:t xml:space="preserve"> See ss20(3), 21(3) and 21(4), </w:t>
      </w:r>
      <w:r w:rsidRPr="00764BE0">
        <w:rPr>
          <w:rFonts w:asciiTheme="minorHAnsi" w:hAnsiTheme="minorHAnsi" w:cstheme="minorHAnsi"/>
          <w:i/>
        </w:rPr>
        <w:t>National Disability Insurance Scheme (Restrictive Practices and Behaviour Support) Rules 2018</w:t>
      </w:r>
      <w:r w:rsidRPr="00764BE0">
        <w:rPr>
          <w:rFonts w:asciiTheme="minorHAnsi" w:hAnsiTheme="minorHAnsi" w:cstheme="minorHAnsi"/>
        </w:rPr>
        <w:t>.</w:t>
      </w:r>
    </w:p>
  </w:footnote>
  <w:footnote w:id="3">
    <w:p w14:paraId="46A27025" w14:textId="77777777" w:rsidR="00867212" w:rsidRPr="00346E3C" w:rsidRDefault="00867212">
      <w:pPr>
        <w:pStyle w:val="FootnoteText"/>
      </w:pPr>
      <w:r>
        <w:rPr>
          <w:rStyle w:val="FootnoteReference"/>
        </w:rPr>
        <w:footnoteRef/>
      </w:r>
      <w:r>
        <w:t xml:space="preserve"> </w:t>
      </w:r>
      <w:r w:rsidRPr="00346E3C">
        <w:rPr>
          <w:rFonts w:asciiTheme="minorHAnsi" w:hAnsiTheme="minorHAnsi" w:cstheme="minorHAnsi"/>
        </w:rPr>
        <w:t xml:space="preserve">NDIS providers are required to report every single use of a restrictive practice until that practice is authorised by a state or territory, and a behaviour support plan is put in place for the participant. For example, if a participant was given a prescribed medication as a chemical restraint three times per day, it </w:t>
      </w:r>
    </w:p>
  </w:footnote>
  <w:footnote w:id="4">
    <w:p w14:paraId="60B51AC0" w14:textId="77777777" w:rsidR="00867212" w:rsidRDefault="00867212">
      <w:pPr>
        <w:pStyle w:val="FootnoteText"/>
      </w:pPr>
      <w:r>
        <w:rPr>
          <w:rStyle w:val="FootnoteReference"/>
        </w:rPr>
        <w:footnoteRef/>
      </w:r>
      <w:r>
        <w:t xml:space="preserve"> </w:t>
      </w:r>
      <w:r w:rsidRPr="000B1FF7">
        <w:rPr>
          <w:rFonts w:asciiTheme="minorHAnsi" w:hAnsiTheme="minorHAnsi" w:cstheme="minorHAnsi"/>
          <w:sz w:val="18"/>
        </w:rPr>
        <w:t xml:space="preserve">NDIS providers </w:t>
      </w:r>
      <w:r w:rsidRPr="000B1FF7">
        <w:rPr>
          <w:rFonts w:asciiTheme="minorHAnsi" w:hAnsiTheme="minorHAnsi" w:cstheme="minorHAnsi"/>
        </w:rPr>
        <w:t>are required to report</w:t>
      </w:r>
      <w:r>
        <w:rPr>
          <w:rFonts w:asciiTheme="minorHAnsi" w:hAnsiTheme="minorHAnsi" w:cstheme="minorHAnsi"/>
        </w:rPr>
        <w:t xml:space="preserve"> every use of a restrictive practice until that practice is authorised by a state or territory. For example, if a participant was given a prescribed medication as a chemical restraint three times a day, it </w:t>
      </w:r>
      <w:r w:rsidRPr="00346E3C">
        <w:rPr>
          <w:rFonts w:asciiTheme="minorHAnsi" w:hAnsiTheme="minorHAnsi" w:cstheme="minorHAnsi"/>
        </w:rPr>
        <w:t>would</w:t>
      </w:r>
      <w:r>
        <w:rPr>
          <w:rFonts w:asciiTheme="minorHAnsi" w:hAnsiTheme="minorHAnsi" w:cstheme="minorHAnsi"/>
        </w:rPr>
        <w:t xml:space="preserve"> be</w:t>
      </w:r>
      <w:r w:rsidRPr="00346E3C">
        <w:rPr>
          <w:rFonts w:asciiTheme="minorHAnsi" w:hAnsiTheme="minorHAnsi" w:cstheme="minorHAnsi"/>
        </w:rPr>
        <w:t xml:space="preserve"> count</w:t>
      </w:r>
      <w:r>
        <w:rPr>
          <w:rFonts w:asciiTheme="minorHAnsi" w:hAnsiTheme="minorHAnsi" w:cstheme="minorHAnsi"/>
        </w:rPr>
        <w:t>ed</w:t>
      </w:r>
      <w:r w:rsidRPr="00346E3C">
        <w:rPr>
          <w:rFonts w:asciiTheme="minorHAnsi" w:hAnsiTheme="minorHAnsi" w:cstheme="minorHAnsi"/>
        </w:rPr>
        <w:t xml:space="preserve"> as 1095 reportable incidents </w:t>
      </w:r>
      <w:r>
        <w:rPr>
          <w:rFonts w:asciiTheme="minorHAnsi" w:hAnsiTheme="minorHAnsi" w:cstheme="minorHAnsi"/>
        </w:rPr>
        <w:t>over a year</w:t>
      </w:r>
      <w:r w:rsidRPr="00346E3C">
        <w:rPr>
          <w:rFonts w:asciiTheme="minorHAnsi" w:hAnsiTheme="minorHAnsi" w:cstheme="minorHAnsi"/>
        </w:rPr>
        <w:t>, or three reportable incidents per day until the use of the restrictive practice was authorised (if required) and a behaviour support plan was lodged.</w:t>
      </w:r>
    </w:p>
  </w:footnote>
  <w:footnote w:id="5">
    <w:p w14:paraId="1ED01364" w14:textId="77777777" w:rsidR="00867212" w:rsidRDefault="00867212">
      <w:pPr>
        <w:pStyle w:val="FootnoteText"/>
      </w:pPr>
      <w:r>
        <w:rPr>
          <w:rStyle w:val="FootnoteReference"/>
        </w:rPr>
        <w:footnoteRef/>
      </w:r>
      <w:r>
        <w:t xml:space="preserve"> </w:t>
      </w:r>
      <w:r w:rsidRPr="00A46649">
        <w:rPr>
          <w:rFonts w:asciiTheme="minorHAnsi" w:hAnsiTheme="minorHAnsi" w:cstheme="minorHAnsi"/>
        </w:rPr>
        <w:t xml:space="preserve">Active participants are those who have been determined eligible and have an approved plan. (There are also cases where a participant’s plan has expired and a new plan has not formally commenced, but they have not exited the Scheme. These individuals are also counted as active participants). </w:t>
      </w:r>
    </w:p>
  </w:footnote>
  <w:footnote w:id="6">
    <w:p w14:paraId="2F849C6D" w14:textId="77777777" w:rsidR="00867212" w:rsidRPr="002041AF" w:rsidRDefault="00867212" w:rsidP="00113BBB">
      <w:pPr>
        <w:pStyle w:val="FootnoteText"/>
        <w:rPr>
          <w:rFonts w:asciiTheme="minorHAnsi" w:hAnsiTheme="minorHAnsi" w:cstheme="minorHAnsi"/>
        </w:rPr>
      </w:pPr>
      <w:r w:rsidRPr="002041AF">
        <w:rPr>
          <w:rStyle w:val="FootnoteReference"/>
          <w:rFonts w:asciiTheme="minorHAnsi" w:hAnsiTheme="minorHAnsi" w:cstheme="minorHAnsi"/>
        </w:rPr>
        <w:footnoteRef/>
      </w:r>
      <w:r w:rsidRPr="002041AF">
        <w:rPr>
          <w:rFonts w:asciiTheme="minorHAnsi" w:hAnsiTheme="minorHAnsi" w:cstheme="minorHAnsi"/>
        </w:rPr>
        <w:t xml:space="preserve"> </w:t>
      </w:r>
      <w:r w:rsidRPr="002041AF">
        <w:rPr>
          <w:rFonts w:asciiTheme="minorHAnsi" w:hAnsiTheme="minorHAnsi" w:cstheme="minorHAnsi"/>
          <w:sz w:val="18"/>
          <w:szCs w:val="18"/>
        </w:rPr>
        <w:t>Number of different types of medications received by individuals as an unauthorised chemical restraint during 2020-21.</w:t>
      </w:r>
    </w:p>
  </w:footnote>
  <w:footnote w:id="7">
    <w:p w14:paraId="0D71C4D0" w14:textId="77777777" w:rsidR="00867212" w:rsidRPr="002041AF" w:rsidRDefault="00867212" w:rsidP="00113BBB">
      <w:pPr>
        <w:pStyle w:val="FootnoteText"/>
        <w:rPr>
          <w:rFonts w:asciiTheme="minorHAnsi" w:hAnsiTheme="minorHAnsi" w:cstheme="minorHAnsi"/>
        </w:rPr>
      </w:pPr>
      <w:r w:rsidRPr="002041AF">
        <w:rPr>
          <w:rStyle w:val="FootnoteReference"/>
          <w:rFonts w:asciiTheme="minorHAnsi" w:hAnsiTheme="minorHAnsi" w:cstheme="minorHAnsi"/>
        </w:rPr>
        <w:footnoteRef/>
      </w:r>
      <w:r w:rsidRPr="002041AF">
        <w:rPr>
          <w:rFonts w:asciiTheme="minorHAnsi" w:hAnsiTheme="minorHAnsi" w:cstheme="minorHAnsi"/>
        </w:rPr>
        <w:t xml:space="preserve"> </w:t>
      </w:r>
      <w:r w:rsidRPr="002041AF">
        <w:rPr>
          <w:rFonts w:asciiTheme="minorHAnsi" w:hAnsiTheme="minorHAnsi" w:cstheme="minorHAnsi"/>
          <w:sz w:val="18"/>
          <w:szCs w:val="18"/>
        </w:rPr>
        <w:t>Where a specific name for the chemical restraint used was provided.</w:t>
      </w:r>
    </w:p>
  </w:footnote>
  <w:footnote w:id="8">
    <w:p w14:paraId="6098106A" w14:textId="77777777" w:rsidR="00867212" w:rsidRPr="002041AF" w:rsidRDefault="00867212" w:rsidP="00113BBB">
      <w:pPr>
        <w:pStyle w:val="FootnoteText"/>
        <w:rPr>
          <w:rFonts w:asciiTheme="minorHAnsi" w:hAnsiTheme="minorHAnsi" w:cstheme="minorHAnsi"/>
        </w:rPr>
      </w:pPr>
      <w:r w:rsidRPr="002041AF">
        <w:rPr>
          <w:rStyle w:val="FootnoteReference"/>
          <w:rFonts w:asciiTheme="minorHAnsi" w:hAnsiTheme="minorHAnsi" w:cstheme="minorHAnsi"/>
        </w:rPr>
        <w:footnoteRef/>
      </w:r>
      <w:r w:rsidRPr="002041AF">
        <w:rPr>
          <w:rFonts w:asciiTheme="minorHAnsi" w:hAnsiTheme="minorHAnsi" w:cstheme="minorHAnsi"/>
        </w:rPr>
        <w:t xml:space="preserve"> </w:t>
      </w:r>
      <w:r w:rsidRPr="002041AF">
        <w:rPr>
          <w:rFonts w:asciiTheme="minorHAnsi" w:hAnsiTheme="minorHAnsi" w:cstheme="minorHAnsi"/>
          <w:sz w:val="18"/>
        </w:rPr>
        <w:t>Individuals may be reported as receiving more than one class of medication in the period. Where this happens, they are counted once for each type of medication received.</w:t>
      </w:r>
    </w:p>
  </w:footnote>
  <w:footnote w:id="9">
    <w:p w14:paraId="44BA9CD5" w14:textId="77777777" w:rsidR="00867212" w:rsidRPr="00667C0C" w:rsidRDefault="00867212" w:rsidP="004C1725">
      <w:pPr>
        <w:pStyle w:val="FootnoteText"/>
        <w:rPr>
          <w:rFonts w:asciiTheme="minorHAnsi" w:hAnsiTheme="minorHAnsi" w:cstheme="minorHAnsi"/>
          <w:sz w:val="18"/>
          <w:szCs w:val="18"/>
        </w:rPr>
      </w:pPr>
      <w:r w:rsidRPr="00667C0C">
        <w:rPr>
          <w:rStyle w:val="FootnoteReference"/>
          <w:rFonts w:asciiTheme="minorHAnsi" w:hAnsiTheme="minorHAnsi" w:cstheme="minorHAnsi"/>
          <w:sz w:val="18"/>
          <w:szCs w:val="18"/>
        </w:rPr>
        <w:footnoteRef/>
      </w:r>
      <w:r w:rsidRPr="00667C0C">
        <w:rPr>
          <w:rFonts w:asciiTheme="minorHAnsi" w:hAnsiTheme="minorHAnsi" w:cstheme="minorHAnsi"/>
          <w:sz w:val="18"/>
          <w:szCs w:val="18"/>
        </w:rPr>
        <w:t xml:space="preserve"> </w:t>
      </w:r>
      <w:r w:rsidRPr="00461705">
        <w:rPr>
          <w:rFonts w:asciiTheme="minorHAnsi" w:hAnsiTheme="minorHAnsi" w:cstheme="minorHAnsi"/>
          <w:sz w:val="18"/>
          <w:szCs w:val="18"/>
        </w:rPr>
        <w:t>The count of providers of unauthorised restrictive practices nationally is less than the sum of the provider counts in each State and/or Territory because providers may operate in multiple States/Territories.</w:t>
      </w:r>
    </w:p>
  </w:footnote>
  <w:footnote w:id="10">
    <w:p w14:paraId="461F678D" w14:textId="77777777" w:rsidR="00867212" w:rsidRDefault="00867212">
      <w:pPr>
        <w:pStyle w:val="FootnoteText"/>
      </w:pPr>
      <w:r w:rsidRPr="00667C0C">
        <w:rPr>
          <w:rStyle w:val="FootnoteReference"/>
          <w:rFonts w:asciiTheme="minorHAnsi" w:hAnsiTheme="minorHAnsi" w:cstheme="minorHAnsi"/>
          <w:sz w:val="18"/>
          <w:szCs w:val="18"/>
        </w:rPr>
        <w:footnoteRef/>
      </w:r>
      <w:r w:rsidRPr="00667C0C">
        <w:rPr>
          <w:rFonts w:asciiTheme="minorHAnsi" w:hAnsiTheme="minorHAnsi" w:cstheme="minorHAnsi"/>
          <w:sz w:val="18"/>
          <w:szCs w:val="18"/>
        </w:rPr>
        <w:t xml:space="preserve"> The top largest providers by number of URPs reported are identified through separate calculations for each state, territory and nationally.</w:t>
      </w:r>
      <w:r>
        <w:rPr>
          <w:rFonts w:asciiTheme="minorHAnsi" w:hAnsiTheme="minorHAnsi" w:cstheme="minorHAnsi"/>
          <w:sz w:val="18"/>
          <w:szCs w:val="18"/>
        </w:rPr>
        <w:t xml:space="preserve"> Some providers that are one of the 10 largest in a particular state or territory may not be one of the 10 largest providers nationally.</w:t>
      </w:r>
      <w:r>
        <w:t xml:space="preserve"> </w:t>
      </w:r>
    </w:p>
  </w:footnote>
  <w:footnote w:id="11">
    <w:p w14:paraId="3DD473B3" w14:textId="77777777" w:rsidR="00867212" w:rsidRPr="004C3DB1" w:rsidRDefault="00867212" w:rsidP="00C838E0">
      <w:pPr>
        <w:pStyle w:val="FootnoteText"/>
        <w:rPr>
          <w:rFonts w:asciiTheme="minorHAnsi" w:hAnsiTheme="minorHAnsi" w:cstheme="minorHAnsi"/>
          <w:sz w:val="18"/>
          <w:szCs w:val="18"/>
        </w:rPr>
      </w:pPr>
      <w:r w:rsidRPr="00667C0C">
        <w:rPr>
          <w:rStyle w:val="FootnoteReference"/>
          <w:rFonts w:asciiTheme="minorHAnsi" w:hAnsiTheme="minorHAnsi" w:cstheme="minorHAnsi"/>
          <w:sz w:val="18"/>
          <w:szCs w:val="18"/>
        </w:rPr>
        <w:footnoteRef/>
      </w:r>
      <w:r w:rsidRPr="00667C0C">
        <w:rPr>
          <w:rFonts w:asciiTheme="minorHAnsi" w:hAnsiTheme="minorHAnsi" w:cstheme="minorHAnsi"/>
          <w:sz w:val="18"/>
          <w:szCs w:val="18"/>
        </w:rPr>
        <w:t xml:space="preserve"> </w:t>
      </w:r>
      <w:r w:rsidRPr="004C3DB1">
        <w:rPr>
          <w:rFonts w:asciiTheme="minorHAnsi" w:hAnsiTheme="minorHAnsi" w:cstheme="minorHAnsi"/>
          <w:sz w:val="18"/>
          <w:szCs w:val="18"/>
        </w:rPr>
        <w:t>An NDIS provider may be both an implementing provider and a specialist behaviour support provider, but participants may choose to obtain their specialist behaviour support from a different provider, even if the provider of their other supports could also provide their specialist behaviour support.</w:t>
      </w:r>
    </w:p>
  </w:footnote>
  <w:footnote w:id="12">
    <w:p w14:paraId="1A676DF3" w14:textId="77777777" w:rsidR="00867212" w:rsidRPr="000F013C" w:rsidRDefault="00867212" w:rsidP="00C838E0">
      <w:pPr>
        <w:pStyle w:val="FootnoteText"/>
        <w:rPr>
          <w:rFonts w:asciiTheme="minorHAnsi" w:hAnsiTheme="minorHAnsi" w:cstheme="minorHAnsi"/>
          <w:sz w:val="18"/>
          <w:szCs w:val="18"/>
        </w:rPr>
      </w:pPr>
      <w:r w:rsidRPr="000F013C">
        <w:rPr>
          <w:rStyle w:val="FootnoteReference"/>
          <w:rFonts w:asciiTheme="minorHAnsi" w:hAnsiTheme="minorHAnsi" w:cstheme="minorHAnsi"/>
          <w:sz w:val="18"/>
          <w:szCs w:val="18"/>
        </w:rPr>
        <w:footnoteRef/>
      </w:r>
      <w:r w:rsidRPr="000F013C">
        <w:rPr>
          <w:rFonts w:asciiTheme="minorHAnsi" w:hAnsiTheme="minorHAnsi" w:cstheme="minorHAnsi"/>
          <w:sz w:val="18"/>
          <w:szCs w:val="18"/>
        </w:rPr>
        <w:t xml:space="preserve"> If the specialist behaviour support provider is a natural person and they are also an NDIS behaviour support practitioner, they can develop the behaviour support plans. </w:t>
      </w:r>
    </w:p>
  </w:footnote>
  <w:footnote w:id="13">
    <w:p w14:paraId="0CF1C78A" w14:textId="77777777" w:rsidR="00867212" w:rsidRDefault="00867212">
      <w:pPr>
        <w:pStyle w:val="FootnoteText"/>
      </w:pPr>
      <w:r>
        <w:rPr>
          <w:rStyle w:val="FootnoteReference"/>
        </w:rPr>
        <w:footnoteRef/>
      </w:r>
      <w:r>
        <w:t xml:space="preserve"> </w:t>
      </w:r>
    </w:p>
  </w:footnote>
  <w:footnote w:id="14">
    <w:p w14:paraId="3280BED1" w14:textId="77777777" w:rsidR="00867212" w:rsidRDefault="00867212" w:rsidP="00764BE0">
      <w:pPr>
        <w:pStyle w:val="FootnoteText"/>
      </w:pPr>
      <w:r w:rsidRPr="009821F3">
        <w:rPr>
          <w:rStyle w:val="FootnoteReference"/>
          <w:rFonts w:asciiTheme="minorHAnsi" w:hAnsiTheme="minorHAnsi" w:cstheme="minorHAnsi"/>
          <w:sz w:val="18"/>
          <w:szCs w:val="18"/>
        </w:rPr>
        <w:footnoteRef/>
      </w:r>
      <w:r w:rsidRPr="009821F3">
        <w:rPr>
          <w:rFonts w:asciiTheme="minorHAnsi" w:hAnsiTheme="minorHAnsi" w:cstheme="minorHAnsi"/>
          <w:sz w:val="18"/>
          <w:szCs w:val="18"/>
        </w:rPr>
        <w:t xml:space="preserve"> </w:t>
      </w:r>
      <w:hyperlink r:id="rId1" w:history="1">
        <w:r w:rsidRPr="009821F3">
          <w:rPr>
            <w:rStyle w:val="Hyperlink"/>
            <w:rFonts w:asciiTheme="minorHAnsi" w:hAnsiTheme="minorHAnsi" w:cstheme="minorHAnsi"/>
            <w:sz w:val="18"/>
            <w:szCs w:val="18"/>
          </w:rPr>
          <w:t>National Framework for Reducing and Eliminating the Use of Restrictive Practices in the Disability Service Sector | Department of Social Services, Australian Government (dss.gov.au)</w:t>
        </w:r>
      </w:hyperlink>
    </w:p>
  </w:footnote>
  <w:footnote w:id="15">
    <w:p w14:paraId="10252EEC" w14:textId="77777777" w:rsidR="00867212" w:rsidRPr="009821F3" w:rsidRDefault="00867212" w:rsidP="00C838E0">
      <w:pPr>
        <w:pStyle w:val="FootnoteText"/>
        <w:rPr>
          <w:rFonts w:asciiTheme="minorHAnsi" w:hAnsiTheme="minorHAnsi" w:cstheme="minorHAnsi"/>
          <w:sz w:val="18"/>
          <w:szCs w:val="18"/>
        </w:rPr>
      </w:pPr>
      <w:r w:rsidRPr="009821F3">
        <w:rPr>
          <w:rStyle w:val="FootnoteReference"/>
          <w:rFonts w:asciiTheme="minorHAnsi" w:hAnsiTheme="minorHAnsi" w:cstheme="minorHAnsi"/>
          <w:sz w:val="18"/>
          <w:szCs w:val="18"/>
        </w:rPr>
        <w:footnoteRef/>
      </w:r>
      <w:r w:rsidRPr="009821F3">
        <w:rPr>
          <w:rFonts w:asciiTheme="minorHAnsi" w:hAnsiTheme="minorHAnsi" w:cstheme="minorHAnsi"/>
          <w:sz w:val="18"/>
          <w:szCs w:val="18"/>
        </w:rPr>
        <w:t xml:space="preserve"> </w:t>
      </w:r>
      <w:hyperlink r:id="rId2" w:history="1">
        <w:r w:rsidRPr="009821F3">
          <w:rPr>
            <w:rStyle w:val="Hyperlink"/>
            <w:rFonts w:asciiTheme="minorHAnsi" w:hAnsiTheme="minorHAnsi" w:cstheme="minorHAnsi"/>
            <w:sz w:val="18"/>
            <w:szCs w:val="18"/>
          </w:rPr>
          <w:t>National Disability Insurance Scheme (Restrictive Practices and Behaviour Support) Rules 2018 (legislation.gov.au)</w:t>
        </w:r>
      </w:hyperlink>
    </w:p>
  </w:footnote>
  <w:footnote w:id="16">
    <w:p w14:paraId="7D85C2C9" w14:textId="77777777" w:rsidR="00867212" w:rsidRPr="009821F3" w:rsidRDefault="00867212" w:rsidP="00C838E0">
      <w:pPr>
        <w:pStyle w:val="FootnoteText"/>
        <w:rPr>
          <w:rFonts w:asciiTheme="minorHAnsi" w:hAnsiTheme="minorHAnsi" w:cstheme="minorHAnsi"/>
          <w:sz w:val="18"/>
          <w:szCs w:val="18"/>
        </w:rPr>
      </w:pPr>
      <w:r w:rsidRPr="009821F3">
        <w:rPr>
          <w:rStyle w:val="FootnoteReference"/>
          <w:rFonts w:asciiTheme="minorHAnsi" w:hAnsiTheme="minorHAnsi" w:cstheme="minorHAnsi"/>
          <w:sz w:val="18"/>
          <w:szCs w:val="18"/>
        </w:rPr>
        <w:footnoteRef/>
      </w:r>
      <w:r w:rsidRPr="009821F3">
        <w:rPr>
          <w:rFonts w:asciiTheme="minorHAnsi" w:hAnsiTheme="minorHAnsi" w:cstheme="minorHAnsi"/>
          <w:sz w:val="18"/>
          <w:szCs w:val="18"/>
        </w:rPr>
        <w:t xml:space="preserve"> </w:t>
      </w:r>
      <w:hyperlink r:id="rId3" w:history="1">
        <w:r w:rsidRPr="009821F3">
          <w:rPr>
            <w:rStyle w:val="Hyperlink"/>
            <w:rFonts w:asciiTheme="minorHAnsi" w:hAnsiTheme="minorHAnsi" w:cstheme="minorHAnsi"/>
            <w:sz w:val="18"/>
            <w:szCs w:val="18"/>
          </w:rPr>
          <w:t>National Disability Insurance Scheme (Incident Management and Reportable Incidents) Rules 2018 (legislation.gov.au)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61A"/>
    <w:multiLevelType w:val="multilevel"/>
    <w:tmpl w:val="B55ADA04"/>
    <w:lvl w:ilvl="0">
      <w:start w:val="1"/>
      <w:numFmt w:val="decimal"/>
      <w:lvlText w:val="%1"/>
      <w:lvlJc w:val="left"/>
      <w:pPr>
        <w:ind w:left="360" w:hanging="360"/>
      </w:pPr>
      <w:rPr>
        <w:rFonts w:hint="default"/>
      </w:rPr>
    </w:lvl>
    <w:lvl w:ilvl="1">
      <w:start w:val="1"/>
      <w:numFmt w:val="decimal"/>
      <w:pStyle w:val="Numb"/>
      <w:lvlText w:val="%1.%2"/>
      <w:lvlJc w:val="left"/>
      <w:pPr>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104E2"/>
    <w:multiLevelType w:val="hybridMultilevel"/>
    <w:tmpl w:val="ED78AA9A"/>
    <w:lvl w:ilvl="0" w:tplc="246CC35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B70A1"/>
    <w:multiLevelType w:val="hybridMultilevel"/>
    <w:tmpl w:val="59B87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51CE6"/>
    <w:multiLevelType w:val="hybridMultilevel"/>
    <w:tmpl w:val="D3261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E58A7"/>
    <w:multiLevelType w:val="hybridMultilevel"/>
    <w:tmpl w:val="427841B0"/>
    <w:lvl w:ilvl="0" w:tplc="246CC35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536E9"/>
    <w:multiLevelType w:val="hybridMultilevel"/>
    <w:tmpl w:val="910A9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CF68A1"/>
    <w:multiLevelType w:val="hybridMultilevel"/>
    <w:tmpl w:val="73CE0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5302BE"/>
    <w:multiLevelType w:val="hybridMultilevel"/>
    <w:tmpl w:val="80F83E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E23714"/>
    <w:multiLevelType w:val="hybridMultilevel"/>
    <w:tmpl w:val="4BD8FF2E"/>
    <w:lvl w:ilvl="0" w:tplc="246CC352">
      <w:start w:val="1"/>
      <w:numFmt w:val="bullet"/>
      <w:lvlText w:val="-"/>
      <w:lvlJc w:val="left"/>
      <w:pPr>
        <w:ind w:left="780" w:hanging="360"/>
      </w:pPr>
      <w:rPr>
        <w:rFonts w:ascii="Arial" w:eastAsiaTheme="minorHAnsi"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98B1653"/>
    <w:multiLevelType w:val="hybridMultilevel"/>
    <w:tmpl w:val="437A2814"/>
    <w:lvl w:ilvl="0" w:tplc="246CC35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E32936"/>
    <w:multiLevelType w:val="hybridMultilevel"/>
    <w:tmpl w:val="5EF409E6"/>
    <w:lvl w:ilvl="0" w:tplc="246CC352">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9F43ABB"/>
    <w:multiLevelType w:val="hybridMultilevel"/>
    <w:tmpl w:val="F462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BA628D"/>
    <w:multiLevelType w:val="hybridMultilevel"/>
    <w:tmpl w:val="D946F5C6"/>
    <w:lvl w:ilvl="0" w:tplc="246CC35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850B41"/>
    <w:multiLevelType w:val="hybridMultilevel"/>
    <w:tmpl w:val="02609DFA"/>
    <w:lvl w:ilvl="0" w:tplc="246CC352">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698691A"/>
    <w:multiLevelType w:val="hybridMultilevel"/>
    <w:tmpl w:val="98101AE0"/>
    <w:lvl w:ilvl="0" w:tplc="246CC35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3C1029"/>
    <w:multiLevelType w:val="hybridMultilevel"/>
    <w:tmpl w:val="5E0E9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5"/>
  </w:num>
  <w:num w:numId="4">
    <w:abstractNumId w:val="6"/>
  </w:num>
  <w:num w:numId="5">
    <w:abstractNumId w:val="4"/>
  </w:num>
  <w:num w:numId="6">
    <w:abstractNumId w:val="10"/>
  </w:num>
  <w:num w:numId="7">
    <w:abstractNumId w:val="2"/>
  </w:num>
  <w:num w:numId="8">
    <w:abstractNumId w:val="7"/>
  </w:num>
  <w:num w:numId="9">
    <w:abstractNumId w:val="11"/>
  </w:num>
  <w:num w:numId="10">
    <w:abstractNumId w:val="5"/>
  </w:num>
  <w:num w:numId="11">
    <w:abstractNumId w:val="0"/>
  </w:num>
  <w:num w:numId="12">
    <w:abstractNumId w:val="13"/>
  </w:num>
  <w:num w:numId="13">
    <w:abstractNumId w:val="14"/>
  </w:num>
  <w:num w:numId="14">
    <w:abstractNumId w:val="8"/>
  </w:num>
  <w:num w:numId="15">
    <w:abstractNumId w:val="1"/>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CE"/>
    <w:rsid w:val="00003103"/>
    <w:rsid w:val="00005633"/>
    <w:rsid w:val="00006BA1"/>
    <w:rsid w:val="00013004"/>
    <w:rsid w:val="000151AC"/>
    <w:rsid w:val="00021188"/>
    <w:rsid w:val="000258A5"/>
    <w:rsid w:val="000260EE"/>
    <w:rsid w:val="00032102"/>
    <w:rsid w:val="00034CEA"/>
    <w:rsid w:val="00035C49"/>
    <w:rsid w:val="00037F13"/>
    <w:rsid w:val="00040961"/>
    <w:rsid w:val="00041798"/>
    <w:rsid w:val="00041ED7"/>
    <w:rsid w:val="00047E3F"/>
    <w:rsid w:val="00051618"/>
    <w:rsid w:val="00051FC8"/>
    <w:rsid w:val="00053F4D"/>
    <w:rsid w:val="00061AED"/>
    <w:rsid w:val="00061C2D"/>
    <w:rsid w:val="00061EA3"/>
    <w:rsid w:val="0006454C"/>
    <w:rsid w:val="0006523C"/>
    <w:rsid w:val="00070872"/>
    <w:rsid w:val="00077FE3"/>
    <w:rsid w:val="00082158"/>
    <w:rsid w:val="00082AD4"/>
    <w:rsid w:val="0008321E"/>
    <w:rsid w:val="00093344"/>
    <w:rsid w:val="00094C20"/>
    <w:rsid w:val="000954BA"/>
    <w:rsid w:val="000954E1"/>
    <w:rsid w:val="00096245"/>
    <w:rsid w:val="000A1187"/>
    <w:rsid w:val="000A1258"/>
    <w:rsid w:val="000A45A4"/>
    <w:rsid w:val="000B1FF7"/>
    <w:rsid w:val="000B391E"/>
    <w:rsid w:val="000B6FF1"/>
    <w:rsid w:val="000C36C5"/>
    <w:rsid w:val="000C7A34"/>
    <w:rsid w:val="000D109A"/>
    <w:rsid w:val="000D4035"/>
    <w:rsid w:val="000D642C"/>
    <w:rsid w:val="000E3AD2"/>
    <w:rsid w:val="000E4A28"/>
    <w:rsid w:val="000F013C"/>
    <w:rsid w:val="000F2230"/>
    <w:rsid w:val="000F7A4D"/>
    <w:rsid w:val="001000E8"/>
    <w:rsid w:val="00102377"/>
    <w:rsid w:val="00106AD7"/>
    <w:rsid w:val="001076D5"/>
    <w:rsid w:val="0011348F"/>
    <w:rsid w:val="00113BBB"/>
    <w:rsid w:val="001220B1"/>
    <w:rsid w:val="00122340"/>
    <w:rsid w:val="001255C1"/>
    <w:rsid w:val="00127C11"/>
    <w:rsid w:val="00132973"/>
    <w:rsid w:val="00133C6B"/>
    <w:rsid w:val="0013443D"/>
    <w:rsid w:val="00140673"/>
    <w:rsid w:val="001411FA"/>
    <w:rsid w:val="001413F3"/>
    <w:rsid w:val="0014646D"/>
    <w:rsid w:val="00147479"/>
    <w:rsid w:val="00147C24"/>
    <w:rsid w:val="00147F6D"/>
    <w:rsid w:val="00150AF4"/>
    <w:rsid w:val="0015186A"/>
    <w:rsid w:val="00152BA1"/>
    <w:rsid w:val="001626D3"/>
    <w:rsid w:val="00162C5A"/>
    <w:rsid w:val="0016573E"/>
    <w:rsid w:val="0016644B"/>
    <w:rsid w:val="00170569"/>
    <w:rsid w:val="00181DAF"/>
    <w:rsid w:val="001879C5"/>
    <w:rsid w:val="00193444"/>
    <w:rsid w:val="001A40C7"/>
    <w:rsid w:val="001A4526"/>
    <w:rsid w:val="001A499D"/>
    <w:rsid w:val="001B377A"/>
    <w:rsid w:val="001B4F15"/>
    <w:rsid w:val="001B5F44"/>
    <w:rsid w:val="001B692E"/>
    <w:rsid w:val="001B7165"/>
    <w:rsid w:val="001C0353"/>
    <w:rsid w:val="001C3CBA"/>
    <w:rsid w:val="001D24D4"/>
    <w:rsid w:val="001D485E"/>
    <w:rsid w:val="001E4B90"/>
    <w:rsid w:val="001E4DA2"/>
    <w:rsid w:val="001E630D"/>
    <w:rsid w:val="001F1B58"/>
    <w:rsid w:val="001F313D"/>
    <w:rsid w:val="002041AF"/>
    <w:rsid w:val="00205437"/>
    <w:rsid w:val="00217EBB"/>
    <w:rsid w:val="00225AB3"/>
    <w:rsid w:val="00227DBB"/>
    <w:rsid w:val="00232491"/>
    <w:rsid w:val="00233A68"/>
    <w:rsid w:val="00241056"/>
    <w:rsid w:val="00241C96"/>
    <w:rsid w:val="0024258C"/>
    <w:rsid w:val="00245C50"/>
    <w:rsid w:val="0024652B"/>
    <w:rsid w:val="00246849"/>
    <w:rsid w:val="0024721B"/>
    <w:rsid w:val="00255078"/>
    <w:rsid w:val="00264973"/>
    <w:rsid w:val="00267D25"/>
    <w:rsid w:val="0027272F"/>
    <w:rsid w:val="00273FE4"/>
    <w:rsid w:val="002742DC"/>
    <w:rsid w:val="00275B68"/>
    <w:rsid w:val="00277B6A"/>
    <w:rsid w:val="0028031D"/>
    <w:rsid w:val="00282A1E"/>
    <w:rsid w:val="00284DC9"/>
    <w:rsid w:val="002873C2"/>
    <w:rsid w:val="00291D34"/>
    <w:rsid w:val="00293EF2"/>
    <w:rsid w:val="00294567"/>
    <w:rsid w:val="00294730"/>
    <w:rsid w:val="002970DF"/>
    <w:rsid w:val="00297412"/>
    <w:rsid w:val="002974C0"/>
    <w:rsid w:val="002A4C02"/>
    <w:rsid w:val="002B15AF"/>
    <w:rsid w:val="002B30FF"/>
    <w:rsid w:val="002C00A7"/>
    <w:rsid w:val="002C159D"/>
    <w:rsid w:val="002C28C7"/>
    <w:rsid w:val="002C37D4"/>
    <w:rsid w:val="002C4AA8"/>
    <w:rsid w:val="002D1B78"/>
    <w:rsid w:val="002D7922"/>
    <w:rsid w:val="002E0C56"/>
    <w:rsid w:val="002E5C17"/>
    <w:rsid w:val="002F343E"/>
    <w:rsid w:val="002F441E"/>
    <w:rsid w:val="003107AC"/>
    <w:rsid w:val="00310E79"/>
    <w:rsid w:val="00310F07"/>
    <w:rsid w:val="00315537"/>
    <w:rsid w:val="00321CD2"/>
    <w:rsid w:val="00323850"/>
    <w:rsid w:val="003268DE"/>
    <w:rsid w:val="00326DE3"/>
    <w:rsid w:val="00330A48"/>
    <w:rsid w:val="00337275"/>
    <w:rsid w:val="0034381F"/>
    <w:rsid w:val="00343918"/>
    <w:rsid w:val="00346E3C"/>
    <w:rsid w:val="003520A2"/>
    <w:rsid w:val="00356A31"/>
    <w:rsid w:val="00357E5D"/>
    <w:rsid w:val="003604CB"/>
    <w:rsid w:val="00360B66"/>
    <w:rsid w:val="00361693"/>
    <w:rsid w:val="00365641"/>
    <w:rsid w:val="00370A08"/>
    <w:rsid w:val="00375EBE"/>
    <w:rsid w:val="00377A5D"/>
    <w:rsid w:val="00377CFA"/>
    <w:rsid w:val="0038026E"/>
    <w:rsid w:val="00380672"/>
    <w:rsid w:val="0038325D"/>
    <w:rsid w:val="00383DCB"/>
    <w:rsid w:val="00384268"/>
    <w:rsid w:val="0038617B"/>
    <w:rsid w:val="0039203C"/>
    <w:rsid w:val="003932A6"/>
    <w:rsid w:val="00394FFA"/>
    <w:rsid w:val="003A1DA0"/>
    <w:rsid w:val="003A737B"/>
    <w:rsid w:val="003B2B4F"/>
    <w:rsid w:val="003B2BB8"/>
    <w:rsid w:val="003B2ED2"/>
    <w:rsid w:val="003B37A9"/>
    <w:rsid w:val="003B41D6"/>
    <w:rsid w:val="003B507E"/>
    <w:rsid w:val="003B649D"/>
    <w:rsid w:val="003C2563"/>
    <w:rsid w:val="003D0994"/>
    <w:rsid w:val="003D34FF"/>
    <w:rsid w:val="003D42FD"/>
    <w:rsid w:val="003D5E68"/>
    <w:rsid w:val="003D7177"/>
    <w:rsid w:val="003E05DA"/>
    <w:rsid w:val="003E26A7"/>
    <w:rsid w:val="003E2E7C"/>
    <w:rsid w:val="003E418D"/>
    <w:rsid w:val="003E55E5"/>
    <w:rsid w:val="003E6858"/>
    <w:rsid w:val="003E775A"/>
    <w:rsid w:val="003F1A41"/>
    <w:rsid w:val="003F1D86"/>
    <w:rsid w:val="003F39F0"/>
    <w:rsid w:val="003F3EE4"/>
    <w:rsid w:val="003F5B61"/>
    <w:rsid w:val="003F6F19"/>
    <w:rsid w:val="00400E0A"/>
    <w:rsid w:val="0040278F"/>
    <w:rsid w:val="00403C46"/>
    <w:rsid w:val="00407198"/>
    <w:rsid w:val="00420606"/>
    <w:rsid w:val="00431B3B"/>
    <w:rsid w:val="00431E33"/>
    <w:rsid w:val="00433668"/>
    <w:rsid w:val="0044066A"/>
    <w:rsid w:val="004530D5"/>
    <w:rsid w:val="004544F5"/>
    <w:rsid w:val="00461705"/>
    <w:rsid w:val="0046470F"/>
    <w:rsid w:val="004678C6"/>
    <w:rsid w:val="00476783"/>
    <w:rsid w:val="00480794"/>
    <w:rsid w:val="00486241"/>
    <w:rsid w:val="00491E7D"/>
    <w:rsid w:val="004A2184"/>
    <w:rsid w:val="004B0A1B"/>
    <w:rsid w:val="004B14F2"/>
    <w:rsid w:val="004B2D9A"/>
    <w:rsid w:val="004B54CA"/>
    <w:rsid w:val="004C0723"/>
    <w:rsid w:val="004C1725"/>
    <w:rsid w:val="004C28EB"/>
    <w:rsid w:val="004C3DB1"/>
    <w:rsid w:val="004C74FE"/>
    <w:rsid w:val="004D3BB1"/>
    <w:rsid w:val="004D3C91"/>
    <w:rsid w:val="004D59C9"/>
    <w:rsid w:val="004D6655"/>
    <w:rsid w:val="004E0A33"/>
    <w:rsid w:val="004E2D9F"/>
    <w:rsid w:val="004E5A03"/>
    <w:rsid w:val="004E5CBF"/>
    <w:rsid w:val="004E6074"/>
    <w:rsid w:val="004F1A18"/>
    <w:rsid w:val="004F367C"/>
    <w:rsid w:val="004F5818"/>
    <w:rsid w:val="005025F9"/>
    <w:rsid w:val="005035BF"/>
    <w:rsid w:val="005038DA"/>
    <w:rsid w:val="0050772F"/>
    <w:rsid w:val="00507FFB"/>
    <w:rsid w:val="00511EE8"/>
    <w:rsid w:val="00512007"/>
    <w:rsid w:val="00515C51"/>
    <w:rsid w:val="005206B0"/>
    <w:rsid w:val="00525B37"/>
    <w:rsid w:val="00535B6C"/>
    <w:rsid w:val="00535BF3"/>
    <w:rsid w:val="00542051"/>
    <w:rsid w:val="005421CC"/>
    <w:rsid w:val="00542685"/>
    <w:rsid w:val="005432CB"/>
    <w:rsid w:val="00543CF1"/>
    <w:rsid w:val="00546687"/>
    <w:rsid w:val="00547D2E"/>
    <w:rsid w:val="00554557"/>
    <w:rsid w:val="0055585E"/>
    <w:rsid w:val="00555D48"/>
    <w:rsid w:val="00555E4F"/>
    <w:rsid w:val="00556378"/>
    <w:rsid w:val="00557875"/>
    <w:rsid w:val="00560333"/>
    <w:rsid w:val="005609B3"/>
    <w:rsid w:val="00561506"/>
    <w:rsid w:val="00563A3F"/>
    <w:rsid w:val="005676B8"/>
    <w:rsid w:val="005703F0"/>
    <w:rsid w:val="00570B96"/>
    <w:rsid w:val="00570D62"/>
    <w:rsid w:val="00571B51"/>
    <w:rsid w:val="0057590D"/>
    <w:rsid w:val="005764A2"/>
    <w:rsid w:val="00581F28"/>
    <w:rsid w:val="00585D5F"/>
    <w:rsid w:val="00596695"/>
    <w:rsid w:val="005A7449"/>
    <w:rsid w:val="005B1B21"/>
    <w:rsid w:val="005B3540"/>
    <w:rsid w:val="005B7541"/>
    <w:rsid w:val="005C07D4"/>
    <w:rsid w:val="005C34C1"/>
    <w:rsid w:val="005C3AA9"/>
    <w:rsid w:val="005C7C85"/>
    <w:rsid w:val="005D188D"/>
    <w:rsid w:val="005D2E24"/>
    <w:rsid w:val="005E3174"/>
    <w:rsid w:val="005E56AC"/>
    <w:rsid w:val="005E682A"/>
    <w:rsid w:val="005F0073"/>
    <w:rsid w:val="005F1A3C"/>
    <w:rsid w:val="005F5221"/>
    <w:rsid w:val="006018F6"/>
    <w:rsid w:val="00601A06"/>
    <w:rsid w:val="0060275D"/>
    <w:rsid w:val="006037BA"/>
    <w:rsid w:val="00605636"/>
    <w:rsid w:val="006068FA"/>
    <w:rsid w:val="006102B7"/>
    <w:rsid w:val="0061316D"/>
    <w:rsid w:val="00613BD8"/>
    <w:rsid w:val="006147B6"/>
    <w:rsid w:val="006163A9"/>
    <w:rsid w:val="00621FC5"/>
    <w:rsid w:val="00623B22"/>
    <w:rsid w:val="006244AF"/>
    <w:rsid w:val="0062499C"/>
    <w:rsid w:val="006304EE"/>
    <w:rsid w:val="0063662E"/>
    <w:rsid w:val="006367E8"/>
    <w:rsid w:val="00637B02"/>
    <w:rsid w:val="00637F1B"/>
    <w:rsid w:val="00641038"/>
    <w:rsid w:val="006442FB"/>
    <w:rsid w:val="00644B50"/>
    <w:rsid w:val="006475E4"/>
    <w:rsid w:val="00650551"/>
    <w:rsid w:val="00651823"/>
    <w:rsid w:val="00651FA4"/>
    <w:rsid w:val="0066092A"/>
    <w:rsid w:val="0066230F"/>
    <w:rsid w:val="0066270A"/>
    <w:rsid w:val="006636B4"/>
    <w:rsid w:val="00666BDD"/>
    <w:rsid w:val="00667C0C"/>
    <w:rsid w:val="00673E97"/>
    <w:rsid w:val="006743BE"/>
    <w:rsid w:val="00677C26"/>
    <w:rsid w:val="006808E8"/>
    <w:rsid w:val="00683A84"/>
    <w:rsid w:val="00683D62"/>
    <w:rsid w:val="00687DB8"/>
    <w:rsid w:val="00692C4A"/>
    <w:rsid w:val="00694BFE"/>
    <w:rsid w:val="006A15D5"/>
    <w:rsid w:val="006A26D7"/>
    <w:rsid w:val="006A4CE7"/>
    <w:rsid w:val="006A7896"/>
    <w:rsid w:val="006B0585"/>
    <w:rsid w:val="006C2076"/>
    <w:rsid w:val="006C2B38"/>
    <w:rsid w:val="006D0FE3"/>
    <w:rsid w:val="006D10CE"/>
    <w:rsid w:val="006D39EF"/>
    <w:rsid w:val="006D692A"/>
    <w:rsid w:val="006D746D"/>
    <w:rsid w:val="006D7841"/>
    <w:rsid w:val="006E3123"/>
    <w:rsid w:val="006E7495"/>
    <w:rsid w:val="006E75F9"/>
    <w:rsid w:val="006F4A5E"/>
    <w:rsid w:val="006F5903"/>
    <w:rsid w:val="006F5F75"/>
    <w:rsid w:val="0070368B"/>
    <w:rsid w:val="00712E50"/>
    <w:rsid w:val="0071389D"/>
    <w:rsid w:val="00717B01"/>
    <w:rsid w:val="0072072D"/>
    <w:rsid w:val="00723DFC"/>
    <w:rsid w:val="00724BB3"/>
    <w:rsid w:val="00726D5E"/>
    <w:rsid w:val="00727B9C"/>
    <w:rsid w:val="00732E00"/>
    <w:rsid w:val="0073482D"/>
    <w:rsid w:val="00735DA2"/>
    <w:rsid w:val="007417C8"/>
    <w:rsid w:val="00742059"/>
    <w:rsid w:val="00745875"/>
    <w:rsid w:val="00746FA4"/>
    <w:rsid w:val="0075308E"/>
    <w:rsid w:val="0075559A"/>
    <w:rsid w:val="00755F95"/>
    <w:rsid w:val="0075705A"/>
    <w:rsid w:val="00760D6E"/>
    <w:rsid w:val="00762F8B"/>
    <w:rsid w:val="00764215"/>
    <w:rsid w:val="007643A5"/>
    <w:rsid w:val="00764BE0"/>
    <w:rsid w:val="007703B9"/>
    <w:rsid w:val="007718D4"/>
    <w:rsid w:val="00773A96"/>
    <w:rsid w:val="007826F5"/>
    <w:rsid w:val="00785261"/>
    <w:rsid w:val="007871A9"/>
    <w:rsid w:val="00787993"/>
    <w:rsid w:val="00791E9B"/>
    <w:rsid w:val="00794019"/>
    <w:rsid w:val="00795302"/>
    <w:rsid w:val="00797BDA"/>
    <w:rsid w:val="007A0FC6"/>
    <w:rsid w:val="007A3349"/>
    <w:rsid w:val="007A5F58"/>
    <w:rsid w:val="007A67D8"/>
    <w:rsid w:val="007A697F"/>
    <w:rsid w:val="007B0256"/>
    <w:rsid w:val="007B0B27"/>
    <w:rsid w:val="007B2360"/>
    <w:rsid w:val="007C5C75"/>
    <w:rsid w:val="007D4355"/>
    <w:rsid w:val="007D4632"/>
    <w:rsid w:val="007D5B62"/>
    <w:rsid w:val="007D75ED"/>
    <w:rsid w:val="007E06D2"/>
    <w:rsid w:val="007E6150"/>
    <w:rsid w:val="007F3240"/>
    <w:rsid w:val="007F465B"/>
    <w:rsid w:val="007F7E41"/>
    <w:rsid w:val="00801697"/>
    <w:rsid w:val="008030B8"/>
    <w:rsid w:val="00807C62"/>
    <w:rsid w:val="0081735E"/>
    <w:rsid w:val="0082009B"/>
    <w:rsid w:val="008202DA"/>
    <w:rsid w:val="008204E5"/>
    <w:rsid w:val="00830B3C"/>
    <w:rsid w:val="00831192"/>
    <w:rsid w:val="0083177B"/>
    <w:rsid w:val="0083334B"/>
    <w:rsid w:val="008343C5"/>
    <w:rsid w:val="00834CC5"/>
    <w:rsid w:val="008403FB"/>
    <w:rsid w:val="008420E5"/>
    <w:rsid w:val="00842A26"/>
    <w:rsid w:val="00847833"/>
    <w:rsid w:val="008522FA"/>
    <w:rsid w:val="008533DE"/>
    <w:rsid w:val="00854777"/>
    <w:rsid w:val="00861989"/>
    <w:rsid w:val="00861BA4"/>
    <w:rsid w:val="008637AB"/>
    <w:rsid w:val="008650FD"/>
    <w:rsid w:val="00865E89"/>
    <w:rsid w:val="00867212"/>
    <w:rsid w:val="00871C41"/>
    <w:rsid w:val="0087200F"/>
    <w:rsid w:val="00872C61"/>
    <w:rsid w:val="00873437"/>
    <w:rsid w:val="008745E9"/>
    <w:rsid w:val="00874EA5"/>
    <w:rsid w:val="008773B9"/>
    <w:rsid w:val="008812DC"/>
    <w:rsid w:val="008831C8"/>
    <w:rsid w:val="008843CD"/>
    <w:rsid w:val="00884D9D"/>
    <w:rsid w:val="00891D9A"/>
    <w:rsid w:val="008A2840"/>
    <w:rsid w:val="008A30A4"/>
    <w:rsid w:val="008A5D06"/>
    <w:rsid w:val="008A797C"/>
    <w:rsid w:val="008B0965"/>
    <w:rsid w:val="008B0CC8"/>
    <w:rsid w:val="008B4E4D"/>
    <w:rsid w:val="008C0DBD"/>
    <w:rsid w:val="008C0DC7"/>
    <w:rsid w:val="008C10E3"/>
    <w:rsid w:val="008C525D"/>
    <w:rsid w:val="008D05C2"/>
    <w:rsid w:val="008D14CE"/>
    <w:rsid w:val="008D3EB1"/>
    <w:rsid w:val="008D4AFD"/>
    <w:rsid w:val="008E4838"/>
    <w:rsid w:val="008E7665"/>
    <w:rsid w:val="008F6769"/>
    <w:rsid w:val="009008B1"/>
    <w:rsid w:val="0090225B"/>
    <w:rsid w:val="0090372D"/>
    <w:rsid w:val="00904D6A"/>
    <w:rsid w:val="009052B4"/>
    <w:rsid w:val="0091362D"/>
    <w:rsid w:val="00913633"/>
    <w:rsid w:val="00913B37"/>
    <w:rsid w:val="009148CB"/>
    <w:rsid w:val="00914955"/>
    <w:rsid w:val="009154A5"/>
    <w:rsid w:val="009165DC"/>
    <w:rsid w:val="00921CCB"/>
    <w:rsid w:val="009225F0"/>
    <w:rsid w:val="00924144"/>
    <w:rsid w:val="00927A31"/>
    <w:rsid w:val="009301CA"/>
    <w:rsid w:val="009334EC"/>
    <w:rsid w:val="0093462C"/>
    <w:rsid w:val="009424E2"/>
    <w:rsid w:val="00945632"/>
    <w:rsid w:val="00946114"/>
    <w:rsid w:val="00952382"/>
    <w:rsid w:val="009528DB"/>
    <w:rsid w:val="00953381"/>
    <w:rsid w:val="00953795"/>
    <w:rsid w:val="00956042"/>
    <w:rsid w:val="0096422A"/>
    <w:rsid w:val="00974189"/>
    <w:rsid w:val="0097490A"/>
    <w:rsid w:val="00975AEF"/>
    <w:rsid w:val="009801CB"/>
    <w:rsid w:val="00980779"/>
    <w:rsid w:val="0098157F"/>
    <w:rsid w:val="009821F3"/>
    <w:rsid w:val="009828A9"/>
    <w:rsid w:val="00982AE1"/>
    <w:rsid w:val="009850F4"/>
    <w:rsid w:val="00987FCA"/>
    <w:rsid w:val="00992B15"/>
    <w:rsid w:val="00993C95"/>
    <w:rsid w:val="00995BE0"/>
    <w:rsid w:val="00995D81"/>
    <w:rsid w:val="009A28EE"/>
    <w:rsid w:val="009A6A36"/>
    <w:rsid w:val="009A7F02"/>
    <w:rsid w:val="009B0AE9"/>
    <w:rsid w:val="009B18C9"/>
    <w:rsid w:val="009B18D4"/>
    <w:rsid w:val="009B1963"/>
    <w:rsid w:val="009B1F5E"/>
    <w:rsid w:val="009C4EB2"/>
    <w:rsid w:val="009C6DDE"/>
    <w:rsid w:val="009D0A17"/>
    <w:rsid w:val="009D0FF8"/>
    <w:rsid w:val="009D4165"/>
    <w:rsid w:val="009E2365"/>
    <w:rsid w:val="009E26A7"/>
    <w:rsid w:val="009E7A3D"/>
    <w:rsid w:val="009F275F"/>
    <w:rsid w:val="009F7DFE"/>
    <w:rsid w:val="00A00177"/>
    <w:rsid w:val="00A04918"/>
    <w:rsid w:val="00A073E9"/>
    <w:rsid w:val="00A16438"/>
    <w:rsid w:val="00A218CE"/>
    <w:rsid w:val="00A221F1"/>
    <w:rsid w:val="00A234F6"/>
    <w:rsid w:val="00A272EE"/>
    <w:rsid w:val="00A30DB9"/>
    <w:rsid w:val="00A32344"/>
    <w:rsid w:val="00A340E8"/>
    <w:rsid w:val="00A40863"/>
    <w:rsid w:val="00A4339E"/>
    <w:rsid w:val="00A46649"/>
    <w:rsid w:val="00A47A9F"/>
    <w:rsid w:val="00A5172A"/>
    <w:rsid w:val="00A51C59"/>
    <w:rsid w:val="00A52E76"/>
    <w:rsid w:val="00A56A74"/>
    <w:rsid w:val="00A656BE"/>
    <w:rsid w:val="00A746EB"/>
    <w:rsid w:val="00A80F74"/>
    <w:rsid w:val="00A81A65"/>
    <w:rsid w:val="00A81A85"/>
    <w:rsid w:val="00A81F8F"/>
    <w:rsid w:val="00A835E5"/>
    <w:rsid w:val="00A90C2E"/>
    <w:rsid w:val="00A9191E"/>
    <w:rsid w:val="00A9208D"/>
    <w:rsid w:val="00A96F95"/>
    <w:rsid w:val="00AA13B2"/>
    <w:rsid w:val="00AA26DF"/>
    <w:rsid w:val="00AA7907"/>
    <w:rsid w:val="00AA7EE9"/>
    <w:rsid w:val="00AB09F5"/>
    <w:rsid w:val="00AB460F"/>
    <w:rsid w:val="00AB6274"/>
    <w:rsid w:val="00AC0A41"/>
    <w:rsid w:val="00AC25D0"/>
    <w:rsid w:val="00AD019A"/>
    <w:rsid w:val="00AD0B0E"/>
    <w:rsid w:val="00AD5113"/>
    <w:rsid w:val="00AD6B4C"/>
    <w:rsid w:val="00AE2F16"/>
    <w:rsid w:val="00AF379C"/>
    <w:rsid w:val="00AF498E"/>
    <w:rsid w:val="00AF4CEE"/>
    <w:rsid w:val="00AF550C"/>
    <w:rsid w:val="00B0025C"/>
    <w:rsid w:val="00B01B5E"/>
    <w:rsid w:val="00B04619"/>
    <w:rsid w:val="00B04ED8"/>
    <w:rsid w:val="00B13522"/>
    <w:rsid w:val="00B1370F"/>
    <w:rsid w:val="00B156EF"/>
    <w:rsid w:val="00B17CAC"/>
    <w:rsid w:val="00B21711"/>
    <w:rsid w:val="00B221DC"/>
    <w:rsid w:val="00B226F4"/>
    <w:rsid w:val="00B2445B"/>
    <w:rsid w:val="00B30DC5"/>
    <w:rsid w:val="00B41146"/>
    <w:rsid w:val="00B44D19"/>
    <w:rsid w:val="00B53C1D"/>
    <w:rsid w:val="00B5428B"/>
    <w:rsid w:val="00B60E24"/>
    <w:rsid w:val="00B622EE"/>
    <w:rsid w:val="00B631A3"/>
    <w:rsid w:val="00B65469"/>
    <w:rsid w:val="00B6546C"/>
    <w:rsid w:val="00B66C95"/>
    <w:rsid w:val="00B671DA"/>
    <w:rsid w:val="00B717AE"/>
    <w:rsid w:val="00B74707"/>
    <w:rsid w:val="00B75B03"/>
    <w:rsid w:val="00B81AAF"/>
    <w:rsid w:val="00B87DEE"/>
    <w:rsid w:val="00B91E3E"/>
    <w:rsid w:val="00B93333"/>
    <w:rsid w:val="00B95441"/>
    <w:rsid w:val="00BA0B68"/>
    <w:rsid w:val="00BA2DB9"/>
    <w:rsid w:val="00BA7ED3"/>
    <w:rsid w:val="00BB0E14"/>
    <w:rsid w:val="00BB117A"/>
    <w:rsid w:val="00BB32AA"/>
    <w:rsid w:val="00BB470F"/>
    <w:rsid w:val="00BB5B07"/>
    <w:rsid w:val="00BB66BE"/>
    <w:rsid w:val="00BC043B"/>
    <w:rsid w:val="00BC10C7"/>
    <w:rsid w:val="00BC6FC5"/>
    <w:rsid w:val="00BD266E"/>
    <w:rsid w:val="00BD399D"/>
    <w:rsid w:val="00BD6EAA"/>
    <w:rsid w:val="00BD7C46"/>
    <w:rsid w:val="00BE03E4"/>
    <w:rsid w:val="00BE7148"/>
    <w:rsid w:val="00BF04DC"/>
    <w:rsid w:val="00BF4803"/>
    <w:rsid w:val="00C02CEA"/>
    <w:rsid w:val="00C06389"/>
    <w:rsid w:val="00C10ECA"/>
    <w:rsid w:val="00C23CC3"/>
    <w:rsid w:val="00C32321"/>
    <w:rsid w:val="00C32E7D"/>
    <w:rsid w:val="00C33274"/>
    <w:rsid w:val="00C35256"/>
    <w:rsid w:val="00C3568C"/>
    <w:rsid w:val="00C36330"/>
    <w:rsid w:val="00C36901"/>
    <w:rsid w:val="00C408EC"/>
    <w:rsid w:val="00C40C6C"/>
    <w:rsid w:val="00C416CC"/>
    <w:rsid w:val="00C423A8"/>
    <w:rsid w:val="00C434B8"/>
    <w:rsid w:val="00C458FF"/>
    <w:rsid w:val="00C47E0C"/>
    <w:rsid w:val="00C51651"/>
    <w:rsid w:val="00C519C8"/>
    <w:rsid w:val="00C60E4F"/>
    <w:rsid w:val="00C60E5E"/>
    <w:rsid w:val="00C618F6"/>
    <w:rsid w:val="00C6428C"/>
    <w:rsid w:val="00C64868"/>
    <w:rsid w:val="00C653F8"/>
    <w:rsid w:val="00C6708F"/>
    <w:rsid w:val="00C70DB0"/>
    <w:rsid w:val="00C71885"/>
    <w:rsid w:val="00C832E6"/>
    <w:rsid w:val="00C838E0"/>
    <w:rsid w:val="00C84DD7"/>
    <w:rsid w:val="00C855FF"/>
    <w:rsid w:val="00C92BA1"/>
    <w:rsid w:val="00CA2A45"/>
    <w:rsid w:val="00CB5863"/>
    <w:rsid w:val="00CC0BDF"/>
    <w:rsid w:val="00CC14B2"/>
    <w:rsid w:val="00CC1AB9"/>
    <w:rsid w:val="00CC2C0D"/>
    <w:rsid w:val="00CC4DDD"/>
    <w:rsid w:val="00CC7A21"/>
    <w:rsid w:val="00CD3F62"/>
    <w:rsid w:val="00CE0EBC"/>
    <w:rsid w:val="00CE344E"/>
    <w:rsid w:val="00CE6843"/>
    <w:rsid w:val="00CE7094"/>
    <w:rsid w:val="00CF149D"/>
    <w:rsid w:val="00CF53C2"/>
    <w:rsid w:val="00D0201A"/>
    <w:rsid w:val="00D03B63"/>
    <w:rsid w:val="00D06FD8"/>
    <w:rsid w:val="00D21B15"/>
    <w:rsid w:val="00D225E3"/>
    <w:rsid w:val="00D24574"/>
    <w:rsid w:val="00D24858"/>
    <w:rsid w:val="00D33346"/>
    <w:rsid w:val="00D33434"/>
    <w:rsid w:val="00D35519"/>
    <w:rsid w:val="00D3630C"/>
    <w:rsid w:val="00D44FDB"/>
    <w:rsid w:val="00D51316"/>
    <w:rsid w:val="00D54B9E"/>
    <w:rsid w:val="00D55885"/>
    <w:rsid w:val="00D60014"/>
    <w:rsid w:val="00D63FAE"/>
    <w:rsid w:val="00D658D2"/>
    <w:rsid w:val="00D679B3"/>
    <w:rsid w:val="00D71277"/>
    <w:rsid w:val="00D71480"/>
    <w:rsid w:val="00D71541"/>
    <w:rsid w:val="00D7172F"/>
    <w:rsid w:val="00D77A02"/>
    <w:rsid w:val="00D8168E"/>
    <w:rsid w:val="00D8364B"/>
    <w:rsid w:val="00D85058"/>
    <w:rsid w:val="00D87BA8"/>
    <w:rsid w:val="00D929FD"/>
    <w:rsid w:val="00D9513F"/>
    <w:rsid w:val="00DA01CC"/>
    <w:rsid w:val="00DA0537"/>
    <w:rsid w:val="00DA180E"/>
    <w:rsid w:val="00DA243A"/>
    <w:rsid w:val="00DA3583"/>
    <w:rsid w:val="00DA4F2B"/>
    <w:rsid w:val="00DA51B6"/>
    <w:rsid w:val="00DB276C"/>
    <w:rsid w:val="00DB4579"/>
    <w:rsid w:val="00DB5C3B"/>
    <w:rsid w:val="00DC080F"/>
    <w:rsid w:val="00DC61DB"/>
    <w:rsid w:val="00DD75B7"/>
    <w:rsid w:val="00DE5BBD"/>
    <w:rsid w:val="00DF2604"/>
    <w:rsid w:val="00DF32DA"/>
    <w:rsid w:val="00DF4E39"/>
    <w:rsid w:val="00DF5F1C"/>
    <w:rsid w:val="00E0052D"/>
    <w:rsid w:val="00E00E10"/>
    <w:rsid w:val="00E031D0"/>
    <w:rsid w:val="00E04273"/>
    <w:rsid w:val="00E06D9E"/>
    <w:rsid w:val="00E12351"/>
    <w:rsid w:val="00E20823"/>
    <w:rsid w:val="00E2148A"/>
    <w:rsid w:val="00E227F9"/>
    <w:rsid w:val="00E24487"/>
    <w:rsid w:val="00E273E4"/>
    <w:rsid w:val="00E27D40"/>
    <w:rsid w:val="00E30AD8"/>
    <w:rsid w:val="00E3220A"/>
    <w:rsid w:val="00E34268"/>
    <w:rsid w:val="00E41E13"/>
    <w:rsid w:val="00E52A9E"/>
    <w:rsid w:val="00E53E49"/>
    <w:rsid w:val="00E57D71"/>
    <w:rsid w:val="00E625E6"/>
    <w:rsid w:val="00E63A89"/>
    <w:rsid w:val="00E66272"/>
    <w:rsid w:val="00E67319"/>
    <w:rsid w:val="00E67DB6"/>
    <w:rsid w:val="00E7233A"/>
    <w:rsid w:val="00E83902"/>
    <w:rsid w:val="00E83924"/>
    <w:rsid w:val="00E84E6F"/>
    <w:rsid w:val="00E85CB9"/>
    <w:rsid w:val="00E87981"/>
    <w:rsid w:val="00E929A3"/>
    <w:rsid w:val="00E92FF4"/>
    <w:rsid w:val="00E95BF3"/>
    <w:rsid w:val="00E97586"/>
    <w:rsid w:val="00EA455C"/>
    <w:rsid w:val="00EB08C5"/>
    <w:rsid w:val="00EB6083"/>
    <w:rsid w:val="00EB716E"/>
    <w:rsid w:val="00EC07E8"/>
    <w:rsid w:val="00EC6DD5"/>
    <w:rsid w:val="00ED1BE3"/>
    <w:rsid w:val="00ED438E"/>
    <w:rsid w:val="00EE13EA"/>
    <w:rsid w:val="00EE1F7C"/>
    <w:rsid w:val="00EE5C1A"/>
    <w:rsid w:val="00EE7CE6"/>
    <w:rsid w:val="00EF0FA9"/>
    <w:rsid w:val="00EF1738"/>
    <w:rsid w:val="00EF2E7C"/>
    <w:rsid w:val="00EF3592"/>
    <w:rsid w:val="00EF3E5B"/>
    <w:rsid w:val="00EF794D"/>
    <w:rsid w:val="00F00105"/>
    <w:rsid w:val="00F015FA"/>
    <w:rsid w:val="00F13038"/>
    <w:rsid w:val="00F13595"/>
    <w:rsid w:val="00F17379"/>
    <w:rsid w:val="00F23A26"/>
    <w:rsid w:val="00F30AFE"/>
    <w:rsid w:val="00F342F3"/>
    <w:rsid w:val="00F40962"/>
    <w:rsid w:val="00F40D9C"/>
    <w:rsid w:val="00F42963"/>
    <w:rsid w:val="00F43711"/>
    <w:rsid w:val="00F453F2"/>
    <w:rsid w:val="00F50652"/>
    <w:rsid w:val="00F60A54"/>
    <w:rsid w:val="00F656CB"/>
    <w:rsid w:val="00F73769"/>
    <w:rsid w:val="00F73B2A"/>
    <w:rsid w:val="00F74CCB"/>
    <w:rsid w:val="00F77FBC"/>
    <w:rsid w:val="00F83FF8"/>
    <w:rsid w:val="00F852D1"/>
    <w:rsid w:val="00F85840"/>
    <w:rsid w:val="00F8601C"/>
    <w:rsid w:val="00F91E57"/>
    <w:rsid w:val="00F95D36"/>
    <w:rsid w:val="00F97DFF"/>
    <w:rsid w:val="00FA2A40"/>
    <w:rsid w:val="00FA3232"/>
    <w:rsid w:val="00FA79FB"/>
    <w:rsid w:val="00FB738C"/>
    <w:rsid w:val="00FC0EFD"/>
    <w:rsid w:val="00FC16A0"/>
    <w:rsid w:val="00FC49C3"/>
    <w:rsid w:val="00FC6AE5"/>
    <w:rsid w:val="00FD5529"/>
    <w:rsid w:val="00FD7089"/>
    <w:rsid w:val="00FE10D3"/>
    <w:rsid w:val="00FE2AE6"/>
    <w:rsid w:val="00FE4AFD"/>
    <w:rsid w:val="00FE5423"/>
    <w:rsid w:val="00FE6685"/>
    <w:rsid w:val="00FF1957"/>
    <w:rsid w:val="00FF2DBC"/>
    <w:rsid w:val="00FF5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EB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TOC1">
    <w:name w:val="toc 1"/>
    <w:basedOn w:val="Normal"/>
    <w:next w:val="Normal"/>
    <w:autoRedefine/>
    <w:uiPriority w:val="39"/>
    <w:unhideWhenUsed/>
    <w:rsid w:val="00560333"/>
    <w:pPr>
      <w:spacing w:after="100"/>
    </w:pPr>
  </w:style>
  <w:style w:type="paragraph" w:styleId="TOC2">
    <w:name w:val="toc 2"/>
    <w:basedOn w:val="Normal"/>
    <w:next w:val="Normal"/>
    <w:autoRedefine/>
    <w:uiPriority w:val="39"/>
    <w:unhideWhenUsed/>
    <w:rsid w:val="00560333"/>
    <w:pPr>
      <w:spacing w:after="100"/>
      <w:ind w:left="220"/>
    </w:pPr>
  </w:style>
  <w:style w:type="paragraph" w:styleId="TOC3">
    <w:name w:val="toc 3"/>
    <w:basedOn w:val="Normal"/>
    <w:next w:val="Normal"/>
    <w:autoRedefine/>
    <w:uiPriority w:val="39"/>
    <w:unhideWhenUsed/>
    <w:rsid w:val="00560333"/>
    <w:pPr>
      <w:spacing w:after="100"/>
      <w:ind w:left="440"/>
    </w:pPr>
  </w:style>
  <w:style w:type="character" w:styleId="Hyperlink">
    <w:name w:val="Hyperlink"/>
    <w:basedOn w:val="DefaultParagraphFont"/>
    <w:uiPriority w:val="99"/>
    <w:unhideWhenUsed/>
    <w:rsid w:val="00560333"/>
    <w:rPr>
      <w:color w:val="0000FF" w:themeColor="hyperlink"/>
      <w:u w:val="single"/>
    </w:rPr>
  </w:style>
  <w:style w:type="paragraph" w:styleId="FootnoteText">
    <w:name w:val="footnote text"/>
    <w:basedOn w:val="Normal"/>
    <w:link w:val="FootnoteTextChar"/>
    <w:uiPriority w:val="99"/>
    <w:semiHidden/>
    <w:unhideWhenUsed/>
    <w:rsid w:val="00560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333"/>
    <w:rPr>
      <w:rFonts w:ascii="Arial" w:hAnsi="Arial"/>
      <w:sz w:val="20"/>
      <w:szCs w:val="20"/>
    </w:rPr>
  </w:style>
  <w:style w:type="character" w:styleId="FootnoteReference">
    <w:name w:val="footnote reference"/>
    <w:basedOn w:val="DefaultParagraphFont"/>
    <w:uiPriority w:val="99"/>
    <w:semiHidden/>
    <w:unhideWhenUsed/>
    <w:rsid w:val="00560333"/>
    <w:rPr>
      <w:vertAlign w:val="superscript"/>
    </w:rPr>
  </w:style>
  <w:style w:type="character" w:styleId="CommentReference">
    <w:name w:val="annotation reference"/>
    <w:basedOn w:val="DefaultParagraphFont"/>
    <w:uiPriority w:val="99"/>
    <w:semiHidden/>
    <w:unhideWhenUsed/>
    <w:rsid w:val="0066092A"/>
    <w:rPr>
      <w:sz w:val="16"/>
      <w:szCs w:val="16"/>
    </w:rPr>
  </w:style>
  <w:style w:type="paragraph" w:styleId="CommentText">
    <w:name w:val="annotation text"/>
    <w:basedOn w:val="Normal"/>
    <w:link w:val="CommentTextChar"/>
    <w:uiPriority w:val="99"/>
    <w:semiHidden/>
    <w:unhideWhenUsed/>
    <w:rsid w:val="0066092A"/>
    <w:pPr>
      <w:spacing w:line="240" w:lineRule="auto"/>
    </w:pPr>
    <w:rPr>
      <w:sz w:val="20"/>
      <w:szCs w:val="20"/>
    </w:rPr>
  </w:style>
  <w:style w:type="character" w:customStyle="1" w:styleId="CommentTextChar">
    <w:name w:val="Comment Text Char"/>
    <w:basedOn w:val="DefaultParagraphFont"/>
    <w:link w:val="CommentText"/>
    <w:uiPriority w:val="99"/>
    <w:semiHidden/>
    <w:rsid w:val="006609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092A"/>
    <w:rPr>
      <w:b/>
      <w:bCs/>
    </w:rPr>
  </w:style>
  <w:style w:type="character" w:customStyle="1" w:styleId="CommentSubjectChar">
    <w:name w:val="Comment Subject Char"/>
    <w:basedOn w:val="CommentTextChar"/>
    <w:link w:val="CommentSubject"/>
    <w:uiPriority w:val="99"/>
    <w:semiHidden/>
    <w:rsid w:val="0066092A"/>
    <w:rPr>
      <w:rFonts w:ascii="Arial" w:hAnsi="Arial"/>
      <w:b/>
      <w:bCs/>
      <w:sz w:val="20"/>
      <w:szCs w:val="20"/>
    </w:rPr>
  </w:style>
  <w:style w:type="paragraph" w:styleId="BalloonText">
    <w:name w:val="Balloon Text"/>
    <w:basedOn w:val="Normal"/>
    <w:link w:val="BalloonTextChar"/>
    <w:uiPriority w:val="99"/>
    <w:semiHidden/>
    <w:unhideWhenUsed/>
    <w:rsid w:val="0066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2A"/>
    <w:rPr>
      <w:rFonts w:ascii="Segoe UI" w:hAnsi="Segoe UI" w:cs="Segoe UI"/>
      <w:sz w:val="18"/>
      <w:szCs w:val="18"/>
    </w:rPr>
  </w:style>
  <w:style w:type="table" w:customStyle="1" w:styleId="GridTable4-Accent51">
    <w:name w:val="Grid Table 4 - Accent 51"/>
    <w:basedOn w:val="TableNormal"/>
    <w:uiPriority w:val="49"/>
    <w:rsid w:val="00535BF3"/>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Pr/>
      <w:tcPr>
        <w:shd w:val="clear" w:color="auto" w:fill="92CDDC" w:themeFill="accent5" w:themeFillTint="99"/>
      </w:tc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726D5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726D5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26D5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tro">
    <w:name w:val="intro"/>
    <w:basedOn w:val="Normal"/>
    <w:rsid w:val="004B0A1B"/>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BF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ISCommission">
    <w:name w:val="NDIS Commission"/>
    <w:basedOn w:val="ListTable3-Accent2"/>
    <w:uiPriority w:val="99"/>
    <w:rsid w:val="00677C26"/>
    <w:rPr>
      <w:color w:val="000000"/>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styleId="ListTable3-Accent2">
    <w:name w:val="List Table 3 Accent 2"/>
    <w:basedOn w:val="TableNormal"/>
    <w:uiPriority w:val="48"/>
    <w:rsid w:val="00677C2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Numb">
    <w:name w:val="Numb"/>
    <w:basedOn w:val="Normal"/>
    <w:link w:val="NumbChar"/>
    <w:qFormat/>
    <w:rsid w:val="001A40C7"/>
    <w:pPr>
      <w:numPr>
        <w:ilvl w:val="1"/>
        <w:numId w:val="11"/>
      </w:numPr>
      <w:spacing w:after="240" w:line="240" w:lineRule="auto"/>
      <w:ind w:left="567" w:hanging="567"/>
    </w:pPr>
    <w:rPr>
      <w:rFonts w:eastAsia="Arial" w:cs="Arial"/>
      <w:lang w:eastAsia="en-AU"/>
    </w:rPr>
  </w:style>
  <w:style w:type="character" w:customStyle="1" w:styleId="NumbChar">
    <w:name w:val="Numb Char"/>
    <w:basedOn w:val="DefaultParagraphFont"/>
    <w:link w:val="Numb"/>
    <w:rsid w:val="001A40C7"/>
    <w:rPr>
      <w:rFonts w:ascii="Arial" w:eastAsia="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893">
      <w:bodyDiv w:val="1"/>
      <w:marLeft w:val="0"/>
      <w:marRight w:val="0"/>
      <w:marTop w:val="0"/>
      <w:marBottom w:val="0"/>
      <w:divBdr>
        <w:top w:val="none" w:sz="0" w:space="0" w:color="auto"/>
        <w:left w:val="none" w:sz="0" w:space="0" w:color="auto"/>
        <w:bottom w:val="none" w:sz="0" w:space="0" w:color="auto"/>
        <w:right w:val="none" w:sz="0" w:space="0" w:color="auto"/>
      </w:divBdr>
    </w:div>
    <w:div w:id="114177208">
      <w:bodyDiv w:val="1"/>
      <w:marLeft w:val="0"/>
      <w:marRight w:val="0"/>
      <w:marTop w:val="0"/>
      <w:marBottom w:val="0"/>
      <w:divBdr>
        <w:top w:val="none" w:sz="0" w:space="0" w:color="auto"/>
        <w:left w:val="none" w:sz="0" w:space="0" w:color="auto"/>
        <w:bottom w:val="none" w:sz="0" w:space="0" w:color="auto"/>
        <w:right w:val="none" w:sz="0" w:space="0" w:color="auto"/>
      </w:divBdr>
    </w:div>
    <w:div w:id="140272314">
      <w:bodyDiv w:val="1"/>
      <w:marLeft w:val="0"/>
      <w:marRight w:val="0"/>
      <w:marTop w:val="0"/>
      <w:marBottom w:val="0"/>
      <w:divBdr>
        <w:top w:val="none" w:sz="0" w:space="0" w:color="auto"/>
        <w:left w:val="none" w:sz="0" w:space="0" w:color="auto"/>
        <w:bottom w:val="none" w:sz="0" w:space="0" w:color="auto"/>
        <w:right w:val="none" w:sz="0" w:space="0" w:color="auto"/>
      </w:divBdr>
    </w:div>
    <w:div w:id="142627324">
      <w:bodyDiv w:val="1"/>
      <w:marLeft w:val="0"/>
      <w:marRight w:val="0"/>
      <w:marTop w:val="0"/>
      <w:marBottom w:val="0"/>
      <w:divBdr>
        <w:top w:val="none" w:sz="0" w:space="0" w:color="auto"/>
        <w:left w:val="none" w:sz="0" w:space="0" w:color="auto"/>
        <w:bottom w:val="none" w:sz="0" w:space="0" w:color="auto"/>
        <w:right w:val="none" w:sz="0" w:space="0" w:color="auto"/>
      </w:divBdr>
    </w:div>
    <w:div w:id="175048789">
      <w:bodyDiv w:val="1"/>
      <w:marLeft w:val="0"/>
      <w:marRight w:val="0"/>
      <w:marTop w:val="0"/>
      <w:marBottom w:val="0"/>
      <w:divBdr>
        <w:top w:val="none" w:sz="0" w:space="0" w:color="auto"/>
        <w:left w:val="none" w:sz="0" w:space="0" w:color="auto"/>
        <w:bottom w:val="none" w:sz="0" w:space="0" w:color="auto"/>
        <w:right w:val="none" w:sz="0" w:space="0" w:color="auto"/>
      </w:divBdr>
    </w:div>
    <w:div w:id="226689732">
      <w:bodyDiv w:val="1"/>
      <w:marLeft w:val="0"/>
      <w:marRight w:val="0"/>
      <w:marTop w:val="0"/>
      <w:marBottom w:val="0"/>
      <w:divBdr>
        <w:top w:val="none" w:sz="0" w:space="0" w:color="auto"/>
        <w:left w:val="none" w:sz="0" w:space="0" w:color="auto"/>
        <w:bottom w:val="none" w:sz="0" w:space="0" w:color="auto"/>
        <w:right w:val="none" w:sz="0" w:space="0" w:color="auto"/>
      </w:divBdr>
    </w:div>
    <w:div w:id="235868456">
      <w:bodyDiv w:val="1"/>
      <w:marLeft w:val="0"/>
      <w:marRight w:val="0"/>
      <w:marTop w:val="0"/>
      <w:marBottom w:val="0"/>
      <w:divBdr>
        <w:top w:val="none" w:sz="0" w:space="0" w:color="auto"/>
        <w:left w:val="none" w:sz="0" w:space="0" w:color="auto"/>
        <w:bottom w:val="none" w:sz="0" w:space="0" w:color="auto"/>
        <w:right w:val="none" w:sz="0" w:space="0" w:color="auto"/>
      </w:divBdr>
    </w:div>
    <w:div w:id="237133790">
      <w:bodyDiv w:val="1"/>
      <w:marLeft w:val="0"/>
      <w:marRight w:val="0"/>
      <w:marTop w:val="0"/>
      <w:marBottom w:val="0"/>
      <w:divBdr>
        <w:top w:val="none" w:sz="0" w:space="0" w:color="auto"/>
        <w:left w:val="none" w:sz="0" w:space="0" w:color="auto"/>
        <w:bottom w:val="none" w:sz="0" w:space="0" w:color="auto"/>
        <w:right w:val="none" w:sz="0" w:space="0" w:color="auto"/>
      </w:divBdr>
    </w:div>
    <w:div w:id="246308186">
      <w:bodyDiv w:val="1"/>
      <w:marLeft w:val="0"/>
      <w:marRight w:val="0"/>
      <w:marTop w:val="0"/>
      <w:marBottom w:val="0"/>
      <w:divBdr>
        <w:top w:val="none" w:sz="0" w:space="0" w:color="auto"/>
        <w:left w:val="none" w:sz="0" w:space="0" w:color="auto"/>
        <w:bottom w:val="none" w:sz="0" w:space="0" w:color="auto"/>
        <w:right w:val="none" w:sz="0" w:space="0" w:color="auto"/>
      </w:divBdr>
    </w:div>
    <w:div w:id="324628955">
      <w:bodyDiv w:val="1"/>
      <w:marLeft w:val="0"/>
      <w:marRight w:val="0"/>
      <w:marTop w:val="0"/>
      <w:marBottom w:val="0"/>
      <w:divBdr>
        <w:top w:val="none" w:sz="0" w:space="0" w:color="auto"/>
        <w:left w:val="none" w:sz="0" w:space="0" w:color="auto"/>
        <w:bottom w:val="none" w:sz="0" w:space="0" w:color="auto"/>
        <w:right w:val="none" w:sz="0" w:space="0" w:color="auto"/>
      </w:divBdr>
    </w:div>
    <w:div w:id="331416538">
      <w:bodyDiv w:val="1"/>
      <w:marLeft w:val="0"/>
      <w:marRight w:val="0"/>
      <w:marTop w:val="0"/>
      <w:marBottom w:val="0"/>
      <w:divBdr>
        <w:top w:val="none" w:sz="0" w:space="0" w:color="auto"/>
        <w:left w:val="none" w:sz="0" w:space="0" w:color="auto"/>
        <w:bottom w:val="none" w:sz="0" w:space="0" w:color="auto"/>
        <w:right w:val="none" w:sz="0" w:space="0" w:color="auto"/>
      </w:divBdr>
    </w:div>
    <w:div w:id="454712663">
      <w:bodyDiv w:val="1"/>
      <w:marLeft w:val="0"/>
      <w:marRight w:val="0"/>
      <w:marTop w:val="0"/>
      <w:marBottom w:val="0"/>
      <w:divBdr>
        <w:top w:val="none" w:sz="0" w:space="0" w:color="auto"/>
        <w:left w:val="none" w:sz="0" w:space="0" w:color="auto"/>
        <w:bottom w:val="none" w:sz="0" w:space="0" w:color="auto"/>
        <w:right w:val="none" w:sz="0" w:space="0" w:color="auto"/>
      </w:divBdr>
    </w:div>
    <w:div w:id="458382083">
      <w:bodyDiv w:val="1"/>
      <w:marLeft w:val="0"/>
      <w:marRight w:val="0"/>
      <w:marTop w:val="0"/>
      <w:marBottom w:val="0"/>
      <w:divBdr>
        <w:top w:val="none" w:sz="0" w:space="0" w:color="auto"/>
        <w:left w:val="none" w:sz="0" w:space="0" w:color="auto"/>
        <w:bottom w:val="none" w:sz="0" w:space="0" w:color="auto"/>
        <w:right w:val="none" w:sz="0" w:space="0" w:color="auto"/>
      </w:divBdr>
    </w:div>
    <w:div w:id="467015952">
      <w:bodyDiv w:val="1"/>
      <w:marLeft w:val="0"/>
      <w:marRight w:val="0"/>
      <w:marTop w:val="0"/>
      <w:marBottom w:val="0"/>
      <w:divBdr>
        <w:top w:val="none" w:sz="0" w:space="0" w:color="auto"/>
        <w:left w:val="none" w:sz="0" w:space="0" w:color="auto"/>
        <w:bottom w:val="none" w:sz="0" w:space="0" w:color="auto"/>
        <w:right w:val="none" w:sz="0" w:space="0" w:color="auto"/>
      </w:divBdr>
    </w:div>
    <w:div w:id="503670025">
      <w:bodyDiv w:val="1"/>
      <w:marLeft w:val="0"/>
      <w:marRight w:val="0"/>
      <w:marTop w:val="0"/>
      <w:marBottom w:val="0"/>
      <w:divBdr>
        <w:top w:val="none" w:sz="0" w:space="0" w:color="auto"/>
        <w:left w:val="none" w:sz="0" w:space="0" w:color="auto"/>
        <w:bottom w:val="none" w:sz="0" w:space="0" w:color="auto"/>
        <w:right w:val="none" w:sz="0" w:space="0" w:color="auto"/>
      </w:divBdr>
    </w:div>
    <w:div w:id="548105482">
      <w:bodyDiv w:val="1"/>
      <w:marLeft w:val="0"/>
      <w:marRight w:val="0"/>
      <w:marTop w:val="0"/>
      <w:marBottom w:val="0"/>
      <w:divBdr>
        <w:top w:val="none" w:sz="0" w:space="0" w:color="auto"/>
        <w:left w:val="none" w:sz="0" w:space="0" w:color="auto"/>
        <w:bottom w:val="none" w:sz="0" w:space="0" w:color="auto"/>
        <w:right w:val="none" w:sz="0" w:space="0" w:color="auto"/>
      </w:divBdr>
    </w:div>
    <w:div w:id="550116733">
      <w:bodyDiv w:val="1"/>
      <w:marLeft w:val="0"/>
      <w:marRight w:val="0"/>
      <w:marTop w:val="0"/>
      <w:marBottom w:val="0"/>
      <w:divBdr>
        <w:top w:val="none" w:sz="0" w:space="0" w:color="auto"/>
        <w:left w:val="none" w:sz="0" w:space="0" w:color="auto"/>
        <w:bottom w:val="none" w:sz="0" w:space="0" w:color="auto"/>
        <w:right w:val="none" w:sz="0" w:space="0" w:color="auto"/>
      </w:divBdr>
    </w:div>
    <w:div w:id="551313075">
      <w:bodyDiv w:val="1"/>
      <w:marLeft w:val="0"/>
      <w:marRight w:val="0"/>
      <w:marTop w:val="0"/>
      <w:marBottom w:val="0"/>
      <w:divBdr>
        <w:top w:val="none" w:sz="0" w:space="0" w:color="auto"/>
        <w:left w:val="none" w:sz="0" w:space="0" w:color="auto"/>
        <w:bottom w:val="none" w:sz="0" w:space="0" w:color="auto"/>
        <w:right w:val="none" w:sz="0" w:space="0" w:color="auto"/>
      </w:divBdr>
    </w:div>
    <w:div w:id="560478392">
      <w:bodyDiv w:val="1"/>
      <w:marLeft w:val="0"/>
      <w:marRight w:val="0"/>
      <w:marTop w:val="0"/>
      <w:marBottom w:val="0"/>
      <w:divBdr>
        <w:top w:val="none" w:sz="0" w:space="0" w:color="auto"/>
        <w:left w:val="none" w:sz="0" w:space="0" w:color="auto"/>
        <w:bottom w:val="none" w:sz="0" w:space="0" w:color="auto"/>
        <w:right w:val="none" w:sz="0" w:space="0" w:color="auto"/>
      </w:divBdr>
    </w:div>
    <w:div w:id="567687719">
      <w:bodyDiv w:val="1"/>
      <w:marLeft w:val="0"/>
      <w:marRight w:val="0"/>
      <w:marTop w:val="0"/>
      <w:marBottom w:val="0"/>
      <w:divBdr>
        <w:top w:val="none" w:sz="0" w:space="0" w:color="auto"/>
        <w:left w:val="none" w:sz="0" w:space="0" w:color="auto"/>
        <w:bottom w:val="none" w:sz="0" w:space="0" w:color="auto"/>
        <w:right w:val="none" w:sz="0" w:space="0" w:color="auto"/>
      </w:divBdr>
    </w:div>
    <w:div w:id="619844236">
      <w:bodyDiv w:val="1"/>
      <w:marLeft w:val="0"/>
      <w:marRight w:val="0"/>
      <w:marTop w:val="0"/>
      <w:marBottom w:val="0"/>
      <w:divBdr>
        <w:top w:val="none" w:sz="0" w:space="0" w:color="auto"/>
        <w:left w:val="none" w:sz="0" w:space="0" w:color="auto"/>
        <w:bottom w:val="none" w:sz="0" w:space="0" w:color="auto"/>
        <w:right w:val="none" w:sz="0" w:space="0" w:color="auto"/>
      </w:divBdr>
    </w:div>
    <w:div w:id="669983722">
      <w:bodyDiv w:val="1"/>
      <w:marLeft w:val="0"/>
      <w:marRight w:val="0"/>
      <w:marTop w:val="0"/>
      <w:marBottom w:val="0"/>
      <w:divBdr>
        <w:top w:val="none" w:sz="0" w:space="0" w:color="auto"/>
        <w:left w:val="none" w:sz="0" w:space="0" w:color="auto"/>
        <w:bottom w:val="none" w:sz="0" w:space="0" w:color="auto"/>
        <w:right w:val="none" w:sz="0" w:space="0" w:color="auto"/>
      </w:divBdr>
    </w:div>
    <w:div w:id="702052386">
      <w:bodyDiv w:val="1"/>
      <w:marLeft w:val="0"/>
      <w:marRight w:val="0"/>
      <w:marTop w:val="0"/>
      <w:marBottom w:val="0"/>
      <w:divBdr>
        <w:top w:val="none" w:sz="0" w:space="0" w:color="auto"/>
        <w:left w:val="none" w:sz="0" w:space="0" w:color="auto"/>
        <w:bottom w:val="none" w:sz="0" w:space="0" w:color="auto"/>
        <w:right w:val="none" w:sz="0" w:space="0" w:color="auto"/>
      </w:divBdr>
    </w:div>
    <w:div w:id="817764928">
      <w:bodyDiv w:val="1"/>
      <w:marLeft w:val="0"/>
      <w:marRight w:val="0"/>
      <w:marTop w:val="0"/>
      <w:marBottom w:val="0"/>
      <w:divBdr>
        <w:top w:val="none" w:sz="0" w:space="0" w:color="auto"/>
        <w:left w:val="none" w:sz="0" w:space="0" w:color="auto"/>
        <w:bottom w:val="none" w:sz="0" w:space="0" w:color="auto"/>
        <w:right w:val="none" w:sz="0" w:space="0" w:color="auto"/>
      </w:divBdr>
    </w:div>
    <w:div w:id="875892673">
      <w:bodyDiv w:val="1"/>
      <w:marLeft w:val="0"/>
      <w:marRight w:val="0"/>
      <w:marTop w:val="0"/>
      <w:marBottom w:val="0"/>
      <w:divBdr>
        <w:top w:val="none" w:sz="0" w:space="0" w:color="auto"/>
        <w:left w:val="none" w:sz="0" w:space="0" w:color="auto"/>
        <w:bottom w:val="none" w:sz="0" w:space="0" w:color="auto"/>
        <w:right w:val="none" w:sz="0" w:space="0" w:color="auto"/>
      </w:divBdr>
    </w:div>
    <w:div w:id="988873044">
      <w:bodyDiv w:val="1"/>
      <w:marLeft w:val="0"/>
      <w:marRight w:val="0"/>
      <w:marTop w:val="0"/>
      <w:marBottom w:val="0"/>
      <w:divBdr>
        <w:top w:val="none" w:sz="0" w:space="0" w:color="auto"/>
        <w:left w:val="none" w:sz="0" w:space="0" w:color="auto"/>
        <w:bottom w:val="none" w:sz="0" w:space="0" w:color="auto"/>
        <w:right w:val="none" w:sz="0" w:space="0" w:color="auto"/>
      </w:divBdr>
    </w:div>
    <w:div w:id="1015300389">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38503922">
      <w:bodyDiv w:val="1"/>
      <w:marLeft w:val="0"/>
      <w:marRight w:val="0"/>
      <w:marTop w:val="0"/>
      <w:marBottom w:val="0"/>
      <w:divBdr>
        <w:top w:val="none" w:sz="0" w:space="0" w:color="auto"/>
        <w:left w:val="none" w:sz="0" w:space="0" w:color="auto"/>
        <w:bottom w:val="none" w:sz="0" w:space="0" w:color="auto"/>
        <w:right w:val="none" w:sz="0" w:space="0" w:color="auto"/>
      </w:divBdr>
    </w:div>
    <w:div w:id="1040593713">
      <w:bodyDiv w:val="1"/>
      <w:marLeft w:val="0"/>
      <w:marRight w:val="0"/>
      <w:marTop w:val="0"/>
      <w:marBottom w:val="0"/>
      <w:divBdr>
        <w:top w:val="none" w:sz="0" w:space="0" w:color="auto"/>
        <w:left w:val="none" w:sz="0" w:space="0" w:color="auto"/>
        <w:bottom w:val="none" w:sz="0" w:space="0" w:color="auto"/>
        <w:right w:val="none" w:sz="0" w:space="0" w:color="auto"/>
      </w:divBdr>
    </w:div>
    <w:div w:id="1053693219">
      <w:bodyDiv w:val="1"/>
      <w:marLeft w:val="0"/>
      <w:marRight w:val="0"/>
      <w:marTop w:val="0"/>
      <w:marBottom w:val="0"/>
      <w:divBdr>
        <w:top w:val="none" w:sz="0" w:space="0" w:color="auto"/>
        <w:left w:val="none" w:sz="0" w:space="0" w:color="auto"/>
        <w:bottom w:val="none" w:sz="0" w:space="0" w:color="auto"/>
        <w:right w:val="none" w:sz="0" w:space="0" w:color="auto"/>
      </w:divBdr>
    </w:div>
    <w:div w:id="1122304499">
      <w:bodyDiv w:val="1"/>
      <w:marLeft w:val="0"/>
      <w:marRight w:val="0"/>
      <w:marTop w:val="0"/>
      <w:marBottom w:val="0"/>
      <w:divBdr>
        <w:top w:val="none" w:sz="0" w:space="0" w:color="auto"/>
        <w:left w:val="none" w:sz="0" w:space="0" w:color="auto"/>
        <w:bottom w:val="none" w:sz="0" w:space="0" w:color="auto"/>
        <w:right w:val="none" w:sz="0" w:space="0" w:color="auto"/>
      </w:divBdr>
    </w:div>
    <w:div w:id="1123966452">
      <w:bodyDiv w:val="1"/>
      <w:marLeft w:val="0"/>
      <w:marRight w:val="0"/>
      <w:marTop w:val="0"/>
      <w:marBottom w:val="0"/>
      <w:divBdr>
        <w:top w:val="none" w:sz="0" w:space="0" w:color="auto"/>
        <w:left w:val="none" w:sz="0" w:space="0" w:color="auto"/>
        <w:bottom w:val="none" w:sz="0" w:space="0" w:color="auto"/>
        <w:right w:val="none" w:sz="0" w:space="0" w:color="auto"/>
      </w:divBdr>
    </w:div>
    <w:div w:id="1215656833">
      <w:bodyDiv w:val="1"/>
      <w:marLeft w:val="0"/>
      <w:marRight w:val="0"/>
      <w:marTop w:val="0"/>
      <w:marBottom w:val="0"/>
      <w:divBdr>
        <w:top w:val="none" w:sz="0" w:space="0" w:color="auto"/>
        <w:left w:val="none" w:sz="0" w:space="0" w:color="auto"/>
        <w:bottom w:val="none" w:sz="0" w:space="0" w:color="auto"/>
        <w:right w:val="none" w:sz="0" w:space="0" w:color="auto"/>
      </w:divBdr>
    </w:div>
    <w:div w:id="1290548499">
      <w:bodyDiv w:val="1"/>
      <w:marLeft w:val="0"/>
      <w:marRight w:val="0"/>
      <w:marTop w:val="0"/>
      <w:marBottom w:val="0"/>
      <w:divBdr>
        <w:top w:val="none" w:sz="0" w:space="0" w:color="auto"/>
        <w:left w:val="none" w:sz="0" w:space="0" w:color="auto"/>
        <w:bottom w:val="none" w:sz="0" w:space="0" w:color="auto"/>
        <w:right w:val="none" w:sz="0" w:space="0" w:color="auto"/>
      </w:divBdr>
    </w:div>
    <w:div w:id="1302610303">
      <w:bodyDiv w:val="1"/>
      <w:marLeft w:val="0"/>
      <w:marRight w:val="0"/>
      <w:marTop w:val="0"/>
      <w:marBottom w:val="0"/>
      <w:divBdr>
        <w:top w:val="none" w:sz="0" w:space="0" w:color="auto"/>
        <w:left w:val="none" w:sz="0" w:space="0" w:color="auto"/>
        <w:bottom w:val="none" w:sz="0" w:space="0" w:color="auto"/>
        <w:right w:val="none" w:sz="0" w:space="0" w:color="auto"/>
      </w:divBdr>
    </w:div>
    <w:div w:id="1312557755">
      <w:bodyDiv w:val="1"/>
      <w:marLeft w:val="0"/>
      <w:marRight w:val="0"/>
      <w:marTop w:val="0"/>
      <w:marBottom w:val="0"/>
      <w:divBdr>
        <w:top w:val="none" w:sz="0" w:space="0" w:color="auto"/>
        <w:left w:val="none" w:sz="0" w:space="0" w:color="auto"/>
        <w:bottom w:val="none" w:sz="0" w:space="0" w:color="auto"/>
        <w:right w:val="none" w:sz="0" w:space="0" w:color="auto"/>
      </w:divBdr>
    </w:div>
    <w:div w:id="1360551072">
      <w:bodyDiv w:val="1"/>
      <w:marLeft w:val="0"/>
      <w:marRight w:val="0"/>
      <w:marTop w:val="0"/>
      <w:marBottom w:val="0"/>
      <w:divBdr>
        <w:top w:val="none" w:sz="0" w:space="0" w:color="auto"/>
        <w:left w:val="none" w:sz="0" w:space="0" w:color="auto"/>
        <w:bottom w:val="none" w:sz="0" w:space="0" w:color="auto"/>
        <w:right w:val="none" w:sz="0" w:space="0" w:color="auto"/>
      </w:divBdr>
    </w:div>
    <w:div w:id="1361203485">
      <w:bodyDiv w:val="1"/>
      <w:marLeft w:val="0"/>
      <w:marRight w:val="0"/>
      <w:marTop w:val="0"/>
      <w:marBottom w:val="0"/>
      <w:divBdr>
        <w:top w:val="none" w:sz="0" w:space="0" w:color="auto"/>
        <w:left w:val="none" w:sz="0" w:space="0" w:color="auto"/>
        <w:bottom w:val="none" w:sz="0" w:space="0" w:color="auto"/>
        <w:right w:val="none" w:sz="0" w:space="0" w:color="auto"/>
      </w:divBdr>
    </w:div>
    <w:div w:id="1419403168">
      <w:bodyDiv w:val="1"/>
      <w:marLeft w:val="0"/>
      <w:marRight w:val="0"/>
      <w:marTop w:val="0"/>
      <w:marBottom w:val="0"/>
      <w:divBdr>
        <w:top w:val="none" w:sz="0" w:space="0" w:color="auto"/>
        <w:left w:val="none" w:sz="0" w:space="0" w:color="auto"/>
        <w:bottom w:val="none" w:sz="0" w:space="0" w:color="auto"/>
        <w:right w:val="none" w:sz="0" w:space="0" w:color="auto"/>
      </w:divBdr>
    </w:div>
    <w:div w:id="1469975670">
      <w:bodyDiv w:val="1"/>
      <w:marLeft w:val="0"/>
      <w:marRight w:val="0"/>
      <w:marTop w:val="0"/>
      <w:marBottom w:val="0"/>
      <w:divBdr>
        <w:top w:val="none" w:sz="0" w:space="0" w:color="auto"/>
        <w:left w:val="none" w:sz="0" w:space="0" w:color="auto"/>
        <w:bottom w:val="none" w:sz="0" w:space="0" w:color="auto"/>
        <w:right w:val="none" w:sz="0" w:space="0" w:color="auto"/>
      </w:divBdr>
    </w:div>
    <w:div w:id="1541240110">
      <w:bodyDiv w:val="1"/>
      <w:marLeft w:val="0"/>
      <w:marRight w:val="0"/>
      <w:marTop w:val="0"/>
      <w:marBottom w:val="0"/>
      <w:divBdr>
        <w:top w:val="none" w:sz="0" w:space="0" w:color="auto"/>
        <w:left w:val="none" w:sz="0" w:space="0" w:color="auto"/>
        <w:bottom w:val="none" w:sz="0" w:space="0" w:color="auto"/>
        <w:right w:val="none" w:sz="0" w:space="0" w:color="auto"/>
      </w:divBdr>
    </w:div>
    <w:div w:id="1549756643">
      <w:bodyDiv w:val="1"/>
      <w:marLeft w:val="0"/>
      <w:marRight w:val="0"/>
      <w:marTop w:val="0"/>
      <w:marBottom w:val="0"/>
      <w:divBdr>
        <w:top w:val="none" w:sz="0" w:space="0" w:color="auto"/>
        <w:left w:val="none" w:sz="0" w:space="0" w:color="auto"/>
        <w:bottom w:val="none" w:sz="0" w:space="0" w:color="auto"/>
        <w:right w:val="none" w:sz="0" w:space="0" w:color="auto"/>
      </w:divBdr>
    </w:div>
    <w:div w:id="1582911082">
      <w:bodyDiv w:val="1"/>
      <w:marLeft w:val="0"/>
      <w:marRight w:val="0"/>
      <w:marTop w:val="0"/>
      <w:marBottom w:val="0"/>
      <w:divBdr>
        <w:top w:val="none" w:sz="0" w:space="0" w:color="auto"/>
        <w:left w:val="none" w:sz="0" w:space="0" w:color="auto"/>
        <w:bottom w:val="none" w:sz="0" w:space="0" w:color="auto"/>
        <w:right w:val="none" w:sz="0" w:space="0" w:color="auto"/>
      </w:divBdr>
    </w:div>
    <w:div w:id="1587956313">
      <w:bodyDiv w:val="1"/>
      <w:marLeft w:val="0"/>
      <w:marRight w:val="0"/>
      <w:marTop w:val="0"/>
      <w:marBottom w:val="0"/>
      <w:divBdr>
        <w:top w:val="none" w:sz="0" w:space="0" w:color="auto"/>
        <w:left w:val="none" w:sz="0" w:space="0" w:color="auto"/>
        <w:bottom w:val="none" w:sz="0" w:space="0" w:color="auto"/>
        <w:right w:val="none" w:sz="0" w:space="0" w:color="auto"/>
      </w:divBdr>
    </w:div>
    <w:div w:id="1620137401">
      <w:bodyDiv w:val="1"/>
      <w:marLeft w:val="0"/>
      <w:marRight w:val="0"/>
      <w:marTop w:val="0"/>
      <w:marBottom w:val="0"/>
      <w:divBdr>
        <w:top w:val="none" w:sz="0" w:space="0" w:color="auto"/>
        <w:left w:val="none" w:sz="0" w:space="0" w:color="auto"/>
        <w:bottom w:val="none" w:sz="0" w:space="0" w:color="auto"/>
        <w:right w:val="none" w:sz="0" w:space="0" w:color="auto"/>
      </w:divBdr>
    </w:div>
    <w:div w:id="1666977750">
      <w:bodyDiv w:val="1"/>
      <w:marLeft w:val="0"/>
      <w:marRight w:val="0"/>
      <w:marTop w:val="0"/>
      <w:marBottom w:val="0"/>
      <w:divBdr>
        <w:top w:val="none" w:sz="0" w:space="0" w:color="auto"/>
        <w:left w:val="none" w:sz="0" w:space="0" w:color="auto"/>
        <w:bottom w:val="none" w:sz="0" w:space="0" w:color="auto"/>
        <w:right w:val="none" w:sz="0" w:space="0" w:color="auto"/>
      </w:divBdr>
    </w:div>
    <w:div w:id="1686319508">
      <w:bodyDiv w:val="1"/>
      <w:marLeft w:val="0"/>
      <w:marRight w:val="0"/>
      <w:marTop w:val="0"/>
      <w:marBottom w:val="0"/>
      <w:divBdr>
        <w:top w:val="none" w:sz="0" w:space="0" w:color="auto"/>
        <w:left w:val="none" w:sz="0" w:space="0" w:color="auto"/>
        <w:bottom w:val="none" w:sz="0" w:space="0" w:color="auto"/>
        <w:right w:val="none" w:sz="0" w:space="0" w:color="auto"/>
      </w:divBdr>
    </w:div>
    <w:div w:id="1715033517">
      <w:bodyDiv w:val="1"/>
      <w:marLeft w:val="0"/>
      <w:marRight w:val="0"/>
      <w:marTop w:val="0"/>
      <w:marBottom w:val="0"/>
      <w:divBdr>
        <w:top w:val="none" w:sz="0" w:space="0" w:color="auto"/>
        <w:left w:val="none" w:sz="0" w:space="0" w:color="auto"/>
        <w:bottom w:val="none" w:sz="0" w:space="0" w:color="auto"/>
        <w:right w:val="none" w:sz="0" w:space="0" w:color="auto"/>
      </w:divBdr>
    </w:div>
    <w:div w:id="1853103276">
      <w:bodyDiv w:val="1"/>
      <w:marLeft w:val="0"/>
      <w:marRight w:val="0"/>
      <w:marTop w:val="0"/>
      <w:marBottom w:val="0"/>
      <w:divBdr>
        <w:top w:val="none" w:sz="0" w:space="0" w:color="auto"/>
        <w:left w:val="none" w:sz="0" w:space="0" w:color="auto"/>
        <w:bottom w:val="none" w:sz="0" w:space="0" w:color="auto"/>
        <w:right w:val="none" w:sz="0" w:space="0" w:color="auto"/>
      </w:divBdr>
    </w:div>
    <w:div w:id="1880778265">
      <w:bodyDiv w:val="1"/>
      <w:marLeft w:val="0"/>
      <w:marRight w:val="0"/>
      <w:marTop w:val="0"/>
      <w:marBottom w:val="0"/>
      <w:divBdr>
        <w:top w:val="none" w:sz="0" w:space="0" w:color="auto"/>
        <w:left w:val="none" w:sz="0" w:space="0" w:color="auto"/>
        <w:bottom w:val="none" w:sz="0" w:space="0" w:color="auto"/>
        <w:right w:val="none" w:sz="0" w:space="0" w:color="auto"/>
      </w:divBdr>
    </w:div>
    <w:div w:id="2033263569">
      <w:bodyDiv w:val="1"/>
      <w:marLeft w:val="0"/>
      <w:marRight w:val="0"/>
      <w:marTop w:val="0"/>
      <w:marBottom w:val="0"/>
      <w:divBdr>
        <w:top w:val="none" w:sz="0" w:space="0" w:color="auto"/>
        <w:left w:val="none" w:sz="0" w:space="0" w:color="auto"/>
        <w:bottom w:val="none" w:sz="0" w:space="0" w:color="auto"/>
        <w:right w:val="none" w:sz="0" w:space="0" w:color="auto"/>
      </w:divBdr>
    </w:div>
    <w:div w:id="2042245888">
      <w:bodyDiv w:val="1"/>
      <w:marLeft w:val="0"/>
      <w:marRight w:val="0"/>
      <w:marTop w:val="0"/>
      <w:marBottom w:val="0"/>
      <w:divBdr>
        <w:top w:val="none" w:sz="0" w:space="0" w:color="auto"/>
        <w:left w:val="none" w:sz="0" w:space="0" w:color="auto"/>
        <w:bottom w:val="none" w:sz="0" w:space="0" w:color="auto"/>
        <w:right w:val="none" w:sz="0" w:space="0" w:color="auto"/>
      </w:divBdr>
    </w:div>
    <w:div w:id="2066754285">
      <w:bodyDiv w:val="1"/>
      <w:marLeft w:val="0"/>
      <w:marRight w:val="0"/>
      <w:marTop w:val="0"/>
      <w:marBottom w:val="0"/>
      <w:divBdr>
        <w:top w:val="none" w:sz="0" w:space="0" w:color="auto"/>
        <w:left w:val="none" w:sz="0" w:space="0" w:color="auto"/>
        <w:bottom w:val="none" w:sz="0" w:space="0" w:color="auto"/>
        <w:right w:val="none" w:sz="0" w:space="0" w:color="auto"/>
      </w:divBdr>
    </w:div>
    <w:div w:id="2133669404">
      <w:bodyDiv w:val="1"/>
      <w:marLeft w:val="0"/>
      <w:marRight w:val="0"/>
      <w:marTop w:val="0"/>
      <w:marBottom w:val="0"/>
      <w:divBdr>
        <w:top w:val="none" w:sz="0" w:space="0" w:color="auto"/>
        <w:left w:val="none" w:sz="0" w:space="0" w:color="auto"/>
        <w:bottom w:val="none" w:sz="0" w:space="0" w:color="auto"/>
        <w:right w:val="none" w:sz="0" w:space="0" w:color="auto"/>
      </w:divBdr>
    </w:div>
    <w:div w:id="21362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1.xml"/><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Details/F2020C01087"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29" Type="http://schemas.openxmlformats.org/officeDocument/2006/relationships/image" Target="media/image16.png"/><Relationship Id="rId41" Type="http://schemas.openxmlformats.org/officeDocument/2006/relationships/image" Target="media/image28.png"/><Relationship Id="rId54" Type="http://schemas.openxmlformats.org/officeDocument/2006/relationships/hyperlink" Target="https://www.ndiscommission.gov.au/pbscapability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hyperlink" Target="http://www.un.org/disabilities/documents/convention/convoptprot-e.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8.png"/><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18L00633" TargetMode="External"/><Relationship Id="rId2" Type="http://schemas.openxmlformats.org/officeDocument/2006/relationships/hyperlink" Target="https://www.legislation.gov.au/Details/F2018L00632" TargetMode="External"/><Relationship Id="rId1"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RINFNAS002N\Users\TE0010\My%20Documents\Restrictive%20Practices\01%20Outputs\00%20Restrictive%20Practices%20Bas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'01 Oneway URP'!$C$132</c:f>
              <c:strCache>
                <c:ptCount val="1"/>
                <c:pt idx="0">
                  <c:v>Chemical</c:v>
                </c:pt>
              </c:strCache>
            </c:strRef>
          </c:tx>
          <c:spPr>
            <a:solidFill>
              <a:schemeClr val="accent1"/>
            </a:solidFill>
            <a:ln>
              <a:noFill/>
            </a:ln>
            <a:effectLst/>
          </c:spPr>
          <c:invertIfNegative val="0"/>
          <c:cat>
            <c:numRef>
              <c:f>'01 Oneway URP'!$D$131:$O$131</c:f>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f>'01 Oneway URP'!$D$132:$O$132</c:f>
              <c:numCache>
                <c:formatCode>#,##0</c:formatCode>
                <c:ptCount val="12"/>
                <c:pt idx="0">
                  <c:v>41971</c:v>
                </c:pt>
                <c:pt idx="1">
                  <c:v>45857</c:v>
                </c:pt>
                <c:pt idx="2">
                  <c:v>45066</c:v>
                </c:pt>
                <c:pt idx="3">
                  <c:v>51350</c:v>
                </c:pt>
                <c:pt idx="4">
                  <c:v>46596</c:v>
                </c:pt>
                <c:pt idx="5">
                  <c:v>39174</c:v>
                </c:pt>
                <c:pt idx="6">
                  <c:v>43662</c:v>
                </c:pt>
                <c:pt idx="7">
                  <c:v>49440</c:v>
                </c:pt>
                <c:pt idx="8">
                  <c:v>59695</c:v>
                </c:pt>
                <c:pt idx="9">
                  <c:v>48601</c:v>
                </c:pt>
                <c:pt idx="10">
                  <c:v>54049</c:v>
                </c:pt>
                <c:pt idx="11">
                  <c:v>60386</c:v>
                </c:pt>
              </c:numCache>
            </c:numRef>
          </c:val>
          <c:extLst>
            <c:ext xmlns:c16="http://schemas.microsoft.com/office/drawing/2014/chart" uri="{C3380CC4-5D6E-409C-BE32-E72D297353CC}">
              <c16:uniqueId val="{00000000-46EB-40CC-A8E7-45C25478E63A}"/>
            </c:ext>
          </c:extLst>
        </c:ser>
        <c:ser>
          <c:idx val="1"/>
          <c:order val="1"/>
          <c:tx>
            <c:strRef>
              <c:f>'01 Oneway URP'!$C$133</c:f>
              <c:strCache>
                <c:ptCount val="1"/>
                <c:pt idx="0">
                  <c:v>Environmental</c:v>
                </c:pt>
              </c:strCache>
            </c:strRef>
          </c:tx>
          <c:spPr>
            <a:solidFill>
              <a:schemeClr val="accent2"/>
            </a:solidFill>
            <a:ln>
              <a:noFill/>
            </a:ln>
            <a:effectLst/>
          </c:spPr>
          <c:invertIfNegative val="0"/>
          <c:cat>
            <c:numRef>
              <c:f>'01 Oneway URP'!$D$131:$O$131</c:f>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f>'01 Oneway URP'!$D$133:$O$133</c:f>
              <c:numCache>
                <c:formatCode>#,##0</c:formatCode>
                <c:ptCount val="12"/>
                <c:pt idx="0">
                  <c:v>23714</c:v>
                </c:pt>
                <c:pt idx="1">
                  <c:v>23855</c:v>
                </c:pt>
                <c:pt idx="2">
                  <c:v>22279</c:v>
                </c:pt>
                <c:pt idx="3">
                  <c:v>24911</c:v>
                </c:pt>
                <c:pt idx="4">
                  <c:v>26042</c:v>
                </c:pt>
                <c:pt idx="5">
                  <c:v>28824</c:v>
                </c:pt>
                <c:pt idx="6">
                  <c:v>26826</c:v>
                </c:pt>
                <c:pt idx="7">
                  <c:v>30585</c:v>
                </c:pt>
                <c:pt idx="8">
                  <c:v>43521</c:v>
                </c:pt>
                <c:pt idx="9">
                  <c:v>36925</c:v>
                </c:pt>
                <c:pt idx="10">
                  <c:v>42930</c:v>
                </c:pt>
                <c:pt idx="11">
                  <c:v>46163</c:v>
                </c:pt>
              </c:numCache>
            </c:numRef>
          </c:val>
          <c:extLst>
            <c:ext xmlns:c16="http://schemas.microsoft.com/office/drawing/2014/chart" uri="{C3380CC4-5D6E-409C-BE32-E72D297353CC}">
              <c16:uniqueId val="{00000001-46EB-40CC-A8E7-45C25478E63A}"/>
            </c:ext>
          </c:extLst>
        </c:ser>
        <c:ser>
          <c:idx val="2"/>
          <c:order val="2"/>
          <c:tx>
            <c:strRef>
              <c:f>'01 Oneway URP'!$C$134</c:f>
              <c:strCache>
                <c:ptCount val="1"/>
                <c:pt idx="0">
                  <c:v>Mechanical</c:v>
                </c:pt>
              </c:strCache>
            </c:strRef>
          </c:tx>
          <c:spPr>
            <a:solidFill>
              <a:schemeClr val="accent3"/>
            </a:solidFill>
            <a:ln>
              <a:noFill/>
            </a:ln>
            <a:effectLst/>
          </c:spPr>
          <c:invertIfNegative val="0"/>
          <c:cat>
            <c:numRef>
              <c:f>'01 Oneway URP'!$D$131:$O$131</c:f>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f>'01 Oneway URP'!$D$134:$O$134</c:f>
              <c:numCache>
                <c:formatCode>#,##0</c:formatCode>
                <c:ptCount val="12"/>
                <c:pt idx="0">
                  <c:v>3356</c:v>
                </c:pt>
                <c:pt idx="1">
                  <c:v>3962</c:v>
                </c:pt>
                <c:pt idx="2">
                  <c:v>5484</c:v>
                </c:pt>
                <c:pt idx="3">
                  <c:v>5010</c:v>
                </c:pt>
                <c:pt idx="4">
                  <c:v>4462</c:v>
                </c:pt>
                <c:pt idx="5">
                  <c:v>3959</c:v>
                </c:pt>
                <c:pt idx="6">
                  <c:v>4414</c:v>
                </c:pt>
                <c:pt idx="7">
                  <c:v>5244</c:v>
                </c:pt>
                <c:pt idx="8">
                  <c:v>8588</c:v>
                </c:pt>
                <c:pt idx="9">
                  <c:v>6452</c:v>
                </c:pt>
                <c:pt idx="10">
                  <c:v>6303</c:v>
                </c:pt>
                <c:pt idx="11">
                  <c:v>6561</c:v>
                </c:pt>
              </c:numCache>
            </c:numRef>
          </c:val>
          <c:extLst>
            <c:ext xmlns:c16="http://schemas.microsoft.com/office/drawing/2014/chart" uri="{C3380CC4-5D6E-409C-BE32-E72D297353CC}">
              <c16:uniqueId val="{00000002-46EB-40CC-A8E7-45C25478E63A}"/>
            </c:ext>
          </c:extLst>
        </c:ser>
        <c:ser>
          <c:idx val="3"/>
          <c:order val="3"/>
          <c:tx>
            <c:strRef>
              <c:f>'01 Oneway URP'!$C$135</c:f>
              <c:strCache>
                <c:ptCount val="1"/>
                <c:pt idx="0">
                  <c:v>Physical</c:v>
                </c:pt>
              </c:strCache>
            </c:strRef>
          </c:tx>
          <c:spPr>
            <a:solidFill>
              <a:schemeClr val="accent4"/>
            </a:solidFill>
            <a:ln>
              <a:noFill/>
            </a:ln>
            <a:effectLst/>
          </c:spPr>
          <c:invertIfNegative val="0"/>
          <c:cat>
            <c:numRef>
              <c:f>'01 Oneway URP'!$D$131:$O$131</c:f>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f>'01 Oneway URP'!$D$135:$O$135</c:f>
              <c:numCache>
                <c:formatCode>#,##0</c:formatCode>
                <c:ptCount val="12"/>
                <c:pt idx="0">
                  <c:v>249</c:v>
                </c:pt>
                <c:pt idx="1">
                  <c:v>264</c:v>
                </c:pt>
                <c:pt idx="2">
                  <c:v>277</c:v>
                </c:pt>
                <c:pt idx="3">
                  <c:v>321</c:v>
                </c:pt>
                <c:pt idx="4">
                  <c:v>456</c:v>
                </c:pt>
                <c:pt idx="5">
                  <c:v>458</c:v>
                </c:pt>
                <c:pt idx="6">
                  <c:v>422</c:v>
                </c:pt>
                <c:pt idx="7">
                  <c:v>433</c:v>
                </c:pt>
                <c:pt idx="8">
                  <c:v>470</c:v>
                </c:pt>
                <c:pt idx="9">
                  <c:v>438</c:v>
                </c:pt>
                <c:pt idx="10">
                  <c:v>570</c:v>
                </c:pt>
                <c:pt idx="11">
                  <c:v>437</c:v>
                </c:pt>
              </c:numCache>
            </c:numRef>
          </c:val>
          <c:extLst>
            <c:ext xmlns:c16="http://schemas.microsoft.com/office/drawing/2014/chart" uri="{C3380CC4-5D6E-409C-BE32-E72D297353CC}">
              <c16:uniqueId val="{00000003-46EB-40CC-A8E7-45C25478E63A}"/>
            </c:ext>
          </c:extLst>
        </c:ser>
        <c:ser>
          <c:idx val="4"/>
          <c:order val="4"/>
          <c:tx>
            <c:strRef>
              <c:f>'01 Oneway URP'!$C$136</c:f>
              <c:strCache>
                <c:ptCount val="1"/>
                <c:pt idx="0">
                  <c:v>Seclusion</c:v>
                </c:pt>
              </c:strCache>
            </c:strRef>
          </c:tx>
          <c:spPr>
            <a:solidFill>
              <a:schemeClr val="accent5"/>
            </a:solidFill>
            <a:ln>
              <a:noFill/>
            </a:ln>
            <a:effectLst/>
          </c:spPr>
          <c:invertIfNegative val="0"/>
          <c:cat>
            <c:numRef>
              <c:f>'01 Oneway URP'!$D$131:$O$131</c:f>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f>'01 Oneway URP'!$D$136:$O$136</c:f>
              <c:numCache>
                <c:formatCode>#,##0</c:formatCode>
                <c:ptCount val="12"/>
                <c:pt idx="0">
                  <c:v>53</c:v>
                </c:pt>
                <c:pt idx="1">
                  <c:v>71</c:v>
                </c:pt>
                <c:pt idx="2">
                  <c:v>82</c:v>
                </c:pt>
                <c:pt idx="3">
                  <c:v>60</c:v>
                </c:pt>
                <c:pt idx="4">
                  <c:v>65</c:v>
                </c:pt>
                <c:pt idx="5">
                  <c:v>43</c:v>
                </c:pt>
                <c:pt idx="6">
                  <c:v>29</c:v>
                </c:pt>
                <c:pt idx="7">
                  <c:v>55</c:v>
                </c:pt>
                <c:pt idx="8">
                  <c:v>40</c:v>
                </c:pt>
                <c:pt idx="9">
                  <c:v>117</c:v>
                </c:pt>
                <c:pt idx="10">
                  <c:v>99</c:v>
                </c:pt>
                <c:pt idx="11">
                  <c:v>84</c:v>
                </c:pt>
              </c:numCache>
            </c:numRef>
          </c:val>
          <c:extLst>
            <c:ext xmlns:c16="http://schemas.microsoft.com/office/drawing/2014/chart" uri="{C3380CC4-5D6E-409C-BE32-E72D297353CC}">
              <c16:uniqueId val="{00000004-46EB-40CC-A8E7-45C25478E63A}"/>
            </c:ext>
          </c:extLst>
        </c:ser>
        <c:ser>
          <c:idx val="5"/>
          <c:order val="5"/>
          <c:tx>
            <c:strRef>
              <c:f>'01 Oneway URP'!$C$137</c:f>
              <c:strCache>
                <c:ptCount val="1"/>
                <c:pt idx="0">
                  <c:v>Missing</c:v>
                </c:pt>
              </c:strCache>
            </c:strRef>
          </c:tx>
          <c:spPr>
            <a:solidFill>
              <a:schemeClr val="accent6"/>
            </a:solidFill>
            <a:ln>
              <a:noFill/>
            </a:ln>
            <a:effectLst/>
          </c:spPr>
          <c:invertIfNegative val="0"/>
          <c:cat>
            <c:numRef>
              <c:f>'01 Oneway URP'!$D$131:$O$131</c:f>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f>'01 Oneway URP'!$D$137:$O$137</c:f>
              <c:numCache>
                <c:formatCode>#,##0</c:formatCode>
                <c:ptCount val="12"/>
                <c:pt idx="0">
                  <c:v>15</c:v>
                </c:pt>
                <c:pt idx="1">
                  <c:v>16</c:v>
                </c:pt>
                <c:pt idx="2">
                  <c:v>7</c:v>
                </c:pt>
                <c:pt idx="3">
                  <c:v>5</c:v>
                </c:pt>
                <c:pt idx="4">
                  <c:v>14</c:v>
                </c:pt>
                <c:pt idx="5">
                  <c:v>35</c:v>
                </c:pt>
                <c:pt idx="6">
                  <c:v>9</c:v>
                </c:pt>
                <c:pt idx="7">
                  <c:v>16</c:v>
                </c:pt>
                <c:pt idx="8">
                  <c:v>19</c:v>
                </c:pt>
                <c:pt idx="9">
                  <c:v>19</c:v>
                </c:pt>
                <c:pt idx="10">
                  <c:v>21</c:v>
                </c:pt>
                <c:pt idx="11">
                  <c:v>79</c:v>
                </c:pt>
              </c:numCache>
            </c:numRef>
          </c:val>
          <c:extLst>
            <c:ext xmlns:c16="http://schemas.microsoft.com/office/drawing/2014/chart" uri="{C3380CC4-5D6E-409C-BE32-E72D297353CC}">
              <c16:uniqueId val="{00000005-46EB-40CC-A8E7-45C25478E63A}"/>
            </c:ext>
          </c:extLst>
        </c:ser>
        <c:dLbls>
          <c:showLegendKey val="0"/>
          <c:showVal val="0"/>
          <c:showCatName val="0"/>
          <c:showSerName val="0"/>
          <c:showPercent val="0"/>
          <c:showBubbleSize val="0"/>
        </c:dLbls>
        <c:gapWidth val="150"/>
        <c:overlap val="100"/>
        <c:axId val="-1957112880"/>
        <c:axId val="-1957104720"/>
        <c:extLst>
          <c:ext xmlns:c15="http://schemas.microsoft.com/office/drawing/2012/chart" uri="{02D57815-91ED-43cb-92C2-25804820EDAC}">
            <c15:filteredBarSeries>
              <c15:ser>
                <c:idx val="6"/>
                <c:order val="6"/>
                <c:tx>
                  <c:strRef>
                    <c:extLst>
                      <c:ext uri="{02D57815-91ED-43cb-92C2-25804820EDAC}">
                        <c15:formulaRef>
                          <c15:sqref>'01 Oneway URP'!$C$138</c15:sqref>
                        </c15:formulaRef>
                      </c:ext>
                    </c:extLst>
                    <c:strCache>
                      <c:ptCount val="1"/>
                    </c:strCache>
                  </c:strRef>
                </c:tx>
                <c:spPr>
                  <a:solidFill>
                    <a:schemeClr val="accent1">
                      <a:lumMod val="60000"/>
                    </a:schemeClr>
                  </a:solidFill>
                  <a:ln>
                    <a:noFill/>
                  </a:ln>
                  <a:effectLst/>
                </c:spPr>
                <c:invertIfNegative val="0"/>
                <c:cat>
                  <c:numRef>
                    <c:extLst>
                      <c:ext uri="{02D57815-91ED-43cb-92C2-25804820EDAC}">
                        <c15:formulaRef>
                          <c15:sqref>'01 Oneway URP'!$D$131:$O$131</c15:sqref>
                        </c15:formulaRef>
                      </c:ext>
                    </c:extLst>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extLst>
                      <c:ext uri="{02D57815-91ED-43cb-92C2-25804820EDAC}">
                        <c15:formulaRef>
                          <c15:sqref>'01 Oneway URP'!$D$138:$O$138</c15:sqref>
                        </c15:formulaRef>
                      </c:ext>
                    </c:extLst>
                    <c:numCache>
                      <c:formatCode>General</c:formatCode>
                      <c:ptCount val="12"/>
                    </c:numCache>
                  </c:numRef>
                </c:val>
                <c:extLst>
                  <c:ext xmlns:c16="http://schemas.microsoft.com/office/drawing/2014/chart" uri="{C3380CC4-5D6E-409C-BE32-E72D297353CC}">
                    <c16:uniqueId val="{00000006-46EB-40CC-A8E7-45C25478E63A}"/>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'01 Oneway URP'!$C$139</c15:sqref>
                        </c15:formulaRef>
                      </c:ext>
                    </c:extLst>
                    <c:strCache>
                      <c:ptCount val="1"/>
                      <c:pt idx="0">
                        <c:v>Total</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'01 Oneway URP'!$D$131:$O$131</c15:sqref>
                        </c15:formulaRef>
                      </c:ext>
                    </c:extLst>
                    <c:numCache>
                      <c:formatCode>mmm\-yy</c:formatCode>
                      <c:ptCount val="12"/>
                      <c:pt idx="0">
                        <c:v>44043</c:v>
                      </c:pt>
                      <c:pt idx="1">
                        <c:v>44074</c:v>
                      </c:pt>
                      <c:pt idx="2">
                        <c:v>44104</c:v>
                      </c:pt>
                      <c:pt idx="3">
                        <c:v>44135</c:v>
                      </c:pt>
                      <c:pt idx="4">
                        <c:v>44165</c:v>
                      </c:pt>
                      <c:pt idx="5">
                        <c:v>44196</c:v>
                      </c:pt>
                      <c:pt idx="6">
                        <c:v>44227</c:v>
                      </c:pt>
                      <c:pt idx="7">
                        <c:v>44255</c:v>
                      </c:pt>
                      <c:pt idx="8">
                        <c:v>44286</c:v>
                      </c:pt>
                      <c:pt idx="9">
                        <c:v>44316</c:v>
                      </c:pt>
                      <c:pt idx="10">
                        <c:v>44347</c:v>
                      </c:pt>
                      <c:pt idx="11">
                        <c:v>44377</c:v>
                      </c:pt>
                    </c:numCache>
                  </c:numRef>
                </c:cat>
                <c:val>
                  <c:numRef>
                    <c:extLst xmlns:c15="http://schemas.microsoft.com/office/drawing/2012/chart">
                      <c:ext xmlns:c15="http://schemas.microsoft.com/office/drawing/2012/chart" uri="{02D57815-91ED-43cb-92C2-25804820EDAC}">
                        <c15:formulaRef>
                          <c15:sqref>'01 Oneway URP'!$D$139:$O$139</c15:sqref>
                        </c15:formulaRef>
                      </c:ext>
                    </c:extLst>
                    <c:numCache>
                      <c:formatCode>#,##0</c:formatCode>
                      <c:ptCount val="12"/>
                      <c:pt idx="0">
                        <c:v>69358</c:v>
                      </c:pt>
                      <c:pt idx="1">
                        <c:v>74025</c:v>
                      </c:pt>
                      <c:pt idx="2">
                        <c:v>73195</c:v>
                      </c:pt>
                      <c:pt idx="3">
                        <c:v>81657</c:v>
                      </c:pt>
                      <c:pt idx="4">
                        <c:v>77635</c:v>
                      </c:pt>
                      <c:pt idx="5">
                        <c:v>72493</c:v>
                      </c:pt>
                      <c:pt idx="6">
                        <c:v>75362</c:v>
                      </c:pt>
                      <c:pt idx="7">
                        <c:v>85773</c:v>
                      </c:pt>
                      <c:pt idx="8">
                        <c:v>112333</c:v>
                      </c:pt>
                      <c:pt idx="9">
                        <c:v>92552</c:v>
                      </c:pt>
                      <c:pt idx="10">
                        <c:v>103972</c:v>
                      </c:pt>
                      <c:pt idx="11">
                        <c:v>113710</c:v>
                      </c:pt>
                    </c:numCache>
                  </c:numRef>
                </c:val>
                <c:extLst xmlns:c15="http://schemas.microsoft.com/office/drawing/2012/chart">
                  <c:ext xmlns:c16="http://schemas.microsoft.com/office/drawing/2014/chart" uri="{C3380CC4-5D6E-409C-BE32-E72D297353CC}">
                    <c16:uniqueId val="{00000007-46EB-40CC-A8E7-45C25478E63A}"/>
                  </c:ext>
                </c:extLst>
              </c15:ser>
            </c15:filteredBarSeries>
          </c:ext>
        </c:extLst>
      </c:barChart>
      <c:dateAx>
        <c:axId val="-1957112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Reporting 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104720"/>
        <c:crosses val="autoZero"/>
        <c:auto val="1"/>
        <c:lblOffset val="100"/>
        <c:baseTimeUnit val="months"/>
      </c:dateAx>
      <c:valAx>
        <c:axId val="-195710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URP's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11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B136-F14D-4F76-B5BD-5BE6773D2818}">
  <ds:schemaRefs>
    <ds:schemaRef ds:uri="http://schemas.microsoft.com/sharepoint/v3/contenttype/forms"/>
  </ds:schemaRefs>
</ds:datastoreItem>
</file>

<file path=customXml/itemProps2.xml><?xml version="1.0" encoding="utf-8"?>
<ds:datastoreItem xmlns:ds="http://schemas.openxmlformats.org/officeDocument/2006/customXml" ds:itemID="{6763463B-0625-4746-B4DB-D5DF6ABF84D1}">
  <ds:schemaRefs>
    <ds:schemaRef ds:uri="http://purl.org/dc/terms/"/>
    <ds:schemaRef ds:uri="http://schemas.openxmlformats.org/package/2006/metadata/core-properties"/>
    <ds:schemaRef ds:uri="http://purl.org/dc/dcmitype/"/>
    <ds:schemaRef ds:uri="4F68A7F5-5FF0-4C5F-A65E-F580729F97E7"/>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7ED713C-6515-42CE-8E00-EB7CC5892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F4B7B-D369-4C02-9B4B-96093C84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10001</Words>
  <Characters>53418</Characters>
  <Application>Microsoft Office Word</Application>
  <DocSecurity>4</DocSecurity>
  <Lines>1520</Lines>
  <Paragraphs>896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2022-01-25T03:51:00Z</dcterms:created>
  <dcterms:modified xsi:type="dcterms:W3CDTF">2022-01-25T03:51:00Z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HA1">
    <vt:lpwstr>3DAC93E6892F974FAD58DDB99C699E21AC3AE28F</vt:lpwstr>
  </property>
  <property fmtid="{D5CDD505-2E9C-101B-9397-08002B2CF9AE}" pid="6" name="PM_Hash_Salt">
    <vt:lpwstr>38332904573EA50660626800187B193F</vt:lpwstr>
  </property>
  <property fmtid="{D5CDD505-2E9C-101B-9397-08002B2CF9AE}" pid="7" name="PM_Hash_Salt_Prev">
    <vt:lpwstr>C3A13FF1C64A3884893C0A998B1C2618</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FA09B34845424AA4929C36D3756D422F</vt:lpwstr>
  </property>
  <property fmtid="{D5CDD505-2E9C-101B-9397-08002B2CF9AE}" pid="15" name="PM_OriginationTimeStamp">
    <vt:lpwstr>2022-01-25T03:51:35Z</vt:lpwstr>
  </property>
  <property fmtid="{D5CDD505-2E9C-101B-9397-08002B2CF9AE}" pid="16" name="PM_OriginatorDomainName_SHA256">
    <vt:lpwstr>E83A2A66C4061446A7E3732E8D44762184B6B377D962B96C83DC624302585857</vt:lpwstr>
  </property>
  <property fmtid="{D5CDD505-2E9C-101B-9397-08002B2CF9AE}" pid="17" name="PM_OriginatorUserAccountName_SHA256">
    <vt:lpwstr>9871F6CFFBF84B5DD096BCB24488EABDE9250CEAA716568F68B24D42DED533FD</vt:lpwstr>
  </property>
  <property fmtid="{D5CDD505-2E9C-101B-9397-08002B2CF9AE}" pid="18" name="PM_Originator_Hash_SHA1">
    <vt:lpwstr>DAACB08450204C0F46DD78BFF6F8049364488490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y fmtid="{D5CDD505-2E9C-101B-9397-08002B2CF9AE}" pid="28" name="ContentTypeId">
    <vt:lpwstr>0x010100266966F133664895A6EE3632470D45F500ADBB53A67AB6F7439EA2F06AC9655EBC</vt:lpwstr>
  </property>
</Properties>
</file>