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DAF" w:rsidRPr="00E30DA3" w:rsidRDefault="00CE4DAF" w:rsidP="00CE4DAF">
      <w:pPr>
        <w:pStyle w:val="Covertitle"/>
        <w:rPr>
          <w:sz w:val="80"/>
          <w:szCs w:val="80"/>
        </w:rPr>
      </w:pPr>
      <w:r w:rsidRPr="00E30DA3">
        <w:rPr>
          <w:sz w:val="80"/>
          <w:szCs w:val="80"/>
        </w:rPr>
        <w:drawing>
          <wp:anchor distT="0" distB="0" distL="114300" distR="114300" simplePos="0" relativeHeight="251658240" behindDoc="0" locked="0" layoutInCell="1" allowOverlap="1" wp14:anchorId="2F545191" wp14:editId="6EFA536C">
            <wp:simplePos x="0" y="0"/>
            <wp:positionH relativeFrom="column">
              <wp:posOffset>-219075</wp:posOffset>
            </wp:positionH>
            <wp:positionV relativeFrom="paragraph">
              <wp:posOffset>-476250</wp:posOffset>
            </wp:positionV>
            <wp:extent cx="3572566" cy="1109568"/>
            <wp:effectExtent l="0" t="0" r="0" b="0"/>
            <wp:wrapNone/>
            <wp:docPr id="10" name="Picture 10" descr="Australian Government crest -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DIS Q+S Commision logo_Rev.png"/>
                    <pic:cNvPicPr/>
                  </pic:nvPicPr>
                  <pic:blipFill>
                    <a:blip r:embed="rId8">
                      <a:extLst>
                        <a:ext uri="{28A0092B-C50C-407E-A947-70E740481C1C}">
                          <a14:useLocalDpi xmlns:a14="http://schemas.microsoft.com/office/drawing/2010/main" val="0"/>
                        </a:ext>
                      </a:extLst>
                    </a:blip>
                    <a:stretch>
                      <a:fillRect/>
                    </a:stretch>
                  </pic:blipFill>
                  <pic:spPr>
                    <a:xfrm>
                      <a:off x="0" y="0"/>
                      <a:ext cx="3572566" cy="1109568"/>
                    </a:xfrm>
                    <a:prstGeom prst="rect">
                      <a:avLst/>
                    </a:prstGeom>
                  </pic:spPr>
                </pic:pic>
              </a:graphicData>
            </a:graphic>
            <wp14:sizeRelH relativeFrom="page">
              <wp14:pctWidth>0</wp14:pctWidth>
            </wp14:sizeRelH>
            <wp14:sizeRelV relativeFrom="page">
              <wp14:pctHeight>0</wp14:pctHeight>
            </wp14:sizeRelV>
          </wp:anchor>
        </w:drawing>
      </w:r>
      <w:r w:rsidR="00725A94">
        <w:rPr>
          <w:sz w:val="80"/>
          <w:szCs w:val="80"/>
        </w:rPr>
        <w:t>Suitability assessment</w:t>
      </w:r>
      <w:r w:rsidR="007910AD">
        <w:rPr>
          <w:sz w:val="80"/>
          <w:szCs w:val="80"/>
        </w:rPr>
        <w:t xml:space="preserve"> process guide</w:t>
      </w:r>
    </w:p>
    <w:p w:rsidR="00725A94" w:rsidRDefault="007910AD" w:rsidP="007601AA">
      <w:pPr>
        <w:pStyle w:val="Coversubtitle"/>
        <w:ind w:firstLine="0"/>
      </w:pPr>
      <w:r>
        <w:t xml:space="preserve">Information for </w:t>
      </w:r>
      <w:r w:rsidR="00763F98">
        <w:t>NDIS Providers and their ‘key personnel’</w:t>
      </w:r>
    </w:p>
    <w:p w:rsidR="00CE4DAF" w:rsidRDefault="00A32AC6" w:rsidP="00E30DA3">
      <w:pPr>
        <w:pBdr>
          <w:left w:val="single" w:sz="48" w:space="4" w:color="9DC44D" w:themeColor="accent6"/>
        </w:pBdr>
        <w:spacing w:before="0"/>
        <w:ind w:left="284" w:firstLine="425"/>
        <w:rPr>
          <w:color w:val="FFFFFF" w:themeColor="background1"/>
          <w:sz w:val="40"/>
          <w:szCs w:val="40"/>
        </w:rPr>
      </w:pPr>
      <w:r>
        <w:rPr>
          <w:color w:val="FFFFFF" w:themeColor="background1"/>
          <w:sz w:val="40"/>
          <w:szCs w:val="40"/>
        </w:rPr>
        <w:t>July 2018</w:t>
      </w:r>
    </w:p>
    <w:p w:rsidR="00A32AC6" w:rsidRPr="00A32AC6" w:rsidRDefault="00763F98" w:rsidP="00E30DA3">
      <w:pPr>
        <w:pBdr>
          <w:left w:val="single" w:sz="48" w:space="4" w:color="9DC44D" w:themeColor="accent6"/>
        </w:pBdr>
        <w:spacing w:before="0"/>
        <w:ind w:left="284" w:firstLine="425"/>
        <w:rPr>
          <w:color w:val="FFFFFF" w:themeColor="background1"/>
          <w:szCs w:val="24"/>
        </w:rPr>
      </w:pPr>
      <w:r>
        <w:rPr>
          <w:color w:val="FFFFFF" w:themeColor="background1"/>
          <w:szCs w:val="24"/>
        </w:rPr>
        <w:t>Version 1</w:t>
      </w:r>
    </w:p>
    <w:p w:rsidR="00CE4DAF" w:rsidRDefault="00CE4DAF" w:rsidP="00CE4DAF"/>
    <w:p w:rsidR="00CE4DAF" w:rsidRPr="00CE4DAF" w:rsidRDefault="00CE4DAF" w:rsidP="00CE4DAF">
      <w:pPr>
        <w:sectPr w:rsidR="00CE4DAF" w:rsidRPr="00CE4DAF" w:rsidSect="00362AB6">
          <w:footerReference w:type="default" r:id="rId9"/>
          <w:headerReference w:type="first" r:id="rId10"/>
          <w:footerReference w:type="first" r:id="rId11"/>
          <w:type w:val="continuous"/>
          <w:pgSz w:w="11906" w:h="16838" w:code="9"/>
          <w:pgMar w:top="1440" w:right="1440" w:bottom="1440" w:left="1440" w:header="284" w:footer="397" w:gutter="0"/>
          <w:cols w:space="340"/>
          <w:titlePg/>
          <w:docGrid w:linePitch="360"/>
          <w15:footnoteColumns w:val="1"/>
        </w:sectPr>
      </w:pPr>
    </w:p>
    <w:sdt>
      <w:sdtPr>
        <w:rPr>
          <w:rFonts w:asciiTheme="minorHAnsi" w:eastAsiaTheme="minorHAnsi" w:hAnsiTheme="minorHAnsi" w:cstheme="minorBidi"/>
          <w:b w:val="0"/>
          <w:color w:val="000000" w:themeColor="text1"/>
          <w:sz w:val="24"/>
          <w:szCs w:val="20"/>
        </w:rPr>
        <w:id w:val="1587805338"/>
        <w:docPartObj>
          <w:docPartGallery w:val="Table of Contents"/>
          <w:docPartUnique/>
        </w:docPartObj>
      </w:sdtPr>
      <w:sdtEndPr>
        <w:rPr>
          <w:bCs/>
          <w:noProof/>
        </w:rPr>
      </w:sdtEndPr>
      <w:sdtContent>
        <w:p w:rsidR="00763F98" w:rsidRDefault="00763F98">
          <w:pPr>
            <w:pStyle w:val="TOCHeading"/>
          </w:pPr>
          <w:r>
            <w:t>Contents</w:t>
          </w:r>
        </w:p>
        <w:p w:rsidR="00D91DE8" w:rsidRDefault="00763F98">
          <w:pPr>
            <w:pStyle w:val="TOC1"/>
            <w:rPr>
              <w:rFonts w:asciiTheme="minorHAnsi" w:eastAsiaTheme="minorEastAsia" w:hAnsiTheme="minorHAnsi"/>
              <w:noProof/>
              <w:sz w:val="22"/>
              <w:szCs w:val="22"/>
              <w:lang w:eastAsia="en-AU"/>
            </w:rPr>
          </w:pPr>
          <w:r>
            <w:fldChar w:fldCharType="begin"/>
          </w:r>
          <w:r>
            <w:instrText xml:space="preserve"> TOC \o "1-3" \h \z \u </w:instrText>
          </w:r>
          <w:r>
            <w:fldChar w:fldCharType="separate"/>
          </w:r>
          <w:hyperlink w:anchor="_Toc520213238" w:history="1">
            <w:r w:rsidR="00D91DE8" w:rsidRPr="00467440">
              <w:rPr>
                <w:rStyle w:val="Hyperlink"/>
                <w:noProof/>
              </w:rPr>
              <w:t>What is this guide about?</w:t>
            </w:r>
            <w:r w:rsidR="00D91DE8">
              <w:rPr>
                <w:noProof/>
                <w:webHidden/>
              </w:rPr>
              <w:tab/>
            </w:r>
            <w:r w:rsidR="00D91DE8">
              <w:rPr>
                <w:noProof/>
                <w:webHidden/>
              </w:rPr>
              <w:fldChar w:fldCharType="begin"/>
            </w:r>
            <w:r w:rsidR="00D91DE8">
              <w:rPr>
                <w:noProof/>
                <w:webHidden/>
              </w:rPr>
              <w:instrText xml:space="preserve"> PAGEREF _Toc520213238 \h </w:instrText>
            </w:r>
            <w:r w:rsidR="00D91DE8">
              <w:rPr>
                <w:noProof/>
                <w:webHidden/>
              </w:rPr>
            </w:r>
            <w:r w:rsidR="00D91DE8">
              <w:rPr>
                <w:noProof/>
                <w:webHidden/>
              </w:rPr>
              <w:fldChar w:fldCharType="separate"/>
            </w:r>
            <w:r w:rsidR="00D91DE8">
              <w:rPr>
                <w:noProof/>
                <w:webHidden/>
              </w:rPr>
              <w:t>2</w:t>
            </w:r>
            <w:r w:rsidR="00D91DE8">
              <w:rPr>
                <w:noProof/>
                <w:webHidden/>
              </w:rPr>
              <w:fldChar w:fldCharType="end"/>
            </w:r>
          </w:hyperlink>
        </w:p>
        <w:p w:rsidR="00D91DE8" w:rsidRDefault="00FF0147">
          <w:pPr>
            <w:pStyle w:val="TOC1"/>
            <w:rPr>
              <w:rFonts w:asciiTheme="minorHAnsi" w:eastAsiaTheme="minorEastAsia" w:hAnsiTheme="minorHAnsi"/>
              <w:noProof/>
              <w:sz w:val="22"/>
              <w:szCs w:val="22"/>
              <w:lang w:eastAsia="en-AU"/>
            </w:rPr>
          </w:pPr>
          <w:hyperlink w:anchor="_Toc520213239" w:history="1">
            <w:r w:rsidR="00D91DE8" w:rsidRPr="00467440">
              <w:rPr>
                <w:rStyle w:val="Hyperlink"/>
                <w:noProof/>
              </w:rPr>
              <w:t>What is the suitability assessment?</w:t>
            </w:r>
            <w:r w:rsidR="00D91DE8">
              <w:rPr>
                <w:noProof/>
                <w:webHidden/>
              </w:rPr>
              <w:tab/>
            </w:r>
            <w:r w:rsidR="00D91DE8">
              <w:rPr>
                <w:noProof/>
                <w:webHidden/>
              </w:rPr>
              <w:fldChar w:fldCharType="begin"/>
            </w:r>
            <w:r w:rsidR="00D91DE8">
              <w:rPr>
                <w:noProof/>
                <w:webHidden/>
              </w:rPr>
              <w:instrText xml:space="preserve"> PAGEREF _Toc520213239 \h </w:instrText>
            </w:r>
            <w:r w:rsidR="00D91DE8">
              <w:rPr>
                <w:noProof/>
                <w:webHidden/>
              </w:rPr>
            </w:r>
            <w:r w:rsidR="00D91DE8">
              <w:rPr>
                <w:noProof/>
                <w:webHidden/>
              </w:rPr>
              <w:fldChar w:fldCharType="separate"/>
            </w:r>
            <w:r w:rsidR="00D91DE8">
              <w:rPr>
                <w:noProof/>
                <w:webHidden/>
              </w:rPr>
              <w:t>2</w:t>
            </w:r>
            <w:r w:rsidR="00D91DE8">
              <w:rPr>
                <w:noProof/>
                <w:webHidden/>
              </w:rPr>
              <w:fldChar w:fldCharType="end"/>
            </w:r>
          </w:hyperlink>
        </w:p>
        <w:p w:rsidR="00D91DE8" w:rsidRDefault="00FF0147">
          <w:pPr>
            <w:pStyle w:val="TOC1"/>
            <w:rPr>
              <w:rFonts w:asciiTheme="minorHAnsi" w:eastAsiaTheme="minorEastAsia" w:hAnsiTheme="minorHAnsi"/>
              <w:noProof/>
              <w:sz w:val="22"/>
              <w:szCs w:val="22"/>
              <w:lang w:eastAsia="en-AU"/>
            </w:rPr>
          </w:pPr>
          <w:hyperlink w:anchor="_Toc520213240" w:history="1">
            <w:r w:rsidR="00D91DE8" w:rsidRPr="00467440">
              <w:rPr>
                <w:rStyle w:val="Hyperlink"/>
                <w:noProof/>
              </w:rPr>
              <w:t>Who will be assessed for suitability?</w:t>
            </w:r>
            <w:r w:rsidR="00D91DE8">
              <w:rPr>
                <w:noProof/>
                <w:webHidden/>
              </w:rPr>
              <w:tab/>
            </w:r>
            <w:r w:rsidR="00D91DE8">
              <w:rPr>
                <w:noProof/>
                <w:webHidden/>
              </w:rPr>
              <w:fldChar w:fldCharType="begin"/>
            </w:r>
            <w:r w:rsidR="00D91DE8">
              <w:rPr>
                <w:noProof/>
                <w:webHidden/>
              </w:rPr>
              <w:instrText xml:space="preserve"> PAGEREF _Toc520213240 \h </w:instrText>
            </w:r>
            <w:r w:rsidR="00D91DE8">
              <w:rPr>
                <w:noProof/>
                <w:webHidden/>
              </w:rPr>
            </w:r>
            <w:r w:rsidR="00D91DE8">
              <w:rPr>
                <w:noProof/>
                <w:webHidden/>
              </w:rPr>
              <w:fldChar w:fldCharType="separate"/>
            </w:r>
            <w:r w:rsidR="00D91DE8">
              <w:rPr>
                <w:noProof/>
                <w:webHidden/>
              </w:rPr>
              <w:t>2</w:t>
            </w:r>
            <w:r w:rsidR="00D91DE8">
              <w:rPr>
                <w:noProof/>
                <w:webHidden/>
              </w:rPr>
              <w:fldChar w:fldCharType="end"/>
            </w:r>
          </w:hyperlink>
        </w:p>
        <w:p w:rsidR="00D91DE8" w:rsidRDefault="00FF0147">
          <w:pPr>
            <w:pStyle w:val="TOC1"/>
            <w:rPr>
              <w:rFonts w:asciiTheme="minorHAnsi" w:eastAsiaTheme="minorEastAsia" w:hAnsiTheme="minorHAnsi"/>
              <w:noProof/>
              <w:sz w:val="22"/>
              <w:szCs w:val="22"/>
              <w:lang w:eastAsia="en-AU"/>
            </w:rPr>
          </w:pPr>
          <w:hyperlink w:anchor="_Toc520213241" w:history="1">
            <w:r w:rsidR="00D91DE8" w:rsidRPr="00467440">
              <w:rPr>
                <w:rStyle w:val="Hyperlink"/>
                <w:noProof/>
              </w:rPr>
              <w:t>How will the NDIS Commission assess suitability?</w:t>
            </w:r>
            <w:r w:rsidR="00D91DE8">
              <w:rPr>
                <w:noProof/>
                <w:webHidden/>
              </w:rPr>
              <w:tab/>
            </w:r>
            <w:r w:rsidR="00D91DE8">
              <w:rPr>
                <w:noProof/>
                <w:webHidden/>
              </w:rPr>
              <w:fldChar w:fldCharType="begin"/>
            </w:r>
            <w:r w:rsidR="00D91DE8">
              <w:rPr>
                <w:noProof/>
                <w:webHidden/>
              </w:rPr>
              <w:instrText xml:space="preserve"> PAGEREF _Toc520213241 \h </w:instrText>
            </w:r>
            <w:r w:rsidR="00D91DE8">
              <w:rPr>
                <w:noProof/>
                <w:webHidden/>
              </w:rPr>
            </w:r>
            <w:r w:rsidR="00D91DE8">
              <w:rPr>
                <w:noProof/>
                <w:webHidden/>
              </w:rPr>
              <w:fldChar w:fldCharType="separate"/>
            </w:r>
            <w:r w:rsidR="00D91DE8">
              <w:rPr>
                <w:noProof/>
                <w:webHidden/>
              </w:rPr>
              <w:t>2</w:t>
            </w:r>
            <w:r w:rsidR="00D91DE8">
              <w:rPr>
                <w:noProof/>
                <w:webHidden/>
              </w:rPr>
              <w:fldChar w:fldCharType="end"/>
            </w:r>
          </w:hyperlink>
        </w:p>
        <w:p w:rsidR="00D91DE8" w:rsidRDefault="00FF0147">
          <w:pPr>
            <w:pStyle w:val="TOC1"/>
            <w:rPr>
              <w:rFonts w:asciiTheme="minorHAnsi" w:eastAsiaTheme="minorEastAsia" w:hAnsiTheme="minorHAnsi"/>
              <w:noProof/>
              <w:sz w:val="22"/>
              <w:szCs w:val="22"/>
              <w:lang w:eastAsia="en-AU"/>
            </w:rPr>
          </w:pPr>
          <w:hyperlink w:anchor="_Toc520213242" w:history="1">
            <w:r w:rsidR="00D91DE8" w:rsidRPr="00D91DE8">
              <w:rPr>
                <w:rStyle w:val="Hyperlink"/>
                <w:rFonts w:eastAsiaTheme="majorEastAsia" w:cstheme="majorBidi"/>
                <w:noProof/>
              </w:rPr>
              <w:t>More information</w:t>
            </w:r>
            <w:r w:rsidR="00D91DE8">
              <w:rPr>
                <w:noProof/>
                <w:webHidden/>
              </w:rPr>
              <w:tab/>
            </w:r>
            <w:r w:rsidR="00D91DE8">
              <w:rPr>
                <w:noProof/>
                <w:webHidden/>
              </w:rPr>
              <w:fldChar w:fldCharType="begin"/>
            </w:r>
            <w:r w:rsidR="00D91DE8">
              <w:rPr>
                <w:noProof/>
                <w:webHidden/>
              </w:rPr>
              <w:instrText xml:space="preserve"> PAGEREF _Toc520213242 \h </w:instrText>
            </w:r>
            <w:r w:rsidR="00D91DE8">
              <w:rPr>
                <w:noProof/>
                <w:webHidden/>
              </w:rPr>
            </w:r>
            <w:r w:rsidR="00D91DE8">
              <w:rPr>
                <w:noProof/>
                <w:webHidden/>
              </w:rPr>
              <w:fldChar w:fldCharType="separate"/>
            </w:r>
            <w:r w:rsidR="00D91DE8">
              <w:rPr>
                <w:noProof/>
                <w:webHidden/>
              </w:rPr>
              <w:t>3</w:t>
            </w:r>
            <w:r w:rsidR="00D91DE8">
              <w:rPr>
                <w:noProof/>
                <w:webHidden/>
              </w:rPr>
              <w:fldChar w:fldCharType="end"/>
            </w:r>
          </w:hyperlink>
        </w:p>
        <w:p w:rsidR="00D91DE8" w:rsidRDefault="00FF0147">
          <w:pPr>
            <w:pStyle w:val="TOC2"/>
            <w:rPr>
              <w:rFonts w:asciiTheme="minorHAnsi" w:eastAsiaTheme="minorEastAsia" w:hAnsiTheme="minorHAnsi"/>
              <w:noProof/>
              <w:color w:val="auto"/>
              <w:sz w:val="22"/>
              <w:szCs w:val="22"/>
              <w:lang w:eastAsia="en-AU"/>
            </w:rPr>
          </w:pPr>
          <w:hyperlink w:anchor="_Toc520213243" w:history="1">
            <w:r w:rsidR="00D91DE8" w:rsidRPr="00467440">
              <w:rPr>
                <w:rStyle w:val="Hyperlink"/>
                <w:noProof/>
              </w:rPr>
              <w:t>What are the suitability criteria for providers?</w:t>
            </w:r>
            <w:r w:rsidR="00D91DE8">
              <w:rPr>
                <w:noProof/>
                <w:webHidden/>
              </w:rPr>
              <w:tab/>
            </w:r>
            <w:r w:rsidR="00D91DE8">
              <w:rPr>
                <w:noProof/>
                <w:webHidden/>
              </w:rPr>
              <w:fldChar w:fldCharType="begin"/>
            </w:r>
            <w:r w:rsidR="00D91DE8">
              <w:rPr>
                <w:noProof/>
                <w:webHidden/>
              </w:rPr>
              <w:instrText xml:space="preserve"> PAGEREF _Toc520213243 \h </w:instrText>
            </w:r>
            <w:r w:rsidR="00D91DE8">
              <w:rPr>
                <w:noProof/>
                <w:webHidden/>
              </w:rPr>
            </w:r>
            <w:r w:rsidR="00D91DE8">
              <w:rPr>
                <w:noProof/>
                <w:webHidden/>
              </w:rPr>
              <w:fldChar w:fldCharType="separate"/>
            </w:r>
            <w:r w:rsidR="00D91DE8">
              <w:rPr>
                <w:noProof/>
                <w:webHidden/>
              </w:rPr>
              <w:t>3</w:t>
            </w:r>
            <w:r w:rsidR="00D91DE8">
              <w:rPr>
                <w:noProof/>
                <w:webHidden/>
              </w:rPr>
              <w:fldChar w:fldCharType="end"/>
            </w:r>
          </w:hyperlink>
        </w:p>
        <w:p w:rsidR="00D91DE8" w:rsidRDefault="00FF0147">
          <w:pPr>
            <w:pStyle w:val="TOC2"/>
            <w:rPr>
              <w:rFonts w:asciiTheme="minorHAnsi" w:eastAsiaTheme="minorEastAsia" w:hAnsiTheme="minorHAnsi"/>
              <w:noProof/>
              <w:color w:val="auto"/>
              <w:sz w:val="22"/>
              <w:szCs w:val="22"/>
              <w:lang w:eastAsia="en-AU"/>
            </w:rPr>
          </w:pPr>
          <w:hyperlink w:anchor="_Toc520213244" w:history="1">
            <w:r w:rsidR="00D91DE8" w:rsidRPr="00467440">
              <w:rPr>
                <w:rStyle w:val="Hyperlink"/>
                <w:noProof/>
              </w:rPr>
              <w:t>What are the suitability criteria for key personnel?</w:t>
            </w:r>
            <w:r w:rsidR="00D91DE8">
              <w:rPr>
                <w:noProof/>
                <w:webHidden/>
              </w:rPr>
              <w:tab/>
            </w:r>
            <w:r w:rsidR="00D91DE8">
              <w:rPr>
                <w:noProof/>
                <w:webHidden/>
              </w:rPr>
              <w:fldChar w:fldCharType="begin"/>
            </w:r>
            <w:r w:rsidR="00D91DE8">
              <w:rPr>
                <w:noProof/>
                <w:webHidden/>
              </w:rPr>
              <w:instrText xml:space="preserve"> PAGEREF _Toc520213244 \h </w:instrText>
            </w:r>
            <w:r w:rsidR="00D91DE8">
              <w:rPr>
                <w:noProof/>
                <w:webHidden/>
              </w:rPr>
            </w:r>
            <w:r w:rsidR="00D91DE8">
              <w:rPr>
                <w:noProof/>
                <w:webHidden/>
              </w:rPr>
              <w:fldChar w:fldCharType="separate"/>
            </w:r>
            <w:r w:rsidR="00D91DE8">
              <w:rPr>
                <w:noProof/>
                <w:webHidden/>
              </w:rPr>
              <w:t>4</w:t>
            </w:r>
            <w:r w:rsidR="00D91DE8">
              <w:rPr>
                <w:noProof/>
                <w:webHidden/>
              </w:rPr>
              <w:fldChar w:fldCharType="end"/>
            </w:r>
          </w:hyperlink>
        </w:p>
        <w:p w:rsidR="00D91DE8" w:rsidRDefault="00FF0147">
          <w:pPr>
            <w:pStyle w:val="TOC2"/>
            <w:rPr>
              <w:rFonts w:asciiTheme="minorHAnsi" w:eastAsiaTheme="minorEastAsia" w:hAnsiTheme="minorHAnsi"/>
              <w:noProof/>
              <w:color w:val="auto"/>
              <w:sz w:val="22"/>
              <w:szCs w:val="22"/>
              <w:lang w:eastAsia="en-AU"/>
            </w:rPr>
          </w:pPr>
          <w:hyperlink w:anchor="_Toc520213245" w:history="1">
            <w:r w:rsidR="00D91DE8" w:rsidRPr="00467440">
              <w:rPr>
                <w:rStyle w:val="Hyperlink"/>
                <w:noProof/>
              </w:rPr>
              <w:t>Providing true and accurate information</w:t>
            </w:r>
            <w:r w:rsidR="00D91DE8">
              <w:rPr>
                <w:noProof/>
                <w:webHidden/>
              </w:rPr>
              <w:tab/>
            </w:r>
            <w:r w:rsidR="00D91DE8">
              <w:rPr>
                <w:noProof/>
                <w:webHidden/>
              </w:rPr>
              <w:fldChar w:fldCharType="begin"/>
            </w:r>
            <w:r w:rsidR="00D91DE8">
              <w:rPr>
                <w:noProof/>
                <w:webHidden/>
              </w:rPr>
              <w:instrText xml:space="preserve"> PAGEREF _Toc520213245 \h </w:instrText>
            </w:r>
            <w:r w:rsidR="00D91DE8">
              <w:rPr>
                <w:noProof/>
                <w:webHidden/>
              </w:rPr>
            </w:r>
            <w:r w:rsidR="00D91DE8">
              <w:rPr>
                <w:noProof/>
                <w:webHidden/>
              </w:rPr>
              <w:fldChar w:fldCharType="separate"/>
            </w:r>
            <w:r w:rsidR="00D91DE8">
              <w:rPr>
                <w:noProof/>
                <w:webHidden/>
              </w:rPr>
              <w:t>5</w:t>
            </w:r>
            <w:r w:rsidR="00D91DE8">
              <w:rPr>
                <w:noProof/>
                <w:webHidden/>
              </w:rPr>
              <w:fldChar w:fldCharType="end"/>
            </w:r>
          </w:hyperlink>
        </w:p>
        <w:p w:rsidR="00763F98" w:rsidRDefault="00763F98">
          <w:pPr>
            <w:rPr>
              <w:b/>
              <w:bCs/>
              <w:noProof/>
            </w:rPr>
          </w:pPr>
          <w:r>
            <w:rPr>
              <w:b/>
              <w:bCs/>
              <w:noProof/>
            </w:rPr>
            <w:fldChar w:fldCharType="end"/>
          </w:r>
        </w:p>
        <w:p w:rsidR="00763F98" w:rsidRPr="007601AA" w:rsidRDefault="00763F98" w:rsidP="007601AA">
          <w:pPr>
            <w:suppressAutoHyphens w:val="0"/>
            <w:spacing w:before="120" w:after="120" w:line="240" w:lineRule="auto"/>
            <w:rPr>
              <w:b/>
              <w:bCs/>
              <w:noProof/>
            </w:rPr>
          </w:pPr>
          <w:r>
            <w:rPr>
              <w:b/>
              <w:bCs/>
              <w:noProof/>
            </w:rPr>
            <w:br w:type="page"/>
          </w:r>
        </w:p>
      </w:sdtContent>
    </w:sdt>
    <w:p w:rsidR="00A652C8" w:rsidRDefault="00A652C8" w:rsidP="00A652C8">
      <w:pPr>
        <w:pStyle w:val="Heading1"/>
      </w:pPr>
      <w:bookmarkStart w:id="0" w:name="_Toc520213238"/>
      <w:r>
        <w:lastRenderedPageBreak/>
        <w:t>What is this guide about?</w:t>
      </w:r>
      <w:bookmarkEnd w:id="0"/>
      <w:r>
        <w:t xml:space="preserve"> </w:t>
      </w:r>
    </w:p>
    <w:p w:rsidR="0065035B" w:rsidRDefault="0065035B" w:rsidP="0065035B">
      <w:bookmarkStart w:id="1" w:name="_Toc391890681"/>
      <w:r w:rsidRPr="0065035B">
        <w:t xml:space="preserve">This guide forms part of the Registration Pack. It outlines the </w:t>
      </w:r>
      <w:r w:rsidR="00326201">
        <w:t xml:space="preserve">suitability assessment </w:t>
      </w:r>
      <w:r w:rsidRPr="0065035B">
        <w:t xml:space="preserve">process </w:t>
      </w:r>
      <w:r w:rsidR="00326201">
        <w:t xml:space="preserve">for </w:t>
      </w:r>
      <w:r w:rsidR="00763F98">
        <w:t>NDIS providers that are applying to register or renewing their registration</w:t>
      </w:r>
      <w:r w:rsidRPr="0065035B">
        <w:t xml:space="preserve"> with the NDIS Quality and Safeguards Commission (the NDIS Commission). </w:t>
      </w:r>
    </w:p>
    <w:p w:rsidR="00E53833" w:rsidRDefault="00E53833" w:rsidP="00E53833">
      <w:pPr>
        <w:pStyle w:val="Heading1"/>
      </w:pPr>
      <w:bookmarkStart w:id="2" w:name="_Toc520213239"/>
      <w:r>
        <w:t>What is the suitability assessment?</w:t>
      </w:r>
      <w:bookmarkEnd w:id="2"/>
    </w:p>
    <w:p w:rsidR="00763F98" w:rsidRDefault="00763F98" w:rsidP="005D49A6">
      <w:r>
        <w:t>As part of the NDIS Commission’s registration requirements NDIS Providers and their key person</w:t>
      </w:r>
      <w:r w:rsidR="00B0691D">
        <w:t>n</w:t>
      </w:r>
      <w:r>
        <w:t>el are required to undergo a</w:t>
      </w:r>
      <w:r w:rsidR="00B0691D">
        <w:t>n</w:t>
      </w:r>
      <w:r>
        <w:t xml:space="preserve"> assessment to determine their suitability to deliver NDIS supports and services</w:t>
      </w:r>
      <w:r w:rsidR="0047043E">
        <w:rPr>
          <w:rStyle w:val="FootnoteReference"/>
        </w:rPr>
        <w:footnoteReference w:id="1"/>
      </w:r>
      <w:r>
        <w:t xml:space="preserve">. </w:t>
      </w:r>
    </w:p>
    <w:p w:rsidR="00421161" w:rsidRDefault="005D49A6" w:rsidP="005D49A6">
      <w:r>
        <w:t xml:space="preserve">A summary of the </w:t>
      </w:r>
      <w:r w:rsidR="00B0691D">
        <w:t>criteria</w:t>
      </w:r>
      <w:r>
        <w:t xml:space="preserve"> that the NDIS Commission uses to assess suitability for both the provider and the key </w:t>
      </w:r>
      <w:r w:rsidR="00B0691D">
        <w:t>personnel</w:t>
      </w:r>
      <w:r>
        <w:t xml:space="preserve"> are </w:t>
      </w:r>
      <w:r w:rsidR="0047043E">
        <w:t>described in</w:t>
      </w:r>
      <w:r>
        <w:t xml:space="preserve"> this Guide.</w:t>
      </w:r>
    </w:p>
    <w:p w:rsidR="00E53833" w:rsidRDefault="00E53833" w:rsidP="00E53833">
      <w:pPr>
        <w:pStyle w:val="Heading1"/>
      </w:pPr>
      <w:bookmarkStart w:id="3" w:name="_Toc520213240"/>
      <w:r>
        <w:t>Who will be assessed for suitability?</w:t>
      </w:r>
      <w:bookmarkEnd w:id="3"/>
    </w:p>
    <w:p w:rsidR="00E27B0E" w:rsidRDefault="00734FA0" w:rsidP="00E27B0E">
      <w:r>
        <w:t>All providers</w:t>
      </w:r>
      <w:r w:rsidR="005D49A6">
        <w:t xml:space="preserve"> (applicants)</w:t>
      </w:r>
      <w:r>
        <w:t xml:space="preserve"> and their </w:t>
      </w:r>
      <w:r w:rsidR="005D49A6">
        <w:t xml:space="preserve">key personnel </w:t>
      </w:r>
      <w:r w:rsidR="00421161">
        <w:t xml:space="preserve">will be assessed for suitability as part of their registration application or registration renewal. </w:t>
      </w:r>
    </w:p>
    <w:p w:rsidR="00752B9C" w:rsidRDefault="00752B9C" w:rsidP="00752B9C">
      <w:pPr>
        <w:rPr>
          <w:rFonts w:cstheme="minorHAnsi"/>
          <w:lang w:val="en"/>
        </w:rPr>
      </w:pPr>
      <w:r w:rsidRPr="00691E05">
        <w:rPr>
          <w:rFonts w:cstheme="minorHAnsi"/>
          <w:lang w:val="en"/>
        </w:rPr>
        <w:t xml:space="preserve">“Key Personnel” </w:t>
      </w:r>
      <w:r w:rsidR="00763F98" w:rsidRPr="00691E05">
        <w:rPr>
          <w:rFonts w:cstheme="minorHAnsi"/>
          <w:lang w:val="en"/>
        </w:rPr>
        <w:t xml:space="preserve">means individuals who hold key executive, management </w:t>
      </w:r>
      <w:r w:rsidR="00763F98">
        <w:rPr>
          <w:rFonts w:cstheme="minorHAnsi"/>
          <w:lang w:val="en"/>
        </w:rPr>
        <w:t>or operational positions in an</w:t>
      </w:r>
      <w:r w:rsidR="00763F98" w:rsidRPr="00691E05">
        <w:rPr>
          <w:rFonts w:cstheme="minorHAnsi"/>
          <w:lang w:val="en"/>
        </w:rPr>
        <w:t xml:space="preserve"> organisation, such as directors, managers, board members, chief executive officer o</w:t>
      </w:r>
      <w:r w:rsidR="00763F98">
        <w:rPr>
          <w:rFonts w:cstheme="minorHAnsi"/>
          <w:lang w:val="en"/>
        </w:rPr>
        <w:t xml:space="preserve">r chairperson. You must disclose the requested information for all key personnel. </w:t>
      </w:r>
    </w:p>
    <w:p w:rsidR="005D49A6" w:rsidRDefault="005D49A6" w:rsidP="005D49A6">
      <w:pPr>
        <w:pStyle w:val="Heading1"/>
      </w:pPr>
      <w:bookmarkStart w:id="4" w:name="_Toc520213241"/>
      <w:r>
        <w:t>How will the NDIS Commission assess suitability?</w:t>
      </w:r>
      <w:bookmarkEnd w:id="4"/>
      <w:r>
        <w:t xml:space="preserve"> </w:t>
      </w:r>
    </w:p>
    <w:p w:rsidR="005D49A6" w:rsidRDefault="005D49A6" w:rsidP="005D49A6">
      <w:r>
        <w:t xml:space="preserve">There are a number of questions on the NDIS Provider registration application and registration renewal application that cover the suitability criteria. The NDIS Commission will consider the information provided in your application or renewal to conduct a suitability assessment. </w:t>
      </w:r>
    </w:p>
    <w:p w:rsidR="005D49A6" w:rsidRDefault="005D49A6" w:rsidP="005D49A6">
      <w:r>
        <w:t>All suitabili</w:t>
      </w:r>
      <w:r w:rsidR="000634DD">
        <w:t>ty assessments are on a case-by-</w:t>
      </w:r>
      <w:r>
        <w:t xml:space="preserve">case basis. The outcome of the suitability assessment will be taken into account by the NDIS Commission when making their registration decision to register or renew a registration of a NDIS Provider. </w:t>
      </w:r>
    </w:p>
    <w:p w:rsidR="0047043E" w:rsidRDefault="005D49A6" w:rsidP="005D49A6">
      <w:r>
        <w:t xml:space="preserve">You will not be advised of the outcome of the suitability assessment, however </w:t>
      </w:r>
      <w:r w:rsidR="00B0691D">
        <w:t xml:space="preserve">if there are issues of concern identified </w:t>
      </w:r>
      <w:r w:rsidR="0047043E">
        <w:t xml:space="preserve">by the NDIS Commission, </w:t>
      </w:r>
      <w:r w:rsidR="00B0691D">
        <w:t>you will be afforded a right of response before a r</w:t>
      </w:r>
      <w:r w:rsidR="000634DD">
        <w:t xml:space="preserve">egistration decision is made. </w:t>
      </w:r>
    </w:p>
    <w:p w:rsidR="005D49A6" w:rsidRPr="003141AB" w:rsidRDefault="0047043E" w:rsidP="005D49A6">
      <w:r>
        <w:t>When the NDIS Commission makes a final determination about the whole of your registration application, that determination will</w:t>
      </w:r>
      <w:r w:rsidR="00BA1429">
        <w:t xml:space="preserve"> </w:t>
      </w:r>
      <w:r w:rsidR="005D49A6">
        <w:t xml:space="preserve">include reasons for the decision. </w:t>
      </w:r>
    </w:p>
    <w:p w:rsidR="005D49A6" w:rsidRPr="0065035B" w:rsidRDefault="005D49A6" w:rsidP="005D49A6">
      <w:pPr>
        <w:keepNext/>
        <w:keepLines/>
        <w:spacing w:before="360"/>
        <w:outlineLvl w:val="0"/>
        <w:rPr>
          <w:rFonts w:asciiTheme="majorHAnsi" w:eastAsiaTheme="majorEastAsia" w:hAnsiTheme="majorHAnsi" w:cstheme="majorBidi"/>
          <w:b/>
          <w:color w:val="612C69"/>
          <w:sz w:val="40"/>
          <w:szCs w:val="40"/>
        </w:rPr>
      </w:pPr>
      <w:bookmarkStart w:id="5" w:name="_Toc520213242"/>
      <w:r w:rsidRPr="0065035B">
        <w:rPr>
          <w:rFonts w:asciiTheme="majorHAnsi" w:eastAsiaTheme="majorEastAsia" w:hAnsiTheme="majorHAnsi" w:cstheme="majorBidi"/>
          <w:b/>
          <w:color w:val="612C69"/>
          <w:sz w:val="40"/>
          <w:szCs w:val="40"/>
        </w:rPr>
        <w:lastRenderedPageBreak/>
        <w:t>More information</w:t>
      </w:r>
      <w:bookmarkEnd w:id="5"/>
      <w:r w:rsidRPr="0065035B">
        <w:rPr>
          <w:rFonts w:asciiTheme="majorHAnsi" w:eastAsiaTheme="majorEastAsia" w:hAnsiTheme="majorHAnsi" w:cstheme="majorBidi"/>
          <w:b/>
          <w:color w:val="612C69"/>
          <w:sz w:val="40"/>
          <w:szCs w:val="40"/>
        </w:rPr>
        <w:t xml:space="preserve"> </w:t>
      </w:r>
    </w:p>
    <w:p w:rsidR="005D49A6" w:rsidRPr="007433EA" w:rsidRDefault="005D49A6" w:rsidP="005D49A6">
      <w:r w:rsidRPr="0065035B">
        <w:t xml:space="preserve">Other guides forming part </w:t>
      </w:r>
      <w:r>
        <w:t xml:space="preserve">of the Registration </w:t>
      </w:r>
      <w:r w:rsidRPr="0065035B">
        <w:t>Pack can be found on the NDIS Commission’s website</w:t>
      </w:r>
      <w:r w:rsidR="00634136">
        <w:t xml:space="preserve"> </w:t>
      </w:r>
      <w:r w:rsidR="00634136">
        <w:rPr>
          <w:color w:val="auto"/>
        </w:rPr>
        <w:t xml:space="preserve">at </w:t>
      </w:r>
      <w:hyperlink r:id="rId12" w:history="1">
        <w:r w:rsidR="00634136">
          <w:rPr>
            <w:rStyle w:val="Hyperlink"/>
          </w:rPr>
          <w:t>www.ndiscommission.gov.au</w:t>
        </w:r>
      </w:hyperlink>
      <w:r w:rsidR="000E4D36">
        <w:rPr>
          <w:color w:val="auto"/>
        </w:rPr>
        <w:t>.</w:t>
      </w:r>
    </w:p>
    <w:p w:rsidR="00E27B0E" w:rsidRDefault="00E27B0E" w:rsidP="00E27B0E">
      <w:pPr>
        <w:pStyle w:val="Heading2"/>
      </w:pPr>
      <w:bookmarkStart w:id="6" w:name="_Toc520213243"/>
      <w:r>
        <w:t>What are the suitability criteria for providers?</w:t>
      </w:r>
      <w:bookmarkEnd w:id="6"/>
    </w:p>
    <w:p w:rsidR="00744C07" w:rsidRPr="000634DD" w:rsidRDefault="00F03743" w:rsidP="003538DF">
      <w:r>
        <w:t>There are a number of criteria which the NDIS Commission must consider when assessing the suitability of a provider</w:t>
      </w:r>
      <w:r w:rsidR="0047043E">
        <w:rPr>
          <w:rStyle w:val="FootnoteReference"/>
        </w:rPr>
        <w:footnoteReference w:id="2"/>
      </w:r>
      <w:r>
        <w:t xml:space="preserve">. </w:t>
      </w:r>
    </w:p>
    <w:tbl>
      <w:tblPr>
        <w:tblStyle w:val="NDISCommission1"/>
        <w:tblW w:w="5000" w:type="pct"/>
        <w:tblBorders>
          <w:bottom w:val="single" w:sz="4" w:space="0" w:color="962C8B" w:themeColor="accent2"/>
          <w:insideH w:val="single" w:sz="4" w:space="0" w:color="962C8B" w:themeColor="accent2"/>
          <w:insideV w:val="single" w:sz="4" w:space="0" w:color="962C8B" w:themeColor="accent2"/>
        </w:tblBorders>
        <w:tblLook w:val="04A0" w:firstRow="1" w:lastRow="0" w:firstColumn="1" w:lastColumn="0" w:noHBand="0" w:noVBand="1"/>
        <w:tblDescription w:val="Suitability criteria for assessing the suitability of a provider."/>
      </w:tblPr>
      <w:tblGrid>
        <w:gridCol w:w="9016"/>
      </w:tblGrid>
      <w:tr w:rsidR="0021154A" w:rsidTr="00E9385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tcPr>
          <w:p w:rsidR="0021154A" w:rsidRDefault="0021154A" w:rsidP="00684DAB">
            <w:r>
              <w:t>Suitability Criteria</w:t>
            </w:r>
          </w:p>
        </w:tc>
      </w:tr>
      <w:tr w:rsidR="0021154A" w:rsidTr="002115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rsidR="0021154A" w:rsidRPr="00684DAB" w:rsidRDefault="0021154A" w:rsidP="00684DAB">
            <w:pPr>
              <w:pStyle w:val="ListParagraph"/>
              <w:numPr>
                <w:ilvl w:val="0"/>
                <w:numId w:val="21"/>
              </w:numPr>
              <w:rPr>
                <w:rFonts w:asciiTheme="minorHAnsi" w:hAnsiTheme="minorHAnsi" w:cstheme="minorHAnsi"/>
                <w:b w:val="0"/>
              </w:rPr>
            </w:pPr>
            <w:r>
              <w:rPr>
                <w:rFonts w:asciiTheme="minorHAnsi" w:hAnsiTheme="minorHAnsi" w:cstheme="minorHAnsi"/>
                <w:b w:val="0"/>
              </w:rPr>
              <w:t>w</w:t>
            </w:r>
            <w:r w:rsidRPr="00684DAB">
              <w:rPr>
                <w:rFonts w:asciiTheme="minorHAnsi" w:hAnsiTheme="minorHAnsi" w:cstheme="minorHAnsi"/>
                <w:b w:val="0"/>
              </w:rPr>
              <w:t xml:space="preserve">hether the applicant has </w:t>
            </w:r>
            <w:r w:rsidRPr="0021154A">
              <w:rPr>
                <w:rFonts w:asciiTheme="minorHAnsi" w:hAnsiTheme="minorHAnsi" w:cstheme="minorHAnsi"/>
              </w:rPr>
              <w:t>previously been registered</w:t>
            </w:r>
            <w:r w:rsidRPr="00684DAB">
              <w:rPr>
                <w:rFonts w:asciiTheme="minorHAnsi" w:hAnsiTheme="minorHAnsi" w:cstheme="minorHAnsi"/>
                <w:b w:val="0"/>
              </w:rPr>
              <w:t xml:space="preserve"> as a registered NDIS provider or a registered provider of supports</w:t>
            </w:r>
          </w:p>
        </w:tc>
      </w:tr>
      <w:tr w:rsidR="0021154A" w:rsidTr="0021154A">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rsidR="0021154A" w:rsidRPr="00684DAB" w:rsidRDefault="0021154A" w:rsidP="00684DAB">
            <w:pPr>
              <w:pStyle w:val="ListParagraph"/>
              <w:numPr>
                <w:ilvl w:val="0"/>
                <w:numId w:val="21"/>
              </w:numPr>
              <w:rPr>
                <w:rFonts w:asciiTheme="minorHAnsi" w:hAnsiTheme="minorHAnsi" w:cstheme="minorHAnsi"/>
                <w:b w:val="0"/>
              </w:rPr>
            </w:pPr>
            <w:r w:rsidRPr="00684DAB">
              <w:rPr>
                <w:rFonts w:asciiTheme="minorHAnsi" w:hAnsiTheme="minorHAnsi" w:cstheme="minorHAnsi"/>
                <w:b w:val="0"/>
              </w:rPr>
              <w:t xml:space="preserve">whether a </w:t>
            </w:r>
            <w:r w:rsidRPr="001E747D">
              <w:rPr>
                <w:rFonts w:asciiTheme="minorHAnsi" w:hAnsiTheme="minorHAnsi" w:cstheme="minorHAnsi"/>
              </w:rPr>
              <w:t>banning order</w:t>
            </w:r>
            <w:r w:rsidRPr="00684DAB">
              <w:rPr>
                <w:rFonts w:asciiTheme="minorHAnsi" w:hAnsiTheme="minorHAnsi" w:cstheme="minorHAnsi"/>
                <w:b w:val="0"/>
              </w:rPr>
              <w:t xml:space="preserve"> has ever been in force in relation </w:t>
            </w:r>
            <w:r>
              <w:rPr>
                <w:rFonts w:asciiTheme="minorHAnsi" w:hAnsiTheme="minorHAnsi" w:cstheme="minorHAnsi"/>
                <w:b w:val="0"/>
              </w:rPr>
              <w:t>to the applicant</w:t>
            </w:r>
          </w:p>
        </w:tc>
      </w:tr>
      <w:tr w:rsidR="0021154A" w:rsidTr="002115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rsidR="0021154A" w:rsidRPr="00684DAB" w:rsidRDefault="0021154A" w:rsidP="00684DAB">
            <w:pPr>
              <w:pStyle w:val="ListParagraph"/>
              <w:numPr>
                <w:ilvl w:val="0"/>
                <w:numId w:val="21"/>
              </w:numPr>
              <w:rPr>
                <w:rFonts w:asciiTheme="minorHAnsi" w:hAnsiTheme="minorHAnsi" w:cstheme="minorHAnsi"/>
                <w:b w:val="0"/>
              </w:rPr>
            </w:pPr>
            <w:r w:rsidRPr="00684DAB">
              <w:rPr>
                <w:rFonts w:asciiTheme="minorHAnsi" w:hAnsiTheme="minorHAnsi" w:cstheme="minorHAnsi"/>
                <w:b w:val="0"/>
              </w:rPr>
              <w:t xml:space="preserve">whether the applicant has been </w:t>
            </w:r>
            <w:r w:rsidRPr="009A2590">
              <w:rPr>
                <w:rFonts w:asciiTheme="minorHAnsi" w:hAnsiTheme="minorHAnsi" w:cstheme="minorHAnsi"/>
              </w:rPr>
              <w:t>convicted of an indictable offence</w:t>
            </w:r>
            <w:r w:rsidRPr="00684DAB">
              <w:rPr>
                <w:rFonts w:asciiTheme="minorHAnsi" w:hAnsiTheme="minorHAnsi" w:cstheme="minorHAnsi"/>
                <w:b w:val="0"/>
              </w:rPr>
              <w:t xml:space="preserve"> against a law of the Commonwealth or of a State or Territory</w:t>
            </w:r>
          </w:p>
        </w:tc>
      </w:tr>
      <w:tr w:rsidR="0021154A" w:rsidTr="0021154A">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rsidR="0021154A" w:rsidRPr="00684DAB" w:rsidRDefault="0021154A" w:rsidP="00684DAB">
            <w:pPr>
              <w:pStyle w:val="ListParagraph"/>
              <w:numPr>
                <w:ilvl w:val="0"/>
                <w:numId w:val="21"/>
              </w:numPr>
              <w:rPr>
                <w:rFonts w:asciiTheme="minorHAnsi" w:hAnsiTheme="minorHAnsi" w:cstheme="minorHAnsi"/>
                <w:b w:val="0"/>
              </w:rPr>
            </w:pPr>
            <w:r w:rsidRPr="00684DAB">
              <w:rPr>
                <w:rFonts w:asciiTheme="minorHAnsi" w:hAnsiTheme="minorHAnsi" w:cstheme="minorHAnsi"/>
                <w:b w:val="0"/>
              </w:rPr>
              <w:t xml:space="preserve">whether the applicant is or has been an </w:t>
            </w:r>
            <w:r w:rsidRPr="009A2590">
              <w:rPr>
                <w:rFonts w:asciiTheme="minorHAnsi" w:hAnsiTheme="minorHAnsi" w:cstheme="minorHAnsi"/>
              </w:rPr>
              <w:t>insolvent under administration</w:t>
            </w:r>
          </w:p>
        </w:tc>
      </w:tr>
      <w:tr w:rsidR="0021154A" w:rsidTr="002115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rsidR="0021154A" w:rsidRPr="00684DAB" w:rsidRDefault="0021154A" w:rsidP="00684DAB">
            <w:pPr>
              <w:pStyle w:val="ListParagraph"/>
              <w:numPr>
                <w:ilvl w:val="0"/>
                <w:numId w:val="21"/>
              </w:numPr>
              <w:rPr>
                <w:rFonts w:asciiTheme="minorHAnsi" w:hAnsiTheme="minorHAnsi" w:cstheme="minorHAnsi"/>
                <w:b w:val="0"/>
              </w:rPr>
            </w:pPr>
            <w:r w:rsidRPr="00684DAB">
              <w:rPr>
                <w:rFonts w:asciiTheme="minorHAnsi" w:hAnsiTheme="minorHAnsi" w:cstheme="minorHAnsi"/>
                <w:b w:val="0"/>
              </w:rPr>
              <w:t xml:space="preserve">whether the applicant has been the subject of </w:t>
            </w:r>
            <w:r w:rsidRPr="009A2590">
              <w:rPr>
                <w:rFonts w:asciiTheme="minorHAnsi" w:hAnsiTheme="minorHAnsi" w:cstheme="minorHAnsi"/>
              </w:rPr>
              <w:t xml:space="preserve">adverse findings or enforcement action </w:t>
            </w:r>
            <w:r w:rsidRPr="00684DAB">
              <w:rPr>
                <w:rFonts w:asciiTheme="minorHAnsi" w:hAnsiTheme="minorHAnsi" w:cstheme="minorHAnsi"/>
                <w:b w:val="0"/>
              </w:rPr>
              <w:t>by a Department of, or an authority or other body established for a public purpose by, the Commonwealth, a State or a Territory, including one with responsibilities relating to the quality or regulation of services provided to people with disability, older people or children</w:t>
            </w:r>
          </w:p>
        </w:tc>
      </w:tr>
      <w:tr w:rsidR="0021154A" w:rsidTr="0021154A">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rsidR="0021154A" w:rsidRPr="00684DAB" w:rsidRDefault="0021154A" w:rsidP="00684DAB">
            <w:pPr>
              <w:pStyle w:val="ListParagraph"/>
              <w:numPr>
                <w:ilvl w:val="0"/>
                <w:numId w:val="21"/>
              </w:numPr>
              <w:rPr>
                <w:rFonts w:asciiTheme="minorHAnsi" w:hAnsiTheme="minorHAnsi" w:cstheme="minorHAnsi"/>
                <w:b w:val="0"/>
              </w:rPr>
            </w:pPr>
            <w:r w:rsidRPr="00684DAB">
              <w:rPr>
                <w:rFonts w:asciiTheme="minorHAnsi" w:hAnsiTheme="minorHAnsi" w:cstheme="minorHAnsi"/>
                <w:b w:val="0"/>
              </w:rPr>
              <w:t xml:space="preserve">whether the applicant has been the subject of </w:t>
            </w:r>
            <w:r w:rsidRPr="009A2590">
              <w:rPr>
                <w:rFonts w:asciiTheme="minorHAnsi" w:hAnsiTheme="minorHAnsi" w:cstheme="minorHAnsi"/>
              </w:rPr>
              <w:t>adverse findings or enforcement action</w:t>
            </w:r>
            <w:r w:rsidRPr="00684DAB">
              <w:rPr>
                <w:rFonts w:asciiTheme="minorHAnsi" w:hAnsiTheme="minorHAnsi" w:cstheme="minorHAnsi"/>
                <w:b w:val="0"/>
              </w:rPr>
              <w:t xml:space="preserve"> by any of the following: </w:t>
            </w:r>
          </w:p>
          <w:p w:rsidR="0021154A" w:rsidRDefault="0021154A" w:rsidP="00684DAB">
            <w:pPr>
              <w:pStyle w:val="Default"/>
              <w:numPr>
                <w:ilvl w:val="0"/>
                <w:numId w:val="22"/>
              </w:numPr>
              <w:rPr>
                <w:rFonts w:asciiTheme="minorHAnsi" w:hAnsiTheme="minorHAnsi" w:cstheme="minorHAnsi"/>
                <w:b w:val="0"/>
              </w:rPr>
            </w:pPr>
            <w:r w:rsidRPr="00684DAB">
              <w:rPr>
                <w:rFonts w:asciiTheme="minorHAnsi" w:hAnsiTheme="minorHAnsi" w:cstheme="minorHAnsi"/>
                <w:b w:val="0"/>
              </w:rPr>
              <w:t xml:space="preserve">the Australian Securities and Investment Commission; </w:t>
            </w:r>
          </w:p>
          <w:p w:rsidR="0021154A" w:rsidRDefault="0021154A" w:rsidP="00684DAB">
            <w:pPr>
              <w:pStyle w:val="Default"/>
              <w:numPr>
                <w:ilvl w:val="0"/>
                <w:numId w:val="22"/>
              </w:numPr>
              <w:rPr>
                <w:rFonts w:asciiTheme="minorHAnsi" w:hAnsiTheme="minorHAnsi" w:cstheme="minorHAnsi"/>
                <w:b w:val="0"/>
              </w:rPr>
            </w:pPr>
            <w:r w:rsidRPr="00684DAB">
              <w:rPr>
                <w:rFonts w:asciiTheme="minorHAnsi" w:hAnsiTheme="minorHAnsi" w:cstheme="minorHAnsi"/>
                <w:b w:val="0"/>
              </w:rPr>
              <w:t xml:space="preserve">the Australian Charities and Not-for-profits Commission; </w:t>
            </w:r>
          </w:p>
          <w:p w:rsidR="0021154A" w:rsidRDefault="0021154A" w:rsidP="00684DAB">
            <w:pPr>
              <w:pStyle w:val="Default"/>
              <w:numPr>
                <w:ilvl w:val="0"/>
                <w:numId w:val="22"/>
              </w:numPr>
              <w:rPr>
                <w:rFonts w:asciiTheme="minorHAnsi" w:hAnsiTheme="minorHAnsi" w:cstheme="minorHAnsi"/>
                <w:b w:val="0"/>
              </w:rPr>
            </w:pPr>
            <w:r w:rsidRPr="00684DAB">
              <w:rPr>
                <w:rFonts w:asciiTheme="minorHAnsi" w:hAnsiTheme="minorHAnsi" w:cstheme="minorHAnsi"/>
                <w:b w:val="0"/>
              </w:rPr>
              <w:t xml:space="preserve">the Australian Competition and Consumer Commission; </w:t>
            </w:r>
          </w:p>
          <w:p w:rsidR="0021154A" w:rsidRDefault="0021154A" w:rsidP="00684DAB">
            <w:pPr>
              <w:pStyle w:val="Default"/>
              <w:numPr>
                <w:ilvl w:val="0"/>
                <w:numId w:val="22"/>
              </w:numPr>
              <w:rPr>
                <w:rFonts w:asciiTheme="minorHAnsi" w:hAnsiTheme="minorHAnsi" w:cstheme="minorHAnsi"/>
                <w:b w:val="0"/>
              </w:rPr>
            </w:pPr>
            <w:r w:rsidRPr="00684DAB">
              <w:rPr>
                <w:rFonts w:asciiTheme="minorHAnsi" w:hAnsiTheme="minorHAnsi" w:cstheme="minorHAnsi"/>
                <w:b w:val="0"/>
              </w:rPr>
              <w:t xml:space="preserve">the Australian Prudential Regulation Authority; </w:t>
            </w:r>
          </w:p>
          <w:p w:rsidR="0021154A" w:rsidRDefault="0021154A" w:rsidP="00684DAB">
            <w:pPr>
              <w:pStyle w:val="Default"/>
              <w:numPr>
                <w:ilvl w:val="0"/>
                <w:numId w:val="22"/>
              </w:numPr>
              <w:rPr>
                <w:rFonts w:asciiTheme="minorHAnsi" w:hAnsiTheme="minorHAnsi" w:cstheme="minorHAnsi"/>
                <w:b w:val="0"/>
              </w:rPr>
            </w:pPr>
            <w:r w:rsidRPr="00684DAB">
              <w:rPr>
                <w:rFonts w:asciiTheme="minorHAnsi" w:hAnsiTheme="minorHAnsi" w:cstheme="minorHAnsi"/>
                <w:b w:val="0"/>
              </w:rPr>
              <w:t xml:space="preserve">the Australian Crime Commission; </w:t>
            </w:r>
          </w:p>
          <w:p w:rsidR="0021154A" w:rsidRDefault="0021154A" w:rsidP="0021154A">
            <w:pPr>
              <w:pStyle w:val="Default"/>
              <w:numPr>
                <w:ilvl w:val="0"/>
                <w:numId w:val="22"/>
              </w:numPr>
              <w:rPr>
                <w:rFonts w:asciiTheme="minorHAnsi" w:hAnsiTheme="minorHAnsi" w:cstheme="minorHAnsi"/>
                <w:b w:val="0"/>
              </w:rPr>
            </w:pPr>
            <w:r w:rsidRPr="00684DAB">
              <w:rPr>
                <w:rFonts w:asciiTheme="minorHAnsi" w:hAnsiTheme="minorHAnsi" w:cstheme="minorHAnsi"/>
                <w:b w:val="0"/>
              </w:rPr>
              <w:t xml:space="preserve">AUSTRAC; </w:t>
            </w:r>
          </w:p>
          <w:p w:rsidR="0021154A" w:rsidRPr="0021154A" w:rsidRDefault="0021154A" w:rsidP="0021154A">
            <w:pPr>
              <w:pStyle w:val="Default"/>
              <w:numPr>
                <w:ilvl w:val="0"/>
                <w:numId w:val="22"/>
              </w:numPr>
              <w:ind w:left="592"/>
              <w:rPr>
                <w:rFonts w:asciiTheme="minorHAnsi" w:hAnsiTheme="minorHAnsi" w:cstheme="minorHAnsi"/>
                <w:b w:val="0"/>
              </w:rPr>
            </w:pPr>
            <w:r w:rsidRPr="0021154A">
              <w:rPr>
                <w:rFonts w:asciiTheme="minorHAnsi" w:hAnsiTheme="minorHAnsi" w:cstheme="minorHAnsi"/>
                <w:b w:val="0"/>
              </w:rPr>
              <w:t>a body of a State or Territory that is equivalent to a body mentioned in any of subparagraphs (</w:t>
            </w:r>
            <w:proofErr w:type="spellStart"/>
            <w:r w:rsidRPr="0021154A">
              <w:rPr>
                <w:rFonts w:asciiTheme="minorHAnsi" w:hAnsiTheme="minorHAnsi" w:cstheme="minorHAnsi"/>
                <w:b w:val="0"/>
              </w:rPr>
              <w:t>i</w:t>
            </w:r>
            <w:proofErr w:type="spellEnd"/>
            <w:r w:rsidRPr="0021154A">
              <w:rPr>
                <w:rFonts w:asciiTheme="minorHAnsi" w:hAnsiTheme="minorHAnsi" w:cstheme="minorHAnsi"/>
                <w:b w:val="0"/>
              </w:rPr>
              <w:t xml:space="preserve">) to (vi); </w:t>
            </w:r>
          </w:p>
          <w:p w:rsidR="0021154A" w:rsidRDefault="0021154A" w:rsidP="0021154A">
            <w:pPr>
              <w:pStyle w:val="Default"/>
              <w:numPr>
                <w:ilvl w:val="0"/>
                <w:numId w:val="22"/>
              </w:numPr>
              <w:ind w:left="592"/>
              <w:rPr>
                <w:rFonts w:asciiTheme="minorHAnsi" w:hAnsiTheme="minorHAnsi" w:cstheme="minorHAnsi"/>
                <w:b w:val="0"/>
              </w:rPr>
            </w:pPr>
            <w:r w:rsidRPr="00684DAB">
              <w:rPr>
                <w:rFonts w:asciiTheme="minorHAnsi" w:hAnsiTheme="minorHAnsi" w:cstheme="minorHAnsi"/>
                <w:b w:val="0"/>
              </w:rPr>
              <w:t>a work health and safety au</w:t>
            </w:r>
            <w:r>
              <w:rPr>
                <w:rFonts w:asciiTheme="minorHAnsi" w:hAnsiTheme="minorHAnsi" w:cstheme="minorHAnsi"/>
                <w:b w:val="0"/>
              </w:rPr>
              <w:t>thority of a State or Territory</w:t>
            </w:r>
          </w:p>
          <w:p w:rsidR="00830E80" w:rsidRDefault="00830E80" w:rsidP="00830E80">
            <w:pPr>
              <w:pStyle w:val="Default"/>
              <w:rPr>
                <w:rFonts w:asciiTheme="minorHAnsi" w:hAnsiTheme="minorHAnsi" w:cstheme="minorHAnsi"/>
                <w:b w:val="0"/>
              </w:rPr>
            </w:pPr>
          </w:p>
          <w:p w:rsidR="00830E80" w:rsidRPr="00684DAB" w:rsidRDefault="00830E80" w:rsidP="00830E80">
            <w:pPr>
              <w:pStyle w:val="Default"/>
              <w:rPr>
                <w:rFonts w:asciiTheme="minorHAnsi" w:hAnsiTheme="minorHAnsi" w:cstheme="minorHAnsi"/>
                <w:b w:val="0"/>
              </w:rPr>
            </w:pPr>
          </w:p>
        </w:tc>
      </w:tr>
      <w:tr w:rsidR="0021154A" w:rsidTr="002115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rsidR="0021154A" w:rsidRPr="00684DAB" w:rsidRDefault="0021154A" w:rsidP="00684DAB">
            <w:pPr>
              <w:pStyle w:val="ListParagraph"/>
              <w:numPr>
                <w:ilvl w:val="0"/>
                <w:numId w:val="21"/>
              </w:numPr>
              <w:rPr>
                <w:rFonts w:asciiTheme="minorHAnsi" w:hAnsiTheme="minorHAnsi" w:cstheme="minorHAnsi"/>
                <w:b w:val="0"/>
              </w:rPr>
            </w:pPr>
            <w:r w:rsidRPr="00684DAB">
              <w:rPr>
                <w:rFonts w:asciiTheme="minorHAnsi" w:hAnsiTheme="minorHAnsi" w:cstheme="minorHAnsi"/>
                <w:b w:val="0"/>
              </w:rPr>
              <w:lastRenderedPageBreak/>
              <w:t xml:space="preserve">whether the applicant has been the subject of any findings or judgment in relation to </w:t>
            </w:r>
            <w:r w:rsidRPr="009A2590">
              <w:rPr>
                <w:rFonts w:asciiTheme="minorHAnsi" w:hAnsiTheme="minorHAnsi" w:cstheme="minorHAnsi"/>
              </w:rPr>
              <w:t xml:space="preserve">fraud, misrepresentation or dishonesty </w:t>
            </w:r>
            <w:r w:rsidRPr="00684DAB">
              <w:rPr>
                <w:rFonts w:asciiTheme="minorHAnsi" w:hAnsiTheme="minorHAnsi" w:cstheme="minorHAnsi"/>
                <w:b w:val="0"/>
              </w:rPr>
              <w:t>in any administrative, civil or criminal proceedings, or is currently party to any proceedings that may result in the applicant being the subject of such findings or judgment;</w:t>
            </w:r>
          </w:p>
        </w:tc>
      </w:tr>
      <w:tr w:rsidR="0021154A" w:rsidTr="0021154A">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rsidR="0021154A" w:rsidRPr="00684DAB" w:rsidRDefault="0021154A" w:rsidP="00684DAB">
            <w:pPr>
              <w:pStyle w:val="ListParagraph"/>
              <w:numPr>
                <w:ilvl w:val="0"/>
                <w:numId w:val="21"/>
              </w:numPr>
              <w:rPr>
                <w:rFonts w:asciiTheme="minorHAnsi" w:hAnsiTheme="minorHAnsi" w:cstheme="minorHAnsi"/>
                <w:b w:val="0"/>
              </w:rPr>
            </w:pPr>
            <w:r w:rsidRPr="00684DAB">
              <w:rPr>
                <w:rFonts w:asciiTheme="minorHAnsi" w:hAnsiTheme="minorHAnsi" w:cstheme="minorHAnsi"/>
                <w:b w:val="0"/>
              </w:rPr>
              <w:t xml:space="preserve">whether the applicant has ever been </w:t>
            </w:r>
            <w:r w:rsidRPr="009A2590">
              <w:rPr>
                <w:rFonts w:asciiTheme="minorHAnsi" w:hAnsiTheme="minorHAnsi" w:cstheme="minorHAnsi"/>
              </w:rPr>
              <w:t>disqualified from managing corporations</w:t>
            </w:r>
            <w:r w:rsidRPr="00684DAB">
              <w:rPr>
                <w:rFonts w:asciiTheme="minorHAnsi" w:hAnsiTheme="minorHAnsi" w:cstheme="minorHAnsi"/>
                <w:b w:val="0"/>
              </w:rPr>
              <w:t xml:space="preserve"> under Part 2D.6 of the </w:t>
            </w:r>
            <w:r w:rsidRPr="00684DAB">
              <w:rPr>
                <w:rFonts w:asciiTheme="minorHAnsi" w:hAnsiTheme="minorHAnsi" w:cstheme="minorHAnsi"/>
                <w:b w:val="0"/>
                <w:i/>
                <w:iCs/>
              </w:rPr>
              <w:t>Corporations Act 2001</w:t>
            </w:r>
            <w:r w:rsidRPr="00684DAB">
              <w:rPr>
                <w:rFonts w:asciiTheme="minorHAnsi" w:hAnsiTheme="minorHAnsi" w:cstheme="minorHAnsi"/>
                <w:b w:val="0"/>
              </w:rPr>
              <w:t>;</w:t>
            </w:r>
          </w:p>
        </w:tc>
      </w:tr>
      <w:tr w:rsidR="0021154A" w:rsidTr="002115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rsidR="0021154A" w:rsidRPr="00684DAB" w:rsidRDefault="0021154A" w:rsidP="00684DAB">
            <w:pPr>
              <w:pStyle w:val="ListParagraph"/>
              <w:numPr>
                <w:ilvl w:val="0"/>
                <w:numId w:val="21"/>
              </w:numPr>
              <w:rPr>
                <w:rFonts w:asciiTheme="minorHAnsi" w:hAnsiTheme="minorHAnsi" w:cstheme="minorHAnsi"/>
                <w:b w:val="0"/>
              </w:rPr>
            </w:pPr>
            <w:r w:rsidRPr="00684DAB">
              <w:rPr>
                <w:rFonts w:asciiTheme="minorHAnsi" w:hAnsiTheme="minorHAnsi" w:cstheme="minorHAnsi"/>
                <w:b w:val="0"/>
              </w:rPr>
              <w:t>any other matter the Commissioner considers relevant</w:t>
            </w:r>
          </w:p>
        </w:tc>
      </w:tr>
    </w:tbl>
    <w:p w:rsidR="00E27B0E" w:rsidRDefault="00E27B0E" w:rsidP="00E27B0E">
      <w:pPr>
        <w:pStyle w:val="Heading2"/>
      </w:pPr>
      <w:bookmarkStart w:id="7" w:name="_Toc520213244"/>
      <w:r>
        <w:t xml:space="preserve">What are the suitability criteria for </w:t>
      </w:r>
      <w:r w:rsidR="00763F98">
        <w:t>k</w:t>
      </w:r>
      <w:r>
        <w:t xml:space="preserve">ey </w:t>
      </w:r>
      <w:r w:rsidR="00763F98">
        <w:t>p</w:t>
      </w:r>
      <w:r>
        <w:t>ersonnel?</w:t>
      </w:r>
      <w:bookmarkEnd w:id="7"/>
    </w:p>
    <w:p w:rsidR="003538DF" w:rsidRPr="003538DF" w:rsidRDefault="007E6373" w:rsidP="003538DF">
      <w:pPr>
        <w:rPr>
          <w:i/>
        </w:rPr>
      </w:pPr>
      <w:r>
        <w:t xml:space="preserve">There are a number of </w:t>
      </w:r>
      <w:r w:rsidR="00830E80">
        <w:t>criteria that</w:t>
      </w:r>
      <w:r>
        <w:t xml:space="preserve"> the NDIS Commission must consider when assessing the suitability of a provider</w:t>
      </w:r>
      <w:r w:rsidR="006E70D4">
        <w:t xml:space="preserve">’s </w:t>
      </w:r>
      <w:r w:rsidR="00763F98">
        <w:t>k</w:t>
      </w:r>
      <w:r w:rsidR="006E70D4">
        <w:t xml:space="preserve">ey </w:t>
      </w:r>
      <w:r w:rsidR="00763F98">
        <w:t>p</w:t>
      </w:r>
      <w:r w:rsidR="006E70D4">
        <w:t>ersonnel</w:t>
      </w:r>
      <w:r w:rsidR="00AE5321">
        <w:rPr>
          <w:rStyle w:val="FootnoteReference"/>
        </w:rPr>
        <w:footnoteReference w:id="3"/>
      </w:r>
      <w:r>
        <w:t>.</w:t>
      </w:r>
      <w:r w:rsidR="00744C07">
        <w:t xml:space="preserve"> </w:t>
      </w:r>
    </w:p>
    <w:tbl>
      <w:tblPr>
        <w:tblStyle w:val="NDISCommission1"/>
        <w:tblW w:w="5000" w:type="pct"/>
        <w:tblBorders>
          <w:insideH w:val="single" w:sz="4" w:space="0" w:color="962C8B" w:themeColor="accent2"/>
          <w:insideV w:val="single" w:sz="4" w:space="0" w:color="962C8B" w:themeColor="accent2"/>
        </w:tblBorders>
        <w:tblLook w:val="04A0" w:firstRow="1" w:lastRow="0" w:firstColumn="1" w:lastColumn="0" w:noHBand="0" w:noVBand="1"/>
        <w:tblDescription w:val="Suitability criteria for assessing the suitability of key personnel."/>
      </w:tblPr>
      <w:tblGrid>
        <w:gridCol w:w="9016"/>
      </w:tblGrid>
      <w:tr w:rsidR="007E6373" w:rsidTr="007E637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tcPr>
          <w:p w:rsidR="007E6373" w:rsidRDefault="007E6373" w:rsidP="00A16D8F">
            <w:r>
              <w:t>Suitability criteria</w:t>
            </w:r>
          </w:p>
        </w:tc>
      </w:tr>
      <w:tr w:rsidR="007E6373" w:rsidTr="007E6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rsidR="007E6373" w:rsidRPr="00DB23C8" w:rsidRDefault="007E6373" w:rsidP="00A16D8F">
            <w:pPr>
              <w:pStyle w:val="ListParagraph"/>
              <w:numPr>
                <w:ilvl w:val="0"/>
                <w:numId w:val="23"/>
              </w:numPr>
              <w:rPr>
                <w:rFonts w:asciiTheme="minorHAnsi" w:hAnsiTheme="minorHAnsi" w:cstheme="minorHAnsi"/>
                <w:b w:val="0"/>
              </w:rPr>
            </w:pPr>
            <w:r w:rsidRPr="00DB23C8">
              <w:rPr>
                <w:rFonts w:asciiTheme="minorHAnsi" w:hAnsiTheme="minorHAnsi" w:cstheme="minorHAnsi"/>
                <w:b w:val="0"/>
              </w:rPr>
              <w:t xml:space="preserve">whether a </w:t>
            </w:r>
            <w:r w:rsidRPr="009A2590">
              <w:rPr>
                <w:rFonts w:asciiTheme="minorHAnsi" w:hAnsiTheme="minorHAnsi" w:cstheme="minorHAnsi"/>
              </w:rPr>
              <w:t>banning order</w:t>
            </w:r>
            <w:r w:rsidRPr="00DB23C8">
              <w:rPr>
                <w:rFonts w:asciiTheme="minorHAnsi" w:hAnsiTheme="minorHAnsi" w:cstheme="minorHAnsi"/>
                <w:b w:val="0"/>
              </w:rPr>
              <w:t xml:space="preserve"> has ever been in force in relation to the member</w:t>
            </w:r>
          </w:p>
        </w:tc>
      </w:tr>
      <w:tr w:rsidR="007E6373" w:rsidTr="007E6373">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rsidR="007E6373" w:rsidRPr="00DB23C8" w:rsidRDefault="007E6373" w:rsidP="00A16D8F">
            <w:pPr>
              <w:pStyle w:val="ListParagraph"/>
              <w:numPr>
                <w:ilvl w:val="0"/>
                <w:numId w:val="23"/>
              </w:numPr>
              <w:rPr>
                <w:rFonts w:asciiTheme="minorHAnsi" w:hAnsiTheme="minorHAnsi" w:cstheme="minorHAnsi"/>
                <w:b w:val="0"/>
              </w:rPr>
            </w:pPr>
            <w:r w:rsidRPr="00DB23C8">
              <w:rPr>
                <w:rFonts w:asciiTheme="minorHAnsi" w:hAnsiTheme="minorHAnsi" w:cstheme="minorHAnsi"/>
                <w:b w:val="0"/>
              </w:rPr>
              <w:t xml:space="preserve">whether the member has been convicted of an </w:t>
            </w:r>
            <w:r w:rsidRPr="009A2590">
              <w:rPr>
                <w:rFonts w:asciiTheme="minorHAnsi" w:hAnsiTheme="minorHAnsi" w:cstheme="minorHAnsi"/>
              </w:rPr>
              <w:t>indictable offence</w:t>
            </w:r>
            <w:r w:rsidRPr="00DB23C8">
              <w:rPr>
                <w:rFonts w:asciiTheme="minorHAnsi" w:hAnsiTheme="minorHAnsi" w:cstheme="minorHAnsi"/>
                <w:b w:val="0"/>
              </w:rPr>
              <w:t xml:space="preserve"> against a law of the Commonwealth or of a State or Territory</w:t>
            </w:r>
          </w:p>
        </w:tc>
      </w:tr>
      <w:tr w:rsidR="007E6373" w:rsidTr="007E6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rsidR="007E6373" w:rsidRPr="00DB23C8" w:rsidRDefault="007E6373" w:rsidP="00A16D8F">
            <w:pPr>
              <w:pStyle w:val="ListParagraph"/>
              <w:numPr>
                <w:ilvl w:val="0"/>
                <w:numId w:val="23"/>
              </w:numPr>
              <w:rPr>
                <w:rFonts w:asciiTheme="minorHAnsi" w:hAnsiTheme="minorHAnsi" w:cstheme="minorHAnsi"/>
                <w:b w:val="0"/>
              </w:rPr>
            </w:pPr>
            <w:r w:rsidRPr="00DB23C8">
              <w:rPr>
                <w:rFonts w:asciiTheme="minorHAnsi" w:hAnsiTheme="minorHAnsi" w:cstheme="minorHAnsi"/>
                <w:b w:val="0"/>
              </w:rPr>
              <w:t xml:space="preserve">whether the member is or has been an </w:t>
            </w:r>
            <w:r w:rsidRPr="009A2590">
              <w:rPr>
                <w:rFonts w:asciiTheme="minorHAnsi" w:hAnsiTheme="minorHAnsi" w:cstheme="minorHAnsi"/>
              </w:rPr>
              <w:t>insolvent under administration</w:t>
            </w:r>
          </w:p>
        </w:tc>
      </w:tr>
      <w:tr w:rsidR="007E6373" w:rsidTr="007E6373">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rsidR="007E6373" w:rsidRPr="00DB23C8" w:rsidRDefault="007E6373" w:rsidP="00A16D8F">
            <w:pPr>
              <w:pStyle w:val="ListParagraph"/>
              <w:numPr>
                <w:ilvl w:val="0"/>
                <w:numId w:val="23"/>
              </w:numPr>
              <w:rPr>
                <w:rFonts w:asciiTheme="minorHAnsi" w:hAnsiTheme="minorHAnsi" w:cstheme="minorHAnsi"/>
                <w:b w:val="0"/>
              </w:rPr>
            </w:pPr>
            <w:r w:rsidRPr="00DB23C8">
              <w:rPr>
                <w:rFonts w:asciiTheme="minorHAnsi" w:hAnsiTheme="minorHAnsi" w:cstheme="minorHAnsi"/>
                <w:b w:val="0"/>
              </w:rPr>
              <w:t xml:space="preserve">whether the member has been the subject of </w:t>
            </w:r>
            <w:r w:rsidRPr="009A2590">
              <w:rPr>
                <w:rFonts w:asciiTheme="minorHAnsi" w:hAnsiTheme="minorHAnsi" w:cstheme="minorHAnsi"/>
              </w:rPr>
              <w:t>adverse findings or enforcement</w:t>
            </w:r>
            <w:r w:rsidRPr="00DB23C8">
              <w:rPr>
                <w:rFonts w:asciiTheme="minorHAnsi" w:hAnsiTheme="minorHAnsi" w:cstheme="minorHAnsi"/>
                <w:b w:val="0"/>
              </w:rPr>
              <w:t xml:space="preserve"> action by a Department of, or an authority or other body established for a public purpose by, the Commonwealth, a State or a Territory, including one with responsibilities relating to the quality or regulation of services provided to people with disability, older people and children</w:t>
            </w:r>
          </w:p>
        </w:tc>
      </w:tr>
      <w:tr w:rsidR="007E6373" w:rsidTr="007E6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rsidR="007E6373" w:rsidRDefault="007E6373" w:rsidP="00DB23C8">
            <w:pPr>
              <w:pStyle w:val="ListParagraph"/>
              <w:numPr>
                <w:ilvl w:val="0"/>
                <w:numId w:val="23"/>
              </w:numPr>
              <w:rPr>
                <w:rFonts w:asciiTheme="minorHAnsi" w:hAnsiTheme="minorHAnsi" w:cstheme="minorHAnsi"/>
                <w:b w:val="0"/>
              </w:rPr>
            </w:pPr>
            <w:r w:rsidRPr="00DB23C8">
              <w:rPr>
                <w:rFonts w:asciiTheme="minorHAnsi" w:hAnsiTheme="minorHAnsi" w:cstheme="minorHAnsi"/>
                <w:b w:val="0"/>
              </w:rPr>
              <w:t xml:space="preserve">whether the member has been the subject of </w:t>
            </w:r>
            <w:r w:rsidRPr="009A2590">
              <w:rPr>
                <w:rFonts w:asciiTheme="minorHAnsi" w:hAnsiTheme="minorHAnsi" w:cstheme="minorHAnsi"/>
              </w:rPr>
              <w:t>adverse findings or enforcement</w:t>
            </w:r>
            <w:r w:rsidRPr="00DB23C8">
              <w:rPr>
                <w:rFonts w:asciiTheme="minorHAnsi" w:hAnsiTheme="minorHAnsi" w:cstheme="minorHAnsi"/>
                <w:b w:val="0"/>
              </w:rPr>
              <w:t xml:space="preserve"> action following an investi</w:t>
            </w:r>
            <w:r>
              <w:rPr>
                <w:rFonts w:asciiTheme="minorHAnsi" w:hAnsiTheme="minorHAnsi" w:cstheme="minorHAnsi"/>
                <w:b w:val="0"/>
              </w:rPr>
              <w:t>gation by any of the following:</w:t>
            </w:r>
          </w:p>
          <w:p w:rsidR="007E6373" w:rsidRPr="00DB23C8" w:rsidRDefault="007E6373" w:rsidP="00DB23C8">
            <w:pPr>
              <w:pStyle w:val="Default"/>
              <w:numPr>
                <w:ilvl w:val="0"/>
                <w:numId w:val="24"/>
              </w:numPr>
              <w:rPr>
                <w:rFonts w:asciiTheme="minorHAnsi" w:hAnsiTheme="minorHAnsi" w:cstheme="minorHAnsi"/>
                <w:b w:val="0"/>
              </w:rPr>
            </w:pPr>
            <w:r w:rsidRPr="00DB23C8">
              <w:rPr>
                <w:rFonts w:asciiTheme="minorHAnsi" w:hAnsiTheme="minorHAnsi" w:cstheme="minorHAnsi"/>
                <w:b w:val="0"/>
              </w:rPr>
              <w:t xml:space="preserve">the Australian Securities and Investment Commission; </w:t>
            </w:r>
          </w:p>
          <w:p w:rsidR="007E6373" w:rsidRDefault="007E6373" w:rsidP="00DB23C8">
            <w:pPr>
              <w:pStyle w:val="Default"/>
              <w:numPr>
                <w:ilvl w:val="0"/>
                <w:numId w:val="24"/>
              </w:numPr>
              <w:rPr>
                <w:rFonts w:asciiTheme="minorHAnsi" w:hAnsiTheme="minorHAnsi" w:cstheme="minorHAnsi"/>
                <w:b w:val="0"/>
              </w:rPr>
            </w:pPr>
            <w:r w:rsidRPr="00DB23C8">
              <w:rPr>
                <w:rFonts w:asciiTheme="minorHAnsi" w:hAnsiTheme="minorHAnsi" w:cstheme="minorHAnsi"/>
                <w:b w:val="0"/>
              </w:rPr>
              <w:t xml:space="preserve">the Australian Charities and Not-for-profits Commission; </w:t>
            </w:r>
          </w:p>
          <w:p w:rsidR="007E6373" w:rsidRDefault="007E6373" w:rsidP="00DB23C8">
            <w:pPr>
              <w:pStyle w:val="Default"/>
              <w:numPr>
                <w:ilvl w:val="0"/>
                <w:numId w:val="24"/>
              </w:numPr>
              <w:rPr>
                <w:rFonts w:asciiTheme="minorHAnsi" w:hAnsiTheme="minorHAnsi" w:cstheme="minorHAnsi"/>
                <w:b w:val="0"/>
              </w:rPr>
            </w:pPr>
            <w:r w:rsidRPr="00DB23C8">
              <w:rPr>
                <w:rFonts w:asciiTheme="minorHAnsi" w:hAnsiTheme="minorHAnsi" w:cstheme="minorHAnsi"/>
                <w:b w:val="0"/>
              </w:rPr>
              <w:t xml:space="preserve">the Australian Competition and Consumer Commission; </w:t>
            </w:r>
          </w:p>
          <w:p w:rsidR="007E6373" w:rsidRDefault="007E6373" w:rsidP="00DB23C8">
            <w:pPr>
              <w:pStyle w:val="Default"/>
              <w:numPr>
                <w:ilvl w:val="0"/>
                <w:numId w:val="24"/>
              </w:numPr>
              <w:rPr>
                <w:rFonts w:asciiTheme="minorHAnsi" w:hAnsiTheme="minorHAnsi" w:cstheme="minorHAnsi"/>
                <w:b w:val="0"/>
              </w:rPr>
            </w:pPr>
            <w:r w:rsidRPr="00DB23C8">
              <w:rPr>
                <w:rFonts w:asciiTheme="minorHAnsi" w:hAnsiTheme="minorHAnsi" w:cstheme="minorHAnsi"/>
                <w:b w:val="0"/>
              </w:rPr>
              <w:t xml:space="preserve">the Australian Prudential Regulation Authority; </w:t>
            </w:r>
          </w:p>
          <w:p w:rsidR="007E6373" w:rsidRDefault="007E6373" w:rsidP="00DB23C8">
            <w:pPr>
              <w:pStyle w:val="Default"/>
              <w:numPr>
                <w:ilvl w:val="0"/>
                <w:numId w:val="24"/>
              </w:numPr>
              <w:rPr>
                <w:rFonts w:asciiTheme="minorHAnsi" w:hAnsiTheme="minorHAnsi" w:cstheme="minorHAnsi"/>
                <w:b w:val="0"/>
              </w:rPr>
            </w:pPr>
            <w:r w:rsidRPr="00DB23C8">
              <w:rPr>
                <w:rFonts w:asciiTheme="minorHAnsi" w:hAnsiTheme="minorHAnsi" w:cstheme="minorHAnsi"/>
                <w:b w:val="0"/>
              </w:rPr>
              <w:t xml:space="preserve">the Australian Crime Commission; </w:t>
            </w:r>
          </w:p>
          <w:p w:rsidR="007E6373" w:rsidRDefault="007E6373" w:rsidP="00DB23C8">
            <w:pPr>
              <w:pStyle w:val="Default"/>
              <w:numPr>
                <w:ilvl w:val="0"/>
                <w:numId w:val="24"/>
              </w:numPr>
              <w:rPr>
                <w:rFonts w:asciiTheme="minorHAnsi" w:hAnsiTheme="minorHAnsi" w:cstheme="minorHAnsi"/>
                <w:b w:val="0"/>
              </w:rPr>
            </w:pPr>
            <w:r w:rsidRPr="00DB23C8">
              <w:rPr>
                <w:rFonts w:asciiTheme="minorHAnsi" w:hAnsiTheme="minorHAnsi" w:cstheme="minorHAnsi"/>
                <w:b w:val="0"/>
              </w:rPr>
              <w:t xml:space="preserve">AUSTRAC; </w:t>
            </w:r>
          </w:p>
          <w:p w:rsidR="007E6373" w:rsidRDefault="007E6373" w:rsidP="00DB23C8">
            <w:pPr>
              <w:pStyle w:val="Default"/>
              <w:numPr>
                <w:ilvl w:val="0"/>
                <w:numId w:val="24"/>
              </w:numPr>
              <w:rPr>
                <w:rFonts w:asciiTheme="minorHAnsi" w:hAnsiTheme="minorHAnsi" w:cstheme="minorHAnsi"/>
                <w:b w:val="0"/>
              </w:rPr>
            </w:pPr>
            <w:r w:rsidRPr="00DB23C8">
              <w:rPr>
                <w:rFonts w:asciiTheme="minorHAnsi" w:hAnsiTheme="minorHAnsi" w:cstheme="minorHAnsi"/>
                <w:b w:val="0"/>
              </w:rPr>
              <w:t>a body of a State or Territory that is equivalent to a body mentioned in any of subparagraphs (</w:t>
            </w:r>
            <w:proofErr w:type="spellStart"/>
            <w:r w:rsidRPr="00DB23C8">
              <w:rPr>
                <w:rFonts w:asciiTheme="minorHAnsi" w:hAnsiTheme="minorHAnsi" w:cstheme="minorHAnsi"/>
                <w:b w:val="0"/>
              </w:rPr>
              <w:t>i</w:t>
            </w:r>
            <w:proofErr w:type="spellEnd"/>
            <w:r w:rsidRPr="00DB23C8">
              <w:rPr>
                <w:rFonts w:asciiTheme="minorHAnsi" w:hAnsiTheme="minorHAnsi" w:cstheme="minorHAnsi"/>
                <w:b w:val="0"/>
              </w:rPr>
              <w:t xml:space="preserve">) to (vi); </w:t>
            </w:r>
          </w:p>
          <w:p w:rsidR="007E6373" w:rsidRDefault="007E6373" w:rsidP="00DB23C8">
            <w:pPr>
              <w:pStyle w:val="Default"/>
              <w:numPr>
                <w:ilvl w:val="0"/>
                <w:numId w:val="24"/>
              </w:numPr>
              <w:rPr>
                <w:rFonts w:asciiTheme="minorHAnsi" w:hAnsiTheme="minorHAnsi" w:cstheme="minorHAnsi"/>
                <w:b w:val="0"/>
              </w:rPr>
            </w:pPr>
            <w:r w:rsidRPr="00DB23C8">
              <w:rPr>
                <w:rFonts w:asciiTheme="minorHAnsi" w:hAnsiTheme="minorHAnsi" w:cstheme="minorHAnsi"/>
                <w:b w:val="0"/>
              </w:rPr>
              <w:lastRenderedPageBreak/>
              <w:t>a work health and safety au</w:t>
            </w:r>
            <w:r w:rsidR="00830E80">
              <w:rPr>
                <w:rFonts w:asciiTheme="minorHAnsi" w:hAnsiTheme="minorHAnsi" w:cstheme="minorHAnsi"/>
                <w:b w:val="0"/>
              </w:rPr>
              <w:t>thority of a State or Territory</w:t>
            </w:r>
          </w:p>
          <w:p w:rsidR="00830E80" w:rsidRPr="00DB23C8" w:rsidRDefault="00830E80" w:rsidP="00830E80">
            <w:pPr>
              <w:pStyle w:val="Default"/>
              <w:rPr>
                <w:rFonts w:asciiTheme="minorHAnsi" w:hAnsiTheme="minorHAnsi" w:cstheme="minorHAnsi"/>
                <w:b w:val="0"/>
              </w:rPr>
            </w:pPr>
          </w:p>
        </w:tc>
      </w:tr>
      <w:tr w:rsidR="007E6373" w:rsidTr="007E6373">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rsidR="007E6373" w:rsidRPr="00DB23C8" w:rsidRDefault="007E6373" w:rsidP="00DB23C8">
            <w:pPr>
              <w:pStyle w:val="ListParagraph"/>
              <w:numPr>
                <w:ilvl w:val="0"/>
                <w:numId w:val="23"/>
              </w:numPr>
              <w:rPr>
                <w:rFonts w:asciiTheme="minorHAnsi" w:hAnsiTheme="minorHAnsi" w:cstheme="minorHAnsi"/>
                <w:b w:val="0"/>
              </w:rPr>
            </w:pPr>
            <w:r w:rsidRPr="00DB23C8">
              <w:rPr>
                <w:rFonts w:asciiTheme="minorHAnsi" w:hAnsiTheme="minorHAnsi" w:cstheme="minorHAnsi"/>
                <w:b w:val="0"/>
              </w:rPr>
              <w:lastRenderedPageBreak/>
              <w:t xml:space="preserve">whether the member has been the subject of any findings or judgment in relation to </w:t>
            </w:r>
            <w:r w:rsidRPr="009A2590">
              <w:rPr>
                <w:rFonts w:asciiTheme="minorHAnsi" w:hAnsiTheme="minorHAnsi" w:cstheme="minorHAnsi"/>
              </w:rPr>
              <w:t>fraud, misrepresentation or dishonesty</w:t>
            </w:r>
            <w:r w:rsidRPr="00DB23C8">
              <w:rPr>
                <w:rFonts w:asciiTheme="minorHAnsi" w:hAnsiTheme="minorHAnsi" w:cstheme="minorHAnsi"/>
                <w:b w:val="0"/>
              </w:rPr>
              <w:t xml:space="preserve"> in any administrative, civil or criminal proceedings, or is currently party to any proceedings that may result in the member being the subject of such findings or judgment</w:t>
            </w:r>
          </w:p>
        </w:tc>
      </w:tr>
      <w:tr w:rsidR="007E6373" w:rsidTr="007E6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rsidR="007E6373" w:rsidRPr="00DB23C8" w:rsidRDefault="007E6373" w:rsidP="00DB23C8">
            <w:pPr>
              <w:pStyle w:val="ListParagraph"/>
              <w:numPr>
                <w:ilvl w:val="0"/>
                <w:numId w:val="23"/>
              </w:numPr>
              <w:rPr>
                <w:rFonts w:asciiTheme="minorHAnsi" w:hAnsiTheme="minorHAnsi" w:cstheme="minorHAnsi"/>
                <w:b w:val="0"/>
              </w:rPr>
            </w:pPr>
            <w:r w:rsidRPr="00DB23C8">
              <w:rPr>
                <w:rFonts w:asciiTheme="minorHAnsi" w:hAnsiTheme="minorHAnsi" w:cstheme="minorHAnsi"/>
                <w:b w:val="0"/>
              </w:rPr>
              <w:t xml:space="preserve">whether the member has ever been </w:t>
            </w:r>
            <w:r w:rsidRPr="009A2590">
              <w:rPr>
                <w:rFonts w:asciiTheme="minorHAnsi" w:hAnsiTheme="minorHAnsi" w:cstheme="minorHAnsi"/>
              </w:rPr>
              <w:t>disqualified from managing corporations</w:t>
            </w:r>
            <w:r w:rsidRPr="00DB23C8">
              <w:rPr>
                <w:rFonts w:asciiTheme="minorHAnsi" w:hAnsiTheme="minorHAnsi" w:cstheme="minorHAnsi"/>
                <w:b w:val="0"/>
              </w:rPr>
              <w:t xml:space="preserve"> under Part 2D.6 of the </w:t>
            </w:r>
            <w:r w:rsidRPr="00DB23C8">
              <w:rPr>
                <w:rFonts w:asciiTheme="minorHAnsi" w:hAnsiTheme="minorHAnsi" w:cstheme="minorHAnsi"/>
                <w:b w:val="0"/>
                <w:i/>
                <w:iCs/>
              </w:rPr>
              <w:t>Corporations Act 2001</w:t>
            </w:r>
          </w:p>
        </w:tc>
      </w:tr>
      <w:tr w:rsidR="007E6373" w:rsidTr="007E6373">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rsidR="007E6373" w:rsidRPr="00DB23C8" w:rsidRDefault="007E6373" w:rsidP="00DB23C8">
            <w:pPr>
              <w:pStyle w:val="ListParagraph"/>
              <w:numPr>
                <w:ilvl w:val="0"/>
                <w:numId w:val="23"/>
              </w:numPr>
              <w:rPr>
                <w:rFonts w:asciiTheme="minorHAnsi" w:hAnsiTheme="minorHAnsi" w:cstheme="minorHAnsi"/>
                <w:b w:val="0"/>
              </w:rPr>
            </w:pPr>
            <w:r w:rsidRPr="009A2590">
              <w:rPr>
                <w:rFonts w:asciiTheme="minorHAnsi" w:hAnsiTheme="minorHAnsi" w:cstheme="minorHAnsi"/>
              </w:rPr>
              <w:t>any other matter</w:t>
            </w:r>
            <w:r w:rsidRPr="00DB23C8">
              <w:rPr>
                <w:rFonts w:asciiTheme="minorHAnsi" w:hAnsiTheme="minorHAnsi" w:cstheme="minorHAnsi"/>
                <w:b w:val="0"/>
              </w:rPr>
              <w:t xml:space="preserve"> the Commissioner considers relevant</w:t>
            </w:r>
          </w:p>
        </w:tc>
      </w:tr>
    </w:tbl>
    <w:bookmarkEnd w:id="1"/>
    <w:p w:rsidR="00326D6F" w:rsidRPr="00326D6F" w:rsidRDefault="0065035B" w:rsidP="000E4D36">
      <w:r w:rsidRPr="0065035B">
        <w:t xml:space="preserve"> </w:t>
      </w:r>
      <w:bookmarkStart w:id="8" w:name="_Toc520213245"/>
    </w:p>
    <w:tbl>
      <w:tblPr>
        <w:tblStyle w:val="NDISCommission1"/>
        <w:tblW w:w="5000" w:type="pct"/>
        <w:tblBorders>
          <w:insideH w:val="single" w:sz="4" w:space="0" w:color="962C8B" w:themeColor="accent2"/>
          <w:insideV w:val="single" w:sz="4" w:space="0" w:color="962C8B" w:themeColor="accent2"/>
        </w:tblBorders>
        <w:tblLook w:val="04A0" w:firstRow="1" w:lastRow="0" w:firstColumn="1" w:lastColumn="0" w:noHBand="0" w:noVBand="1"/>
        <w:tblDescription w:val="Suitability criteria for assessing the suitability of key personnel."/>
      </w:tblPr>
      <w:tblGrid>
        <w:gridCol w:w="9016"/>
      </w:tblGrid>
      <w:tr w:rsidR="00326D6F" w:rsidTr="009C777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000" w:type="pct"/>
            <w:tcBorders>
              <w:bottom w:val="single" w:sz="4" w:space="0" w:color="962C8B" w:themeColor="accent2"/>
              <w:right w:val="none" w:sz="0" w:space="0" w:color="auto"/>
            </w:tcBorders>
          </w:tcPr>
          <w:p w:rsidR="00326D6F" w:rsidRDefault="00326D6F" w:rsidP="000C5507">
            <w:r>
              <w:t>Worker Screening</w:t>
            </w:r>
          </w:p>
        </w:tc>
      </w:tr>
      <w:tr w:rsidR="001E3E62" w:rsidTr="009C77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left w:val="single" w:sz="4" w:space="0" w:color="962C8B" w:themeColor="accent2"/>
              <w:right w:val="single" w:sz="4" w:space="0" w:color="962C8B" w:themeColor="accent2"/>
            </w:tcBorders>
          </w:tcPr>
          <w:p w:rsidR="001E3E62" w:rsidRPr="00FF0147" w:rsidRDefault="00FF0147" w:rsidP="00FF0147">
            <w:pPr>
              <w:pStyle w:val="ListParagraph"/>
              <w:numPr>
                <w:ilvl w:val="0"/>
                <w:numId w:val="25"/>
              </w:numPr>
              <w:spacing w:before="0" w:after="0" w:line="240" w:lineRule="auto"/>
              <w:contextualSpacing w:val="0"/>
              <w:rPr>
                <w:rFonts w:asciiTheme="minorHAnsi" w:hAnsiTheme="minorHAnsi" w:cstheme="minorHAnsi"/>
                <w:b w:val="0"/>
              </w:rPr>
            </w:pPr>
            <w:r w:rsidRPr="00FF0147">
              <w:rPr>
                <w:rFonts w:asciiTheme="minorHAnsi" w:hAnsiTheme="minorHAnsi" w:cstheme="minorHAnsi"/>
                <w:b w:val="0"/>
              </w:rPr>
              <w:t xml:space="preserve">The NDIS Worker Screening Check (Worker Screening Check) commenced in all states and territories except for the Northern Territory on 1 February 2021. The Worker Screening Check will commence in the Northern Territory no later than 1 July 2021. </w:t>
            </w:r>
          </w:p>
        </w:tc>
      </w:tr>
      <w:tr w:rsidR="002C0FC7" w:rsidTr="009C7775">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962C8B" w:themeColor="accent2"/>
              <w:left w:val="single" w:sz="4" w:space="0" w:color="962C8B" w:themeColor="accent2"/>
              <w:bottom w:val="single" w:sz="4" w:space="0" w:color="962C8B" w:themeColor="accent2"/>
              <w:right w:val="single" w:sz="4" w:space="0" w:color="962C8B" w:themeColor="accent2"/>
            </w:tcBorders>
          </w:tcPr>
          <w:p w:rsidR="002C0FC7" w:rsidRPr="002C0FC7" w:rsidRDefault="00FF0147" w:rsidP="00FA1813">
            <w:pPr>
              <w:pStyle w:val="ListParagraph"/>
              <w:numPr>
                <w:ilvl w:val="0"/>
                <w:numId w:val="25"/>
              </w:numPr>
              <w:rPr>
                <w:rFonts w:asciiTheme="minorHAnsi" w:hAnsiTheme="minorHAnsi" w:cstheme="minorHAnsi"/>
                <w:b w:val="0"/>
              </w:rPr>
            </w:pPr>
            <w:r w:rsidRPr="00FF0147">
              <w:rPr>
                <w:rFonts w:asciiTheme="minorHAnsi" w:hAnsiTheme="minorHAnsi" w:cstheme="minorHAnsi"/>
                <w:b w:val="0"/>
              </w:rPr>
              <w:t>Registered providers are required to ensure that workers in risk assessed roles need to hold either a valid acceptable check in accordance with state and territory transitional arrangements or a NDIS Worker Screening clearance.</w:t>
            </w:r>
          </w:p>
        </w:tc>
      </w:tr>
      <w:tr w:rsidR="00326D6F" w:rsidTr="009C77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bottom w:val="none" w:sz="0" w:space="0" w:color="auto"/>
              <w:right w:val="none" w:sz="0" w:space="0" w:color="auto"/>
            </w:tcBorders>
          </w:tcPr>
          <w:p w:rsidR="00FF0147" w:rsidRPr="00FF0147" w:rsidRDefault="00FF0147" w:rsidP="00FF0147">
            <w:pPr>
              <w:pStyle w:val="ListParagraph"/>
              <w:numPr>
                <w:ilvl w:val="0"/>
                <w:numId w:val="25"/>
              </w:numPr>
              <w:spacing w:before="0" w:after="0" w:line="240" w:lineRule="auto"/>
              <w:rPr>
                <w:rFonts w:asciiTheme="minorHAnsi" w:hAnsiTheme="minorHAnsi" w:cstheme="minorHAnsi"/>
                <w:b w:val="0"/>
              </w:rPr>
            </w:pPr>
            <w:r w:rsidRPr="00FF0147">
              <w:rPr>
                <w:rFonts w:asciiTheme="minorHAnsi" w:hAnsiTheme="minorHAnsi" w:cstheme="minorHAnsi"/>
                <w:b w:val="0"/>
              </w:rPr>
              <w:t>A risk assessed role is one in which:</w:t>
            </w:r>
          </w:p>
          <w:p w:rsidR="00FF0147" w:rsidRPr="00FF0147" w:rsidRDefault="00FF0147" w:rsidP="00FF0147">
            <w:pPr>
              <w:numPr>
                <w:ilvl w:val="1"/>
                <w:numId w:val="25"/>
              </w:numPr>
              <w:shd w:val="clear" w:color="auto" w:fill="FFFFFF"/>
              <w:suppressAutoHyphens w:val="0"/>
              <w:spacing w:before="0" w:after="0" w:line="360" w:lineRule="atLeast"/>
              <w:rPr>
                <w:rFonts w:eastAsia="Times New Roman" w:cstheme="minorHAnsi"/>
                <w:b w:val="0"/>
                <w:color w:val="auto"/>
                <w:spacing w:val="4"/>
                <w:szCs w:val="24"/>
                <w:lang w:eastAsia="en-AU"/>
              </w:rPr>
            </w:pPr>
            <w:r w:rsidRPr="00FF0147">
              <w:rPr>
                <w:rFonts w:eastAsia="Times New Roman" w:cstheme="minorHAnsi"/>
                <w:b w:val="0"/>
                <w:color w:val="auto"/>
                <w:spacing w:val="4"/>
                <w:szCs w:val="24"/>
                <w:lang w:eastAsia="en-AU"/>
              </w:rPr>
              <w:t>is a key personnel role of a person or an entity as defined in s 11A of the </w:t>
            </w:r>
            <w:r w:rsidRPr="00FF0147">
              <w:rPr>
                <w:rFonts w:cstheme="minorHAnsi"/>
                <w:b w:val="0"/>
                <w:i/>
                <w:iCs/>
                <w:color w:val="auto"/>
                <w:spacing w:val="4"/>
                <w:szCs w:val="24"/>
                <w:lang w:eastAsia="en-AU"/>
              </w:rPr>
              <w:t>National Disability Insurance Scheme Act 2013</w:t>
            </w:r>
            <w:r w:rsidRPr="00FF0147">
              <w:rPr>
                <w:rFonts w:eastAsia="Times New Roman" w:cstheme="minorHAnsi"/>
                <w:b w:val="0"/>
                <w:color w:val="auto"/>
                <w:spacing w:val="4"/>
                <w:szCs w:val="24"/>
                <w:lang w:eastAsia="en-AU"/>
              </w:rPr>
              <w:t> (for example, a CEO or a Board Member)</w:t>
            </w:r>
          </w:p>
          <w:p w:rsidR="00FF0147" w:rsidRPr="00FF0147" w:rsidRDefault="00FF0147" w:rsidP="00FF0147">
            <w:pPr>
              <w:numPr>
                <w:ilvl w:val="1"/>
                <w:numId w:val="25"/>
              </w:numPr>
              <w:shd w:val="clear" w:color="auto" w:fill="FFFFFF"/>
              <w:suppressAutoHyphens w:val="0"/>
              <w:spacing w:before="0" w:after="0" w:line="360" w:lineRule="atLeast"/>
              <w:rPr>
                <w:rFonts w:eastAsia="Times New Roman" w:cstheme="minorHAnsi"/>
                <w:b w:val="0"/>
                <w:color w:val="auto"/>
                <w:spacing w:val="4"/>
                <w:szCs w:val="24"/>
                <w:lang w:eastAsia="en-AU"/>
              </w:rPr>
            </w:pPr>
            <w:r w:rsidRPr="00FF0147">
              <w:rPr>
                <w:rFonts w:eastAsia="Times New Roman" w:cstheme="minorHAnsi"/>
                <w:b w:val="0"/>
                <w:color w:val="auto"/>
                <w:spacing w:val="4"/>
                <w:szCs w:val="24"/>
                <w:lang w:eastAsia="en-AU"/>
              </w:rPr>
              <w:t>involves the direct delive</w:t>
            </w:r>
            <w:bookmarkStart w:id="9" w:name="_GoBack"/>
            <w:bookmarkEnd w:id="9"/>
            <w:r w:rsidRPr="00FF0147">
              <w:rPr>
                <w:rFonts w:eastAsia="Times New Roman" w:cstheme="minorHAnsi"/>
                <w:b w:val="0"/>
                <w:color w:val="auto"/>
                <w:spacing w:val="4"/>
                <w:szCs w:val="24"/>
                <w:lang w:eastAsia="en-AU"/>
              </w:rPr>
              <w:t>ry of </w:t>
            </w:r>
            <w:hyperlink r:id="rId13" w:history="1">
              <w:r w:rsidRPr="00FF0147">
                <w:rPr>
                  <w:rFonts w:cstheme="minorHAnsi"/>
                  <w:b w:val="0"/>
                  <w:color w:val="auto"/>
                  <w:spacing w:val="4"/>
                  <w:szCs w:val="24"/>
                  <w:lang w:eastAsia="en-AU"/>
                </w:rPr>
                <w:t>specified supports or services</w:t>
              </w:r>
            </w:hyperlink>
            <w:r w:rsidRPr="00FF0147">
              <w:rPr>
                <w:rFonts w:eastAsia="Times New Roman" w:cstheme="minorHAnsi"/>
                <w:b w:val="0"/>
                <w:color w:val="auto"/>
                <w:spacing w:val="4"/>
                <w:szCs w:val="24"/>
                <w:lang w:eastAsia="en-AU"/>
              </w:rPr>
              <w:t> to a person with disability</w:t>
            </w:r>
          </w:p>
          <w:p w:rsidR="00207B5D" w:rsidRPr="00FF0147" w:rsidRDefault="00FF0147" w:rsidP="00FF0147">
            <w:pPr>
              <w:numPr>
                <w:ilvl w:val="1"/>
                <w:numId w:val="25"/>
              </w:numPr>
              <w:shd w:val="clear" w:color="auto" w:fill="FFFFFF"/>
              <w:suppressAutoHyphens w:val="0"/>
              <w:spacing w:before="120" w:after="120" w:line="360" w:lineRule="atLeast"/>
              <w:rPr>
                <w:rFonts w:eastAsia="Times New Roman" w:cstheme="minorHAnsi"/>
                <w:b w:val="0"/>
                <w:color w:val="auto"/>
                <w:spacing w:val="4"/>
                <w:szCs w:val="24"/>
                <w:lang w:eastAsia="en-AU"/>
              </w:rPr>
            </w:pPr>
            <w:r w:rsidRPr="00FF0147">
              <w:rPr>
                <w:rFonts w:eastAsia="Times New Roman" w:cstheme="minorHAnsi"/>
                <w:b w:val="0"/>
                <w:color w:val="auto"/>
                <w:spacing w:val="4"/>
                <w:szCs w:val="24"/>
                <w:lang w:eastAsia="en-AU"/>
              </w:rPr>
              <w:t>is likely to require ‘more than incidental contact’ with people with disability</w:t>
            </w:r>
          </w:p>
        </w:tc>
      </w:tr>
      <w:tr w:rsidR="00326D6F" w:rsidTr="000C5507">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rsidR="00326D6F" w:rsidRPr="00DB23C8" w:rsidRDefault="00FF0147" w:rsidP="005A71C8">
            <w:pPr>
              <w:pStyle w:val="ListParagraph"/>
              <w:numPr>
                <w:ilvl w:val="0"/>
                <w:numId w:val="25"/>
              </w:numPr>
              <w:rPr>
                <w:rFonts w:asciiTheme="minorHAnsi" w:hAnsiTheme="minorHAnsi" w:cstheme="minorHAnsi"/>
                <w:b w:val="0"/>
              </w:rPr>
            </w:pPr>
            <w:r w:rsidRPr="00FF0147">
              <w:rPr>
                <w:rFonts w:asciiTheme="minorHAnsi" w:hAnsiTheme="minorHAnsi" w:cstheme="minorHAnsi"/>
                <w:b w:val="0"/>
              </w:rPr>
              <w:t>More information about Worker Screening is available at</w:t>
            </w:r>
            <w:r>
              <w:t xml:space="preserve"> </w:t>
            </w:r>
            <w:hyperlink r:id="rId14" w:history="1">
              <w:r w:rsidRPr="00FF0147">
                <w:rPr>
                  <w:rStyle w:val="Hyperlink"/>
                  <w:rFonts w:asciiTheme="majorHAnsi" w:hAnsiTheme="majorHAnsi" w:cstheme="majorHAnsi"/>
                </w:rPr>
                <w:t>NDIS Worker Screening Check | NDIS Quality and Safeguards Commission (ndiscommission.gov.au)</w:t>
              </w:r>
            </w:hyperlink>
          </w:p>
        </w:tc>
      </w:tr>
    </w:tbl>
    <w:p w:rsidR="00326D6F" w:rsidRDefault="00326D6F" w:rsidP="000E4D36"/>
    <w:p w:rsidR="00AE5321" w:rsidRDefault="00AE5321" w:rsidP="00AE5321">
      <w:pPr>
        <w:pStyle w:val="Heading2"/>
      </w:pPr>
      <w:r>
        <w:t>Providing true and accurate information</w:t>
      </w:r>
      <w:bookmarkEnd w:id="8"/>
    </w:p>
    <w:p w:rsidR="00AE5321" w:rsidRPr="000634DD" w:rsidRDefault="00BA1429" w:rsidP="00AE5321">
      <w:r>
        <w:t xml:space="preserve">It is important that all statements and information supplied by the provider is accurate and correct, the NDIS Commission will rely on this information when making decision to register </w:t>
      </w:r>
      <w:r>
        <w:lastRenderedPageBreak/>
        <w:t>providers. Where false or misleading information is provided within an application the NDIS Commission may revoke the providers</w:t>
      </w:r>
      <w:r w:rsidR="00830E80">
        <w:t>’</w:t>
      </w:r>
      <w:r>
        <w:t xml:space="preserve"> registration. </w:t>
      </w:r>
    </w:p>
    <w:p w:rsidR="007F672E" w:rsidRPr="007433EA" w:rsidRDefault="007F672E" w:rsidP="000E4D36"/>
    <w:sectPr w:rsidR="007F672E" w:rsidRPr="007433EA" w:rsidSect="0065035B">
      <w:headerReference w:type="first" r:id="rId15"/>
      <w:footerReference w:type="first" r:id="rId16"/>
      <w:pgSz w:w="11906" w:h="16838" w:code="9"/>
      <w:pgMar w:top="1440" w:right="1440" w:bottom="1440" w:left="1440" w:header="284" w:footer="397" w:gutter="0"/>
      <w:pgNumType w:start="1"/>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EEE" w:rsidRDefault="002A6EEE" w:rsidP="008E21DE">
      <w:pPr>
        <w:spacing w:before="0" w:after="0"/>
      </w:pPr>
      <w:r>
        <w:separator/>
      </w:r>
    </w:p>
  </w:endnote>
  <w:endnote w:type="continuationSeparator" w:id="0">
    <w:p w:rsidR="002A6EEE" w:rsidRDefault="002A6EEE"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6D7" w:rsidRPr="00080615" w:rsidRDefault="00FD66D7" w:rsidP="00362AB6">
    <w:pPr>
      <w:pStyle w:val="Footer"/>
    </w:pPr>
    <w:r>
      <w:rPr>
        <w:b/>
        <w:bCs/>
        <w:noProof/>
        <w:lang w:eastAsia="en-AU"/>
      </w:rPr>
      <mc:AlternateContent>
        <mc:Choice Requires="wps">
          <w:drawing>
            <wp:anchor distT="0" distB="0" distL="114300" distR="114300" simplePos="0" relativeHeight="251656192" behindDoc="1" locked="0" layoutInCell="1" allowOverlap="1" wp14:anchorId="40A37206" wp14:editId="595A181C">
              <wp:simplePos x="0" y="0"/>
              <wp:positionH relativeFrom="margin">
                <wp:align>center</wp:align>
              </wp:positionH>
              <wp:positionV relativeFrom="paragraph">
                <wp:posOffset>-140335</wp:posOffset>
              </wp:positionV>
              <wp:extent cx="6273800" cy="89640"/>
              <wp:effectExtent l="0" t="0" r="3810" b="5715"/>
              <wp:wrapNone/>
              <wp:docPr id="8" name="Rectangle 8" descr="background" title="background"/>
              <wp:cNvGraphicFramePr/>
              <a:graphic xmlns:a="http://schemas.openxmlformats.org/drawingml/2006/main">
                <a:graphicData uri="http://schemas.microsoft.com/office/word/2010/wordprocessingShape">
                  <wps:wsp>
                    <wps:cNvSpPr/>
                    <wps:spPr>
                      <a:xfrm>
                        <a:off x="0" y="0"/>
                        <a:ext cx="6273800" cy="8964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rect w14:anchorId="62377F04" id="Rectangle 8" o:spid="_x0000_s1026" alt="Title: background - Description: background" style="position:absolute;margin-left:0;margin-top:-11.05pt;width:494pt;height:7.05pt;z-index:-251660288;visibility:visible;mso-wrap-style:square;mso-width-percent:1000;mso-height-percent:0;mso-wrap-distance-left:9pt;mso-wrap-distance-top:0;mso-wrap-distance-right:9pt;mso-wrap-distance-bottom:0;mso-position-horizontal:center;mso-position-horizontal-relative:margin;mso-position-vertical:absolute;mso-position-vertical-relative:text;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" fillcolor="#539250 [3207]" stroked="f" strokeweight="1pt">
              <v:fill color2="#83b14c [3208]" angle="90" colors="0 #539250;.5 #83b14c" focus="100%" type="gradient">
                <o:fill v:ext="view" type="gradientUnscaled"/>
              </v:fill>
              <w10:wrap anchorx="margin"/>
            </v:rect>
          </w:pict>
        </mc:Fallback>
      </mc:AlternateContent>
    </w:r>
    <w:r w:rsidR="00A60009">
      <w:tab/>
    </w:r>
    <w:r w:rsidR="00A60009" w:rsidRPr="00362AB6">
      <w:rPr>
        <w:sz w:val="18"/>
        <w:szCs w:val="18"/>
      </w:rPr>
      <w:t>NDIS Q</w:t>
    </w:r>
    <w:r w:rsidR="0032649F">
      <w:rPr>
        <w:sz w:val="18"/>
        <w:szCs w:val="18"/>
      </w:rPr>
      <w:t>uality and Safeguards Commission</w:t>
    </w:r>
    <w:r w:rsidR="00914846">
      <w:tab/>
    </w:r>
    <w:r w:rsidR="00362AB6">
      <w:fldChar w:fldCharType="begin"/>
    </w:r>
    <w:r w:rsidR="00362AB6">
      <w:instrText xml:space="preserve"> PAGE   \* MERGEFORMAT </w:instrText>
    </w:r>
    <w:r w:rsidR="00362AB6">
      <w:fldChar w:fldCharType="separate"/>
    </w:r>
    <w:r w:rsidR="00FF0147">
      <w:rPr>
        <w:noProof/>
      </w:rPr>
      <w:t>6</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1DE" w:rsidRPr="00080615" w:rsidRDefault="004D4273" w:rsidP="00080615">
    <w:pPr>
      <w:pStyle w:val="Footer"/>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8B3" w:rsidRPr="00080615" w:rsidRDefault="00F708B3" w:rsidP="00080615">
    <w:pPr>
      <w:pStyle w:val="Footer"/>
    </w:pPr>
    <w:r>
      <w:rPr>
        <w:b/>
        <w:bCs/>
        <w:noProof/>
        <w:lang w:eastAsia="en-AU"/>
      </w:rPr>
      <mc:AlternateContent>
        <mc:Choice Requires="wps">
          <w:drawing>
            <wp:anchor distT="0" distB="0" distL="114300" distR="114300" simplePos="0" relativeHeight="251658240" behindDoc="1" locked="0" layoutInCell="1" allowOverlap="1" wp14:anchorId="64D54E54" wp14:editId="662AE4C6">
              <wp:simplePos x="0" y="0"/>
              <wp:positionH relativeFrom="margin">
                <wp:align>right</wp:align>
              </wp:positionH>
              <wp:positionV relativeFrom="paragraph">
                <wp:posOffset>-55097</wp:posOffset>
              </wp:positionV>
              <wp:extent cx="6273800" cy="89640"/>
              <wp:effectExtent l="0" t="0" r="2540" b="5715"/>
              <wp:wrapNone/>
              <wp:docPr id="9" name="Rectangle 9" descr="background" title="background"/>
              <wp:cNvGraphicFramePr/>
              <a:graphic xmlns:a="http://schemas.openxmlformats.org/drawingml/2006/main">
                <a:graphicData uri="http://schemas.microsoft.com/office/word/2010/wordprocessingShape">
                  <wps:wsp>
                    <wps:cNvSpPr/>
                    <wps:spPr>
                      <a:xfrm>
                        <a:off x="0" y="0"/>
                        <a:ext cx="6273800" cy="8964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rect w14:anchorId="4320A8F2" id="Rectangle 9" o:spid="_x0000_s1026" alt="Title: background - Description: background" style="position:absolute;margin-left:442.8pt;margin-top:-4.35pt;width:494pt;height:7.05pt;z-index:-251658240;visibility:visible;mso-wrap-style:square;mso-width-percent:1000;mso-height-percent:0;mso-wrap-distance-left:9pt;mso-wrap-distance-top:0;mso-wrap-distance-right:9pt;mso-wrap-distance-bottom:0;mso-position-horizontal:right;mso-position-horizontal-relative:margin;mso-position-vertical:absolute;mso-position-vertical-relative:text;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" fillcolor="#539250 [3207]" stroked="f" strokeweight="1pt">
              <v:fill color2="#83b14c [3208]" angle="90" colors="0 #539250;.5 #83b14c" focus="100%" type="gradient">
                <o:fill v:ext="view" type="gradientUnscaled"/>
              </v:fill>
              <w10:wrap anchorx="margin"/>
            </v:rect>
          </w:pict>
        </mc:Fallback>
      </mc:AlternateContent>
    </w:r>
    <w:r>
      <w:rPr>
        <w:sz w:val="18"/>
        <w:szCs w:val="18"/>
      </w:rPr>
      <w:tab/>
    </w:r>
    <w:r w:rsidRPr="00362AB6">
      <w:rPr>
        <w:sz w:val="18"/>
        <w:szCs w:val="18"/>
      </w:rPr>
      <w:t>NDIS Quality and Safeguards Commission</w:t>
    </w:r>
    <w:r w:rsidR="00571212">
      <w:rPr>
        <w:sz w:val="18"/>
        <w:szCs w:val="18"/>
      </w:rPr>
      <w:tab/>
    </w:r>
    <w:r>
      <w:fldChar w:fldCharType="begin"/>
    </w:r>
    <w:r>
      <w:instrText xml:space="preserve"> PAGE   \* MERGEFORMAT </w:instrText>
    </w:r>
    <w:r>
      <w:fldChar w:fldCharType="separate"/>
    </w:r>
    <w:r w:rsidR="00FF0147">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EEE" w:rsidRDefault="002A6EEE" w:rsidP="008E21DE">
      <w:pPr>
        <w:spacing w:before="0" w:after="0"/>
      </w:pPr>
      <w:r>
        <w:separator/>
      </w:r>
    </w:p>
  </w:footnote>
  <w:footnote w:type="continuationSeparator" w:id="0">
    <w:p w:rsidR="002A6EEE" w:rsidRDefault="002A6EEE" w:rsidP="008E21DE">
      <w:pPr>
        <w:spacing w:before="0" w:after="0"/>
      </w:pPr>
      <w:r>
        <w:continuationSeparator/>
      </w:r>
    </w:p>
  </w:footnote>
  <w:footnote w:id="1">
    <w:p w:rsidR="0047043E" w:rsidRDefault="0047043E">
      <w:pPr>
        <w:pStyle w:val="FootnoteText"/>
      </w:pPr>
      <w:r>
        <w:rPr>
          <w:rStyle w:val="FootnoteReference"/>
        </w:rPr>
        <w:footnoteRef/>
      </w:r>
      <w:r>
        <w:t xml:space="preserve"> </w:t>
      </w:r>
      <w:hyperlink r:id="rId1" w:history="1">
        <w:r w:rsidRPr="004F07FB">
          <w:rPr>
            <w:rStyle w:val="Hyperlink"/>
            <w:i/>
          </w:rPr>
          <w:t>National Disability Insurance Scheme (Provider Registration and Practice Standards) Rules 2018</w:t>
        </w:r>
      </w:hyperlink>
      <w:r w:rsidRPr="004F07FB">
        <w:t>.</w:t>
      </w:r>
    </w:p>
  </w:footnote>
  <w:footnote w:id="2">
    <w:p w:rsidR="0047043E" w:rsidRDefault="0047043E">
      <w:pPr>
        <w:pStyle w:val="FootnoteText"/>
      </w:pPr>
      <w:r>
        <w:rPr>
          <w:rStyle w:val="FootnoteReference"/>
        </w:rPr>
        <w:footnoteRef/>
      </w:r>
      <w:r>
        <w:t xml:space="preserve"> Clause 9 of the </w:t>
      </w:r>
      <w:hyperlink r:id="rId2" w:history="1">
        <w:r w:rsidRPr="004F07FB">
          <w:rPr>
            <w:rStyle w:val="Hyperlink"/>
            <w:i/>
          </w:rPr>
          <w:t>National Disability Insurance Scheme (Provider Registration and Practice Standards) Rules 2018</w:t>
        </w:r>
      </w:hyperlink>
    </w:p>
  </w:footnote>
  <w:footnote w:id="3">
    <w:p w:rsidR="00AE5321" w:rsidRDefault="00AE5321" w:rsidP="00AE5321">
      <w:pPr>
        <w:pStyle w:val="FootnoteText"/>
      </w:pPr>
      <w:r>
        <w:rPr>
          <w:rStyle w:val="FootnoteReference"/>
        </w:rPr>
        <w:footnoteRef/>
      </w:r>
      <w:r>
        <w:t xml:space="preserve"> Clause 10 of the </w:t>
      </w:r>
      <w:hyperlink r:id="rId3" w:history="1">
        <w:r w:rsidRPr="004F07FB">
          <w:rPr>
            <w:rStyle w:val="Hyperlink"/>
            <w:i/>
          </w:rPr>
          <w:t>National Disability Insurance Scheme (Provider Registration and Practice Standards) Rules 2018</w:t>
        </w:r>
      </w:hyperlink>
      <w:r>
        <w:rPr>
          <w:rStyle w:val="Hyperlink"/>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6D7" w:rsidRDefault="00CE4DAF">
    <w:pPr>
      <w:pStyle w:val="Header"/>
    </w:pPr>
    <w:r>
      <w:rPr>
        <w:noProof/>
        <w:lang w:eastAsia="en-AU"/>
      </w:rPr>
      <mc:AlternateContent>
        <mc:Choice Requires="wps">
          <w:drawing>
            <wp:anchor distT="0" distB="0" distL="114300" distR="114300" simplePos="0" relativeHeight="251657216" behindDoc="0" locked="0" layoutInCell="1" allowOverlap="1" wp14:anchorId="705BD265" wp14:editId="0DA35FEF">
              <wp:simplePos x="0" y="0"/>
              <wp:positionH relativeFrom="page">
                <wp:posOffset>-2200275</wp:posOffset>
              </wp:positionH>
              <wp:positionV relativeFrom="paragraph">
                <wp:posOffset>-180340</wp:posOffset>
              </wp:positionV>
              <wp:extent cx="12192000" cy="10829925"/>
              <wp:effectExtent l="0" t="0" r="0" b="9525"/>
              <wp:wrapNone/>
              <wp:docPr id="4" name="Rectangle 3">
                <a:extLst xmlns:a="http://schemas.openxmlformats.org/drawingml/2006/main">
                  <a:ext uri="{FF2B5EF4-FFF2-40B4-BE49-F238E27FC236}">
                    <a16:creationId xmlns:a16="http://schemas.microsoft.com/office/drawing/2014/main" id="{123A4C72-35F1-4FD8-97EE-9C874F6EC622}"/>
                  </a:ext>
                </a:extLst>
              </wp:docPr>
              <wp:cNvGraphicFramePr/>
              <a:graphic xmlns:a="http://schemas.openxmlformats.org/drawingml/2006/main">
                <a:graphicData uri="http://schemas.microsoft.com/office/word/2010/wordprocessingShape">
                  <wps:wsp>
                    <wps:cNvSpPr/>
                    <wps:spPr>
                      <a:xfrm>
                        <a:off x="0" y="0"/>
                        <a:ext cx="12192000" cy="108299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19863ECF" id="Rectangle 3" o:spid="_x0000_s1026" style="position:absolute;margin-left:-173.25pt;margin-top:-14.2pt;width:960pt;height:852.75pt;z-index:25165721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" fillcolor="#5f2e74 [3204]" stroked="f"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2B1" w:rsidRDefault="000712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02EFF"/>
    <w:multiLevelType w:val="hybridMultilevel"/>
    <w:tmpl w:val="37F4FD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156537F"/>
    <w:multiLevelType w:val="hybridMultilevel"/>
    <w:tmpl w:val="B70CD9EA"/>
    <w:lvl w:ilvl="0" w:tplc="B5FAC41A">
      <w:start w:val="1"/>
      <w:numFmt w:val="bullet"/>
      <w:pStyle w:val="ListBullet"/>
      <w:lvlText w:val=""/>
      <w:lvlJc w:val="left"/>
      <w:pPr>
        <w:ind w:left="53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3104F20"/>
    <w:multiLevelType w:val="hybridMultilevel"/>
    <w:tmpl w:val="647205A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7" w15:restartNumberingAfterBreak="0">
    <w:nsid w:val="2EF11EA9"/>
    <w:multiLevelType w:val="hybridMultilevel"/>
    <w:tmpl w:val="D584C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7509ED"/>
    <w:multiLevelType w:val="hybridMultilevel"/>
    <w:tmpl w:val="4E209840"/>
    <w:lvl w:ilvl="0" w:tplc="20EA1390">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A615887"/>
    <w:multiLevelType w:val="hybridMultilevel"/>
    <w:tmpl w:val="156C1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1" w15:restartNumberingAfterBreak="0">
    <w:nsid w:val="470C5FBA"/>
    <w:multiLevelType w:val="hybridMultilevel"/>
    <w:tmpl w:val="5630E2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6EA2989"/>
    <w:multiLevelType w:val="hybridMultilevel"/>
    <w:tmpl w:val="6E3AF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615703"/>
    <w:multiLevelType w:val="multilevel"/>
    <w:tmpl w:val="803CF862"/>
    <w:numStyleLink w:val="List1Numbered"/>
  </w:abstractNum>
  <w:abstractNum w:abstractNumId="16" w15:restartNumberingAfterBreak="0">
    <w:nsid w:val="58B14B6B"/>
    <w:multiLevelType w:val="hybridMultilevel"/>
    <w:tmpl w:val="AF46A42C"/>
    <w:lvl w:ilvl="0" w:tplc="C78E3FA0">
      <w:start w:val="1"/>
      <w:numFmt w:val="decimal"/>
      <w:lvlText w:val="%1)"/>
      <w:lvlJc w:val="left"/>
      <w:pPr>
        <w:ind w:left="360" w:hanging="360"/>
      </w:pPr>
      <w:rPr>
        <w:rFonts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3B155E0"/>
    <w:multiLevelType w:val="hybridMultilevel"/>
    <w:tmpl w:val="4E209840"/>
    <w:lvl w:ilvl="0" w:tplc="20EA1390">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574550A"/>
    <w:multiLevelType w:val="hybridMultilevel"/>
    <w:tmpl w:val="66649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A057EF1"/>
    <w:multiLevelType w:val="hybridMultilevel"/>
    <w:tmpl w:val="4B08C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4F423B"/>
    <w:multiLevelType w:val="multilevel"/>
    <w:tmpl w:val="4A7CCC2C"/>
    <w:numStyleLink w:val="DefaultBullets"/>
  </w:abstractNum>
  <w:abstractNum w:abstractNumId="21" w15:restartNumberingAfterBreak="0">
    <w:nsid w:val="70913924"/>
    <w:multiLevelType w:val="hybridMultilevel"/>
    <w:tmpl w:val="001466E2"/>
    <w:lvl w:ilvl="0" w:tplc="0C090011">
      <w:start w:val="1"/>
      <w:numFmt w:val="decimal"/>
      <w:lvlText w:val="%1)"/>
      <w:lvlJc w:val="left"/>
      <w:pPr>
        <w:ind w:left="360" w:hanging="360"/>
      </w:pPr>
      <w:rPr>
        <w:rFonts w:hint="default"/>
      </w:rPr>
    </w:lvl>
    <w:lvl w:ilvl="1" w:tplc="20EA1390">
      <w:start w:val="1"/>
      <w:numFmt w:val="lowerRoman"/>
      <w:lvlText w:val="(%2)"/>
      <w:lvlJc w:val="left"/>
      <w:pPr>
        <w:ind w:left="1440" w:hanging="72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7106355F"/>
    <w:multiLevelType w:val="hybridMultilevel"/>
    <w:tmpl w:val="C4CC58C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4" w15:restartNumberingAfterBreak="0">
    <w:nsid w:val="78AA559D"/>
    <w:multiLevelType w:val="hybridMultilevel"/>
    <w:tmpl w:val="7A2A209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790B67C4"/>
    <w:multiLevelType w:val="multilevel"/>
    <w:tmpl w:val="FE688822"/>
    <w:numStyleLink w:val="BoxedBullets"/>
  </w:abstractNum>
  <w:abstractNum w:abstractNumId="26" w15:restartNumberingAfterBreak="0">
    <w:nsid w:val="7B1C27B9"/>
    <w:multiLevelType w:val="hybridMultilevel"/>
    <w:tmpl w:val="E794A6A2"/>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12"/>
  </w:num>
  <w:num w:numId="3">
    <w:abstractNumId w:val="25"/>
  </w:num>
  <w:num w:numId="4">
    <w:abstractNumId w:val="10"/>
  </w:num>
  <w:num w:numId="5">
    <w:abstractNumId w:val="4"/>
  </w:num>
  <w:num w:numId="6">
    <w:abstractNumId w:val="3"/>
  </w:num>
  <w:num w:numId="7">
    <w:abstractNumId w:val="15"/>
  </w:num>
  <w:num w:numId="8">
    <w:abstractNumId w:val="13"/>
  </w:num>
  <w:num w:numId="9">
    <w:abstractNumId w:val="5"/>
  </w:num>
  <w:num w:numId="10">
    <w:abstractNumId w:val="23"/>
  </w:num>
  <w:num w:numId="11">
    <w:abstractNumId w:val="20"/>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2"/>
  </w:num>
  <w:num w:numId="13">
    <w:abstractNumId w:val="11"/>
  </w:num>
  <w:num w:numId="14">
    <w:abstractNumId w:val="14"/>
  </w:num>
  <w:num w:numId="15">
    <w:abstractNumId w:val="18"/>
  </w:num>
  <w:num w:numId="16">
    <w:abstractNumId w:val="19"/>
  </w:num>
  <w:num w:numId="17">
    <w:abstractNumId w:val="7"/>
  </w:num>
  <w:num w:numId="18">
    <w:abstractNumId w:val="9"/>
  </w:num>
  <w:num w:numId="19">
    <w:abstractNumId w:val="0"/>
  </w:num>
  <w:num w:numId="20">
    <w:abstractNumId w:val="6"/>
  </w:num>
  <w:num w:numId="21">
    <w:abstractNumId w:val="21"/>
  </w:num>
  <w:num w:numId="22">
    <w:abstractNumId w:val="8"/>
  </w:num>
  <w:num w:numId="23">
    <w:abstractNumId w:val="26"/>
  </w:num>
  <w:num w:numId="24">
    <w:abstractNumId w:val="17"/>
  </w:num>
  <w:num w:numId="25">
    <w:abstractNumId w:val="16"/>
  </w:num>
  <w:num w:numId="26">
    <w:abstractNumId w:val="24"/>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AC6"/>
    <w:rsid w:val="00000E91"/>
    <w:rsid w:val="0000111B"/>
    <w:rsid w:val="00004197"/>
    <w:rsid w:val="000343CA"/>
    <w:rsid w:val="00046444"/>
    <w:rsid w:val="000634DD"/>
    <w:rsid w:val="0007031D"/>
    <w:rsid w:val="000712B1"/>
    <w:rsid w:val="00080615"/>
    <w:rsid w:val="00082124"/>
    <w:rsid w:val="000C252F"/>
    <w:rsid w:val="000D364E"/>
    <w:rsid w:val="000E4D36"/>
    <w:rsid w:val="000F3A54"/>
    <w:rsid w:val="000F48FC"/>
    <w:rsid w:val="001107A9"/>
    <w:rsid w:val="0013282A"/>
    <w:rsid w:val="00137C12"/>
    <w:rsid w:val="00154117"/>
    <w:rsid w:val="001C471D"/>
    <w:rsid w:val="001E3E62"/>
    <w:rsid w:val="001E464F"/>
    <w:rsid w:val="001E49C6"/>
    <w:rsid w:val="001E747D"/>
    <w:rsid w:val="00201052"/>
    <w:rsid w:val="00207B5D"/>
    <w:rsid w:val="0021154A"/>
    <w:rsid w:val="00225D92"/>
    <w:rsid w:val="00231AAC"/>
    <w:rsid w:val="00253F6E"/>
    <w:rsid w:val="0025417F"/>
    <w:rsid w:val="00260CCC"/>
    <w:rsid w:val="002804D3"/>
    <w:rsid w:val="002A3B55"/>
    <w:rsid w:val="002A6EEE"/>
    <w:rsid w:val="002B5622"/>
    <w:rsid w:val="002B69C8"/>
    <w:rsid w:val="002C0FC7"/>
    <w:rsid w:val="002F1FC3"/>
    <w:rsid w:val="00301E94"/>
    <w:rsid w:val="0031337A"/>
    <w:rsid w:val="003141AB"/>
    <w:rsid w:val="00326201"/>
    <w:rsid w:val="0032649F"/>
    <w:rsid w:val="00326D6F"/>
    <w:rsid w:val="00330643"/>
    <w:rsid w:val="003449A0"/>
    <w:rsid w:val="003538DF"/>
    <w:rsid w:val="00362AB6"/>
    <w:rsid w:val="003A19EC"/>
    <w:rsid w:val="003A5E7B"/>
    <w:rsid w:val="003C6703"/>
    <w:rsid w:val="003E1530"/>
    <w:rsid w:val="003F1635"/>
    <w:rsid w:val="003F29B8"/>
    <w:rsid w:val="0040419E"/>
    <w:rsid w:val="004153F6"/>
    <w:rsid w:val="004154E2"/>
    <w:rsid w:val="00421161"/>
    <w:rsid w:val="00436905"/>
    <w:rsid w:val="00441862"/>
    <w:rsid w:val="00450896"/>
    <w:rsid w:val="00452AD7"/>
    <w:rsid w:val="00455AAF"/>
    <w:rsid w:val="0047043E"/>
    <w:rsid w:val="00486D9F"/>
    <w:rsid w:val="00493A0B"/>
    <w:rsid w:val="004D195E"/>
    <w:rsid w:val="004D3DFF"/>
    <w:rsid w:val="004D4273"/>
    <w:rsid w:val="004D6B54"/>
    <w:rsid w:val="004E2A2C"/>
    <w:rsid w:val="00500438"/>
    <w:rsid w:val="00521974"/>
    <w:rsid w:val="00534D53"/>
    <w:rsid w:val="00553B25"/>
    <w:rsid w:val="00554F28"/>
    <w:rsid w:val="00571212"/>
    <w:rsid w:val="00582A32"/>
    <w:rsid w:val="00595E8B"/>
    <w:rsid w:val="005A1906"/>
    <w:rsid w:val="005A71C8"/>
    <w:rsid w:val="005D49A6"/>
    <w:rsid w:val="006172BE"/>
    <w:rsid w:val="00634136"/>
    <w:rsid w:val="00643CA4"/>
    <w:rsid w:val="0065035B"/>
    <w:rsid w:val="0067135E"/>
    <w:rsid w:val="00680A20"/>
    <w:rsid w:val="00680F04"/>
    <w:rsid w:val="00684DAB"/>
    <w:rsid w:val="00690320"/>
    <w:rsid w:val="00692288"/>
    <w:rsid w:val="006B2419"/>
    <w:rsid w:val="006B446A"/>
    <w:rsid w:val="006E70D4"/>
    <w:rsid w:val="006F3729"/>
    <w:rsid w:val="00725A94"/>
    <w:rsid w:val="00734FA0"/>
    <w:rsid w:val="007413A9"/>
    <w:rsid w:val="007433EA"/>
    <w:rsid w:val="007434AC"/>
    <w:rsid w:val="00744C07"/>
    <w:rsid w:val="007468B9"/>
    <w:rsid w:val="00752B9C"/>
    <w:rsid w:val="007601AA"/>
    <w:rsid w:val="00763F98"/>
    <w:rsid w:val="00774706"/>
    <w:rsid w:val="007910AD"/>
    <w:rsid w:val="0079299E"/>
    <w:rsid w:val="007A24B7"/>
    <w:rsid w:val="007B7F43"/>
    <w:rsid w:val="007C20D2"/>
    <w:rsid w:val="007E1025"/>
    <w:rsid w:val="007E6373"/>
    <w:rsid w:val="007F672E"/>
    <w:rsid w:val="00830E80"/>
    <w:rsid w:val="00844B60"/>
    <w:rsid w:val="00870DED"/>
    <w:rsid w:val="008A649A"/>
    <w:rsid w:val="008E21DE"/>
    <w:rsid w:val="00914846"/>
    <w:rsid w:val="0092679E"/>
    <w:rsid w:val="00944AF8"/>
    <w:rsid w:val="009629BD"/>
    <w:rsid w:val="00983695"/>
    <w:rsid w:val="009A2590"/>
    <w:rsid w:val="009A2A0A"/>
    <w:rsid w:val="009C7775"/>
    <w:rsid w:val="009E49AB"/>
    <w:rsid w:val="009E7F8A"/>
    <w:rsid w:val="009F2F90"/>
    <w:rsid w:val="00A07E4A"/>
    <w:rsid w:val="00A16D8F"/>
    <w:rsid w:val="00A23701"/>
    <w:rsid w:val="00A32AC6"/>
    <w:rsid w:val="00A35C6F"/>
    <w:rsid w:val="00A60009"/>
    <w:rsid w:val="00A652C8"/>
    <w:rsid w:val="00A76B82"/>
    <w:rsid w:val="00A83F1F"/>
    <w:rsid w:val="00AA094B"/>
    <w:rsid w:val="00AB0030"/>
    <w:rsid w:val="00AB12D5"/>
    <w:rsid w:val="00AC5612"/>
    <w:rsid w:val="00AD32C5"/>
    <w:rsid w:val="00AD735D"/>
    <w:rsid w:val="00AE5321"/>
    <w:rsid w:val="00AF0899"/>
    <w:rsid w:val="00B025D1"/>
    <w:rsid w:val="00B06889"/>
    <w:rsid w:val="00B0691D"/>
    <w:rsid w:val="00B16087"/>
    <w:rsid w:val="00B603C0"/>
    <w:rsid w:val="00B70F5F"/>
    <w:rsid w:val="00B83AB4"/>
    <w:rsid w:val="00B95B07"/>
    <w:rsid w:val="00BA0D88"/>
    <w:rsid w:val="00BA1429"/>
    <w:rsid w:val="00BF453A"/>
    <w:rsid w:val="00C0421C"/>
    <w:rsid w:val="00C10202"/>
    <w:rsid w:val="00C13E0B"/>
    <w:rsid w:val="00C21944"/>
    <w:rsid w:val="00C30DDE"/>
    <w:rsid w:val="00C52C59"/>
    <w:rsid w:val="00C5481D"/>
    <w:rsid w:val="00C90DF2"/>
    <w:rsid w:val="00CA5654"/>
    <w:rsid w:val="00CC49A5"/>
    <w:rsid w:val="00CE4DAF"/>
    <w:rsid w:val="00D72CFD"/>
    <w:rsid w:val="00D91DE8"/>
    <w:rsid w:val="00DB23C8"/>
    <w:rsid w:val="00DE2052"/>
    <w:rsid w:val="00DF74BA"/>
    <w:rsid w:val="00E002EA"/>
    <w:rsid w:val="00E061E8"/>
    <w:rsid w:val="00E07DF9"/>
    <w:rsid w:val="00E140DD"/>
    <w:rsid w:val="00E260AC"/>
    <w:rsid w:val="00E27B0E"/>
    <w:rsid w:val="00E30DA3"/>
    <w:rsid w:val="00E53833"/>
    <w:rsid w:val="00E9385E"/>
    <w:rsid w:val="00EA364D"/>
    <w:rsid w:val="00EB369D"/>
    <w:rsid w:val="00EC1409"/>
    <w:rsid w:val="00EE737C"/>
    <w:rsid w:val="00EF03CF"/>
    <w:rsid w:val="00F03743"/>
    <w:rsid w:val="00F13C3D"/>
    <w:rsid w:val="00F27A95"/>
    <w:rsid w:val="00F708B3"/>
    <w:rsid w:val="00F9318C"/>
    <w:rsid w:val="00FA1813"/>
    <w:rsid w:val="00FD18DC"/>
    <w:rsid w:val="00FD66D7"/>
    <w:rsid w:val="00FF01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50F963"/>
  <w15:chartTrackingRefBased/>
  <w15:docId w15:val="{27D57592-E3E5-40BC-8976-11D7F853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AC6"/>
    <w:pPr>
      <w:suppressAutoHyphens/>
      <w:spacing w:before="200" w:after="200" w:line="280" w:lineRule="atLeast"/>
    </w:pPr>
    <w:rPr>
      <w:sz w:val="24"/>
    </w:rPr>
  </w:style>
  <w:style w:type="paragraph" w:styleId="Heading1">
    <w:name w:val="heading 1"/>
    <w:basedOn w:val="Normal"/>
    <w:next w:val="Normal"/>
    <w:link w:val="Heading1Char"/>
    <w:uiPriority w:val="2"/>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2"/>
    <w:qFormat/>
    <w:rsid w:val="00844B60"/>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2"/>
    <w:rsid w:val="00844B60"/>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20"/>
    <w:qFormat/>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2"/>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99"/>
    <w:qFormat/>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99"/>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99"/>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99"/>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67135E"/>
    <w:pPr>
      <w:keepNext/>
      <w:tabs>
        <w:tab w:val="right" w:leader="dot" w:pos="9628"/>
      </w:tabs>
      <w:spacing w:before="120" w:after="120" w:line="240" w:lineRule="auto"/>
    </w:pPr>
    <w:rPr>
      <w:rFonts w:asciiTheme="majorHAnsi" w:hAnsiTheme="majorHAnsi"/>
      <w:color w:val="auto"/>
    </w:rPr>
  </w:style>
  <w:style w:type="paragraph" w:styleId="TOC2">
    <w:name w:val="toc 2"/>
    <w:basedOn w:val="Normal"/>
    <w:next w:val="Normal"/>
    <w:autoRedefine/>
    <w:uiPriority w:val="39"/>
    <w:rsid w:val="0067135E"/>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Covertitle">
    <w:name w:val="Cover title"/>
    <w:basedOn w:val="Normal"/>
    <w:link w:val="CovertitleChar"/>
    <w:uiPriority w:val="3"/>
    <w:qFormat/>
    <w:rsid w:val="00CE4DAF"/>
    <w:pPr>
      <w:spacing w:before="3960"/>
    </w:pPr>
    <w:rPr>
      <w:b/>
      <w:noProof/>
      <w:color w:val="FFFFFF" w:themeColor="background1"/>
      <w:sz w:val="120"/>
      <w:szCs w:val="120"/>
      <w:lang w:eastAsia="en-AU"/>
    </w:rPr>
  </w:style>
  <w:style w:type="paragraph" w:customStyle="1" w:styleId="Coversubtitle">
    <w:name w:val="Cover subtitle"/>
    <w:basedOn w:val="Normal"/>
    <w:link w:val="CoversubtitleChar"/>
    <w:uiPriority w:val="4"/>
    <w:qFormat/>
    <w:rsid w:val="0079299E"/>
    <w:pPr>
      <w:pBdr>
        <w:left w:val="single" w:sz="48" w:space="4" w:color="9DC44D" w:themeColor="accent6"/>
      </w:pBdr>
      <w:spacing w:before="0"/>
      <w:ind w:left="284" w:firstLine="425"/>
    </w:pPr>
    <w:rPr>
      <w:color w:val="FFFFFF" w:themeColor="background1"/>
      <w:sz w:val="60"/>
      <w:szCs w:val="60"/>
    </w:rPr>
  </w:style>
  <w:style w:type="character" w:customStyle="1" w:styleId="CovertitleChar">
    <w:name w:val="Cover title Char"/>
    <w:basedOn w:val="DefaultParagraphFont"/>
    <w:link w:val="Covertitle"/>
    <w:uiPriority w:val="3"/>
    <w:rsid w:val="00CE4DAF"/>
    <w:rPr>
      <w:b/>
      <w:noProof/>
      <w:color w:val="FFFFFF" w:themeColor="background1"/>
      <w:sz w:val="120"/>
      <w:szCs w:val="120"/>
      <w:lang w:eastAsia="en-AU"/>
    </w:rPr>
  </w:style>
  <w:style w:type="character" w:customStyle="1" w:styleId="CoversubtitleChar">
    <w:name w:val="Cover subtitle Char"/>
    <w:basedOn w:val="DefaultParagraphFont"/>
    <w:link w:val="Coversubtitle"/>
    <w:uiPriority w:val="4"/>
    <w:rsid w:val="0079299E"/>
    <w:rPr>
      <w:color w:val="FFFFFF" w:themeColor="background1"/>
      <w:sz w:val="60"/>
      <w:szCs w:val="60"/>
    </w:rPr>
  </w:style>
  <w:style w:type="table" w:styleId="ListTable3-Accent2">
    <w:name w:val="List Table 3 Accent 2"/>
    <w:basedOn w:val="TableNormal"/>
    <w:uiPriority w:val="48"/>
    <w:rsid w:val="0067135E"/>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NDISCommission">
    <w:name w:val="NDIS Commission"/>
    <w:basedOn w:val="ListTable3-Accent2"/>
    <w:uiPriority w:val="99"/>
    <w:rsid w:val="0067135E"/>
    <w:pPr>
      <w:spacing w:before="0"/>
    </w:pPr>
    <w:tblPr>
      <w:tblBorders>
        <w:top w:val="single" w:sz="4" w:space="0" w:color="943C84"/>
        <w:left w:val="single" w:sz="4" w:space="0" w:color="943C84"/>
        <w:bottom w:val="single" w:sz="4" w:space="0" w:color="943C84"/>
        <w:right w:val="single" w:sz="4" w:space="0" w:color="943C84"/>
        <w:insideH w:val="single" w:sz="4" w:space="0" w:color="943C84"/>
        <w:insideV w:val="single" w:sz="4" w:space="0" w:color="943C84"/>
      </w:tblBorders>
    </w:tblPr>
    <w:tblStylePr w:type="firstRow">
      <w:rPr>
        <w:rFonts w:ascii="Calibri" w:hAnsi="Calibri"/>
        <w:b/>
        <w:bCs/>
        <w:color w:val="FFFFFF" w:themeColor="background1"/>
        <w:sz w:val="22"/>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character" w:styleId="CommentReference">
    <w:name w:val="annotation reference"/>
    <w:basedOn w:val="DefaultParagraphFont"/>
    <w:semiHidden/>
    <w:unhideWhenUsed/>
    <w:rsid w:val="00A32AC6"/>
    <w:rPr>
      <w:sz w:val="16"/>
      <w:szCs w:val="16"/>
    </w:rPr>
  </w:style>
  <w:style w:type="paragraph" w:styleId="CommentText">
    <w:name w:val="annotation text"/>
    <w:basedOn w:val="Normal"/>
    <w:link w:val="CommentTextChar"/>
    <w:unhideWhenUsed/>
    <w:rsid w:val="00A32AC6"/>
    <w:pPr>
      <w:spacing w:line="240" w:lineRule="auto"/>
    </w:pPr>
    <w:rPr>
      <w:sz w:val="20"/>
    </w:rPr>
  </w:style>
  <w:style w:type="character" w:customStyle="1" w:styleId="CommentTextChar">
    <w:name w:val="Comment Text Char"/>
    <w:basedOn w:val="DefaultParagraphFont"/>
    <w:link w:val="CommentText"/>
    <w:rsid w:val="00A32AC6"/>
  </w:style>
  <w:style w:type="paragraph" w:styleId="CommentSubject">
    <w:name w:val="annotation subject"/>
    <w:basedOn w:val="CommentText"/>
    <w:next w:val="CommentText"/>
    <w:link w:val="CommentSubjectChar"/>
    <w:uiPriority w:val="99"/>
    <w:semiHidden/>
    <w:unhideWhenUsed/>
    <w:rsid w:val="00A32AC6"/>
    <w:rPr>
      <w:b/>
      <w:bCs/>
    </w:rPr>
  </w:style>
  <w:style w:type="character" w:customStyle="1" w:styleId="CommentSubjectChar">
    <w:name w:val="Comment Subject Char"/>
    <w:basedOn w:val="CommentTextChar"/>
    <w:link w:val="CommentSubject"/>
    <w:uiPriority w:val="99"/>
    <w:semiHidden/>
    <w:rsid w:val="00A32AC6"/>
    <w:rPr>
      <w:b/>
      <w:bCs/>
    </w:rPr>
  </w:style>
  <w:style w:type="paragraph" w:styleId="BalloonText">
    <w:name w:val="Balloon Text"/>
    <w:basedOn w:val="Normal"/>
    <w:link w:val="BalloonTextChar"/>
    <w:uiPriority w:val="99"/>
    <w:semiHidden/>
    <w:unhideWhenUsed/>
    <w:rsid w:val="00A32AC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AC6"/>
    <w:rPr>
      <w:rFonts w:ascii="Segoe UI" w:hAnsi="Segoe UI" w:cs="Segoe UI"/>
      <w:sz w:val="18"/>
      <w:szCs w:val="18"/>
    </w:rPr>
  </w:style>
  <w:style w:type="paragraph" w:customStyle="1" w:styleId="Response">
    <w:name w:val="Response"/>
    <w:basedOn w:val="Normal"/>
    <w:link w:val="ResponseChar"/>
    <w:qFormat/>
    <w:rsid w:val="00A32AC6"/>
    <w:pPr>
      <w:ind w:left="567"/>
    </w:pPr>
  </w:style>
  <w:style w:type="character" w:customStyle="1" w:styleId="ResponseChar">
    <w:name w:val="Response Char"/>
    <w:basedOn w:val="DefaultParagraphFont"/>
    <w:link w:val="Response"/>
    <w:rsid w:val="00A32AC6"/>
    <w:rPr>
      <w:sz w:val="22"/>
    </w:rPr>
  </w:style>
  <w:style w:type="paragraph" w:styleId="ListBullet">
    <w:name w:val="List Bullet"/>
    <w:basedOn w:val="Normal"/>
    <w:uiPriority w:val="1"/>
    <w:qFormat/>
    <w:rsid w:val="000712B1"/>
    <w:pPr>
      <w:numPr>
        <w:numId w:val="12"/>
      </w:numPr>
      <w:tabs>
        <w:tab w:val="left" w:pos="170"/>
      </w:tabs>
      <w:suppressAutoHyphens w:val="0"/>
      <w:spacing w:before="120" w:after="180"/>
    </w:pPr>
    <w:rPr>
      <w:rFonts w:ascii="Arial" w:eastAsia="Times New Roman" w:hAnsi="Arial" w:cs="Times New Roman"/>
      <w:color w:val="auto"/>
      <w:spacing w:val="4"/>
      <w:szCs w:val="24"/>
      <w:lang w:eastAsia="en-AU"/>
    </w:rPr>
  </w:style>
  <w:style w:type="paragraph" w:styleId="ListParagraph">
    <w:name w:val="List Paragraph"/>
    <w:basedOn w:val="Normal"/>
    <w:uiPriority w:val="34"/>
    <w:qFormat/>
    <w:rsid w:val="000712B1"/>
    <w:pPr>
      <w:suppressAutoHyphens w:val="0"/>
      <w:spacing w:before="120" w:after="180"/>
      <w:ind w:left="720"/>
      <w:contextualSpacing/>
    </w:pPr>
    <w:rPr>
      <w:rFonts w:ascii="Arial" w:eastAsia="Times New Roman" w:hAnsi="Arial" w:cs="Times New Roman"/>
      <w:color w:val="auto"/>
      <w:spacing w:val="4"/>
      <w:szCs w:val="24"/>
      <w:lang w:eastAsia="en-AU"/>
    </w:rPr>
  </w:style>
  <w:style w:type="table" w:customStyle="1" w:styleId="DSSDatatablestyle">
    <w:name w:val="DSS Data table style"/>
    <w:basedOn w:val="TableNormal"/>
    <w:uiPriority w:val="99"/>
    <w:rsid w:val="000712B1"/>
    <w:pPr>
      <w:spacing w:before="0" w:after="0"/>
    </w:pPr>
    <w:rPr>
      <w:rFonts w:ascii="Arial" w:hAnsi="Arial"/>
      <w:color w:val="auto"/>
      <w:sz w:val="24"/>
      <w:szCs w:val="22"/>
    </w:rPr>
    <w:tblPr>
      <w:tblStyleRowBandSize w:val="1"/>
      <w:tblInd w:w="113" w:type="dxa"/>
    </w:tblPr>
    <w:tblStylePr w:type="firstRow">
      <w:rPr>
        <w:rFonts w:ascii="Arial" w:hAnsi="Arial"/>
        <w:b/>
        <w:color w:val="FFFFFF" w:themeColor="background1"/>
        <w:sz w:val="24"/>
      </w:rPr>
      <w:tblPr/>
      <w:tcPr>
        <w:shd w:val="clear" w:color="auto" w:fill="500778"/>
      </w:tcPr>
    </w:tblStylePr>
    <w:tblStylePr w:type="lastRow">
      <w:rPr>
        <w:rFonts w:ascii="Arial" w:hAnsi="Arial"/>
        <w:b/>
        <w:sz w:val="22"/>
      </w:rPr>
      <w:tblPr/>
      <w:tcPr>
        <w:tcBorders>
          <w:bottom w:val="single" w:sz="8" w:space="0" w:color="auto"/>
        </w:tcBorders>
      </w:tcPr>
    </w:tblStylePr>
    <w:tblStylePr w:type="band2Horz">
      <w:rPr>
        <w:rFonts w:ascii="Arial" w:hAnsi="Arial"/>
        <w:sz w:val="22"/>
      </w:rPr>
      <w:tblPr/>
      <w:tcPr>
        <w:shd w:val="clear" w:color="auto" w:fill="F5F5F5"/>
      </w:tcPr>
    </w:tblStylePr>
  </w:style>
  <w:style w:type="table" w:customStyle="1" w:styleId="NDISCommission1">
    <w:name w:val="NDIS Commission1"/>
    <w:basedOn w:val="ListTable3-Accent2"/>
    <w:uiPriority w:val="99"/>
    <w:rsid w:val="0065035B"/>
    <w:pPr>
      <w:spacing w:before="0"/>
    </w:pPr>
    <w:tblPr>
      <w:tblBorders>
        <w:top w:val="single" w:sz="4" w:space="0" w:color="943C84"/>
        <w:left w:val="single" w:sz="4" w:space="0" w:color="943C84"/>
        <w:bottom w:val="single" w:sz="4" w:space="0" w:color="943C84"/>
        <w:right w:val="single" w:sz="4" w:space="0" w:color="943C84"/>
        <w:insideH w:val="single" w:sz="4" w:space="0" w:color="943C84"/>
        <w:insideV w:val="single" w:sz="4" w:space="0" w:color="943C84"/>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Default">
    <w:name w:val="Default"/>
    <w:rsid w:val="00684DAB"/>
    <w:pPr>
      <w:autoSpaceDE w:val="0"/>
      <w:autoSpaceDN w:val="0"/>
      <w:adjustRightInd w:val="0"/>
      <w:spacing w:before="0" w:after="0"/>
    </w:pPr>
    <w:rPr>
      <w:rFonts w:ascii="Times New Roman" w:hAnsi="Times New Roman" w:cs="Times New Roman"/>
      <w:color w:val="000000"/>
      <w:sz w:val="24"/>
      <w:szCs w:val="24"/>
    </w:rPr>
  </w:style>
  <w:style w:type="paragraph" w:styleId="Revision">
    <w:name w:val="Revision"/>
    <w:hidden/>
    <w:uiPriority w:val="99"/>
    <w:semiHidden/>
    <w:rsid w:val="005D49A6"/>
    <w:pPr>
      <w:spacing w:before="0" w:after="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775809">
      <w:bodyDiv w:val="1"/>
      <w:marLeft w:val="0"/>
      <w:marRight w:val="0"/>
      <w:marTop w:val="0"/>
      <w:marBottom w:val="0"/>
      <w:divBdr>
        <w:top w:val="none" w:sz="0" w:space="0" w:color="auto"/>
        <w:left w:val="none" w:sz="0" w:space="0" w:color="auto"/>
        <w:bottom w:val="none" w:sz="0" w:space="0" w:color="auto"/>
        <w:right w:val="none" w:sz="0" w:space="0" w:color="auto"/>
      </w:divBdr>
    </w:div>
    <w:div w:id="209081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discommission.gov.au/document/89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discommission.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ndiscommission.gov.au/about/ndis-worker-screening-chec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au/Details/F2018L00631" TargetMode="External"/><Relationship Id="rId2" Type="http://schemas.openxmlformats.org/officeDocument/2006/relationships/hyperlink" Target="https://www.legislation.gov.au/Details/F2018L00631" TargetMode="External"/><Relationship Id="rId1" Type="http://schemas.openxmlformats.org/officeDocument/2006/relationships/hyperlink" Target="https://www.legislation.gov.au/Details/F2018L006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M0044\AppData\Local\Microsoft\Windows\INetCache\Content.Outlook\LNYKRHQ8\D18%20378358%20UPDATED%20-%20Template%20-%20Report%20(002).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C51FB-135B-4D11-84B9-E7F47BD20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D18 378358 UPDATED - Template - Report (002)</Template>
  <TotalTime>6</TotalTime>
  <Pages>7</Pages>
  <Words>1289</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Jessica</dc:creator>
  <cp:keywords/>
  <dc:description/>
  <cp:lastModifiedBy>MARTIN, Jessica</cp:lastModifiedBy>
  <cp:revision>3</cp:revision>
  <dcterms:created xsi:type="dcterms:W3CDTF">2021-03-08T00:33:00Z</dcterms:created>
  <dcterms:modified xsi:type="dcterms:W3CDTF">2021-03-08T00:37:00Z</dcterms:modified>
</cp:coreProperties>
</file>