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AAE1D" w14:textId="77777777" w:rsidR="00EB735A" w:rsidRDefault="00EB735A" w:rsidP="00FE707C">
      <w:pPr>
        <w:pStyle w:val="Heading1"/>
        <w:spacing w:before="120" w:after="120"/>
        <w:rPr>
          <w:rStyle w:val="TitleChar"/>
          <w:b w:val="0"/>
        </w:rPr>
      </w:pPr>
      <w:bookmarkStart w:id="0" w:name="_GoBack"/>
      <w:bookmarkEnd w:id="0"/>
      <w:r w:rsidRPr="00EB735A">
        <w:rPr>
          <w:rStyle w:val="TitleChar"/>
          <w:b w:val="0"/>
        </w:rPr>
        <w:t>The NDIS Quality and Safeguards Commission</w:t>
      </w:r>
    </w:p>
    <w:p w14:paraId="619679E8" w14:textId="77777777" w:rsidR="00EB735A" w:rsidRDefault="008C18CD" w:rsidP="00FE707C">
      <w:pPr>
        <w:pStyle w:val="Heading1"/>
        <w:spacing w:before="0"/>
      </w:pPr>
      <w:r>
        <w:t xml:space="preserve">A new system </w:t>
      </w:r>
      <w:r w:rsidR="0024552B">
        <w:t xml:space="preserve">for </w:t>
      </w:r>
      <w:r w:rsidR="00C24535">
        <w:t xml:space="preserve">reporting incidents </w:t>
      </w:r>
      <w:r>
        <w:t xml:space="preserve">in </w:t>
      </w:r>
      <w:r w:rsidR="00C24535">
        <w:t xml:space="preserve">South Australia </w:t>
      </w:r>
    </w:p>
    <w:p w14:paraId="64CF9E5C" w14:textId="77777777" w:rsidR="000A30E0" w:rsidRPr="002348A7" w:rsidRDefault="000A30E0" w:rsidP="000A30E0">
      <w:r w:rsidRPr="000A30E0">
        <w:t>The NDIS Quality and Safeguards Commission (NDIS Commission) is an independent government body that works to improve the quality and safety of NDIS services and supports</w:t>
      </w:r>
      <w:r w:rsidR="00B72794">
        <w:t xml:space="preserve"> for people with disability</w:t>
      </w:r>
      <w:r w:rsidRPr="000A30E0">
        <w:t>, investigates and resolves problems</w:t>
      </w:r>
      <w:r w:rsidR="00B72794">
        <w:t xml:space="preserve"> related to them</w:t>
      </w:r>
      <w:r w:rsidRPr="000A30E0">
        <w:t xml:space="preserve">, and strengthens the skills and knowledge of providers and </w:t>
      </w:r>
      <w:r w:rsidR="00B72794">
        <w:t xml:space="preserve">NDIS </w:t>
      </w:r>
      <w:r w:rsidRPr="000A30E0">
        <w:t>participants.</w:t>
      </w:r>
      <w:r w:rsidR="002348A7">
        <w:t xml:space="preserve"> </w:t>
      </w:r>
      <w:r w:rsidR="004840C8">
        <w:t xml:space="preserve"> </w:t>
      </w:r>
      <w:r w:rsidR="002348A7">
        <w:t xml:space="preserve">Responsibilities of the NDIS Commission are set out in the </w:t>
      </w:r>
      <w:r w:rsidR="002348A7">
        <w:rPr>
          <w:i/>
        </w:rPr>
        <w:t xml:space="preserve">National Disability Insurance Scheme Act 2013 </w:t>
      </w:r>
      <w:r w:rsidR="002348A7">
        <w:t>(the NDIS Act).</w:t>
      </w:r>
    </w:p>
    <w:p w14:paraId="0BFB0A8A" w14:textId="77777777" w:rsidR="000A30E0" w:rsidRPr="000A30E0" w:rsidRDefault="000A30E0" w:rsidP="000A30E0">
      <w:pPr>
        <w:rPr>
          <w:b/>
        </w:rPr>
      </w:pPr>
      <w:r w:rsidRPr="000A30E0">
        <w:rPr>
          <w:b/>
        </w:rPr>
        <w:t xml:space="preserve">The NDIS Commission </w:t>
      </w:r>
      <w:r w:rsidR="008F083E">
        <w:rPr>
          <w:b/>
        </w:rPr>
        <w:t>commenced</w:t>
      </w:r>
      <w:r w:rsidRPr="000A30E0">
        <w:rPr>
          <w:b/>
        </w:rPr>
        <w:t xml:space="preserve"> in</w:t>
      </w:r>
      <w:r w:rsidR="00FD32FA">
        <w:rPr>
          <w:b/>
        </w:rPr>
        <w:t xml:space="preserve"> South Australia on 1 July 2018. </w:t>
      </w:r>
    </w:p>
    <w:p w14:paraId="38CFFED0" w14:textId="77777777" w:rsidR="000A30E0" w:rsidRPr="000A30E0" w:rsidRDefault="000A30E0" w:rsidP="000A30E0">
      <w:r>
        <w:t>When it is operational in all states and territories, the NDIS Commission will provide a single, national registration and regulatory system for providers that will set a consistent approach to quality and safety across Australia</w:t>
      </w:r>
      <w:r w:rsidR="00FD32FA">
        <w:t>, including for reporting incidents</w:t>
      </w:r>
      <w:r w:rsidR="00B72794">
        <w:t xml:space="preserve"> that occur in connection with the provision of NDIS services and supports</w:t>
      </w:r>
      <w:r>
        <w:t>.</w:t>
      </w:r>
    </w:p>
    <w:p w14:paraId="1E6F519F" w14:textId="77777777" w:rsidR="00DE2948" w:rsidRDefault="00EF617C" w:rsidP="003D6956">
      <w:r w:rsidRPr="000A30E0">
        <w:rPr>
          <w:rFonts w:asciiTheme="majorHAnsi" w:eastAsiaTheme="majorEastAsia" w:hAnsiTheme="majorHAnsi" w:cstheme="majorBidi"/>
          <w:b/>
          <w:color w:val="612C69"/>
          <w:sz w:val="40"/>
          <w:szCs w:val="40"/>
        </w:rPr>
        <w:t xml:space="preserve">What has changed for providers </w:t>
      </w:r>
      <w:r w:rsidR="00C24535">
        <w:rPr>
          <w:rFonts w:asciiTheme="majorHAnsi" w:eastAsiaTheme="majorEastAsia" w:hAnsiTheme="majorHAnsi" w:cstheme="majorBidi"/>
          <w:b/>
          <w:color w:val="612C69"/>
          <w:sz w:val="40"/>
          <w:szCs w:val="40"/>
        </w:rPr>
        <w:t xml:space="preserve">needing to report incidents </w:t>
      </w:r>
      <w:r w:rsidRPr="000A30E0">
        <w:rPr>
          <w:rFonts w:asciiTheme="majorHAnsi" w:eastAsiaTheme="majorEastAsia" w:hAnsiTheme="majorHAnsi" w:cstheme="majorBidi"/>
          <w:b/>
          <w:color w:val="612C69"/>
          <w:sz w:val="40"/>
          <w:szCs w:val="40"/>
        </w:rPr>
        <w:t>in South Australia</w:t>
      </w:r>
      <w:r w:rsidR="00854E20">
        <w:rPr>
          <w:rFonts w:asciiTheme="majorHAnsi" w:eastAsiaTheme="majorEastAsia" w:hAnsiTheme="majorHAnsi" w:cstheme="majorBidi"/>
          <w:b/>
          <w:color w:val="612C69"/>
          <w:sz w:val="40"/>
          <w:szCs w:val="40"/>
        </w:rPr>
        <w:t>?</w:t>
      </w:r>
    </w:p>
    <w:p w14:paraId="213CC1E1" w14:textId="48CABA3C" w:rsidR="008F775A" w:rsidRDefault="003D6956" w:rsidP="003D6956">
      <w:pPr>
        <w:rPr>
          <w:color w:val="auto"/>
        </w:rPr>
      </w:pPr>
      <w:r w:rsidRPr="005B6568">
        <w:rPr>
          <w:color w:val="auto"/>
        </w:rPr>
        <w:t>Registered NDIS providers are required by</w:t>
      </w:r>
      <w:r w:rsidR="00D26259">
        <w:rPr>
          <w:color w:val="auto"/>
        </w:rPr>
        <w:t xml:space="preserve"> Commonwealth</w:t>
      </w:r>
      <w:r w:rsidRPr="005B6568">
        <w:rPr>
          <w:color w:val="auto"/>
        </w:rPr>
        <w:t xml:space="preserve"> law to have appropriate systems in place to respond to any incidents that occur or are alleged to have occurred in connection with the provision of supports or services to </w:t>
      </w:r>
      <w:r w:rsidR="003A7E5A">
        <w:rPr>
          <w:color w:val="auto"/>
        </w:rPr>
        <w:t>NDIS participants</w:t>
      </w:r>
      <w:r w:rsidRPr="005B6568">
        <w:rPr>
          <w:color w:val="auto"/>
        </w:rPr>
        <w:t>.</w:t>
      </w:r>
      <w:r w:rsidR="008F775A">
        <w:rPr>
          <w:color w:val="auto"/>
        </w:rPr>
        <w:t xml:space="preserve">  T</w:t>
      </w:r>
      <w:r w:rsidR="008F775A" w:rsidRPr="005B6568" w:rsidDel="00B72794">
        <w:rPr>
          <w:color w:val="auto"/>
        </w:rPr>
        <w:t xml:space="preserve">he </w:t>
      </w:r>
      <w:r w:rsidR="00C2440A" w:rsidRPr="005B6568" w:rsidDel="00B72794">
        <w:rPr>
          <w:color w:val="auto"/>
        </w:rPr>
        <w:t>Government</w:t>
      </w:r>
      <w:r w:rsidR="00D317F6">
        <w:rPr>
          <w:color w:val="auto"/>
        </w:rPr>
        <w:t xml:space="preserve"> of South Australia</w:t>
      </w:r>
      <w:r w:rsidR="00C2440A" w:rsidRPr="005B6568" w:rsidDel="00B72794">
        <w:rPr>
          <w:color w:val="auto"/>
        </w:rPr>
        <w:t xml:space="preserve"> also require</w:t>
      </w:r>
      <w:r w:rsidR="00B14A7E">
        <w:rPr>
          <w:color w:val="auto"/>
        </w:rPr>
        <w:t>s</w:t>
      </w:r>
      <w:r w:rsidR="00C2440A" w:rsidRPr="005B6568" w:rsidDel="00B72794">
        <w:rPr>
          <w:color w:val="auto"/>
        </w:rPr>
        <w:t xml:space="preserve"> NDIS providers to notify them of certain types of incidents.</w:t>
      </w:r>
      <w:r w:rsidR="00B14A7E">
        <w:rPr>
          <w:color w:val="auto"/>
        </w:rPr>
        <w:t xml:space="preserve">  </w:t>
      </w:r>
      <w:r w:rsidR="008F775A">
        <w:rPr>
          <w:color w:val="auto"/>
        </w:rPr>
        <w:t xml:space="preserve">These reporting obligations </w:t>
      </w:r>
      <w:r w:rsidR="00D26259">
        <w:rPr>
          <w:color w:val="auto"/>
        </w:rPr>
        <w:t xml:space="preserve">apply </w:t>
      </w:r>
      <w:r w:rsidR="008F775A">
        <w:rPr>
          <w:color w:val="auto"/>
        </w:rPr>
        <w:t>to all providers in receipt of funding form the Government of South Australia prior to 1 July 2018.</w:t>
      </w:r>
      <w:r w:rsidR="008F775A" w:rsidRPr="005B6568" w:rsidDel="00B72794">
        <w:rPr>
          <w:color w:val="auto"/>
        </w:rPr>
        <w:t xml:space="preserve"> </w:t>
      </w:r>
      <w:r w:rsidR="008F775A" w:rsidDel="00B72794">
        <w:rPr>
          <w:color w:val="auto"/>
        </w:rPr>
        <w:t xml:space="preserve"> </w:t>
      </w:r>
      <w:r w:rsidR="00C2440A">
        <w:rPr>
          <w:color w:val="auto"/>
        </w:rPr>
        <w:t xml:space="preserve">Since that date </w:t>
      </w:r>
      <w:r w:rsidR="00D26259">
        <w:rPr>
          <w:color w:val="auto"/>
        </w:rPr>
        <w:t>Commonwealth</w:t>
      </w:r>
      <w:r w:rsidR="00D26259" w:rsidRPr="005B6568">
        <w:rPr>
          <w:color w:val="auto"/>
        </w:rPr>
        <w:t xml:space="preserve"> </w:t>
      </w:r>
      <w:r w:rsidRPr="005B6568">
        <w:rPr>
          <w:color w:val="auto"/>
        </w:rPr>
        <w:t>law</w:t>
      </w:r>
      <w:r w:rsidR="00D26259">
        <w:rPr>
          <w:color w:val="auto"/>
        </w:rPr>
        <w:t xml:space="preserve"> has</w:t>
      </w:r>
      <w:r w:rsidRPr="005B6568">
        <w:rPr>
          <w:color w:val="auto"/>
        </w:rPr>
        <w:t xml:space="preserve"> also </w:t>
      </w:r>
      <w:r w:rsidR="00D26259" w:rsidRPr="005B6568">
        <w:rPr>
          <w:color w:val="auto"/>
        </w:rPr>
        <w:t>require</w:t>
      </w:r>
      <w:r w:rsidR="00D26259">
        <w:rPr>
          <w:color w:val="auto"/>
        </w:rPr>
        <w:t>d</w:t>
      </w:r>
      <w:r w:rsidR="00D26259" w:rsidRPr="005B6568">
        <w:rPr>
          <w:color w:val="auto"/>
        </w:rPr>
        <w:t xml:space="preserve"> </w:t>
      </w:r>
      <w:r w:rsidRPr="005B6568">
        <w:rPr>
          <w:color w:val="auto"/>
        </w:rPr>
        <w:t xml:space="preserve">that registered NDIS providers notify certain types of incidents to the NDIS Commission. </w:t>
      </w:r>
      <w:r w:rsidR="00B14A7E">
        <w:rPr>
          <w:color w:val="auto"/>
        </w:rPr>
        <w:t xml:space="preserve">  </w:t>
      </w:r>
      <w:r w:rsidR="008F775A">
        <w:rPr>
          <w:color w:val="auto"/>
        </w:rPr>
        <w:t xml:space="preserve">From 1 July 2018, providers who are in receipt of funding from the Government of South Australia and the NDIS may be subject to both state based and NDIS Commission reporting obligations. </w:t>
      </w:r>
      <w:r w:rsidR="00CB5855" w:rsidRPr="005B6568">
        <w:rPr>
          <w:color w:val="auto"/>
        </w:rPr>
        <w:t xml:space="preserve">The </w:t>
      </w:r>
      <w:r w:rsidRPr="005B6568">
        <w:rPr>
          <w:color w:val="auto"/>
        </w:rPr>
        <w:t xml:space="preserve">following table provides guidance on </w:t>
      </w:r>
      <w:r w:rsidR="0024552B" w:rsidRPr="005B6568">
        <w:rPr>
          <w:color w:val="auto"/>
        </w:rPr>
        <w:t xml:space="preserve">the </w:t>
      </w:r>
      <w:r w:rsidRPr="005B6568">
        <w:rPr>
          <w:color w:val="auto"/>
        </w:rPr>
        <w:t>report</w:t>
      </w:r>
      <w:r w:rsidR="0024552B" w:rsidRPr="005B6568">
        <w:rPr>
          <w:color w:val="auto"/>
        </w:rPr>
        <w:t xml:space="preserve">ing </w:t>
      </w:r>
      <w:r w:rsidR="00CB5855" w:rsidRPr="005B6568">
        <w:rPr>
          <w:color w:val="auto"/>
        </w:rPr>
        <w:t xml:space="preserve">of </w:t>
      </w:r>
      <w:r w:rsidRPr="005B6568">
        <w:rPr>
          <w:color w:val="auto"/>
        </w:rPr>
        <w:t>incident</w:t>
      </w:r>
      <w:r w:rsidR="0024552B" w:rsidRPr="005B6568">
        <w:rPr>
          <w:color w:val="auto"/>
        </w:rPr>
        <w:t>s</w:t>
      </w:r>
      <w:r w:rsidR="00CB5855" w:rsidRPr="005B6568">
        <w:rPr>
          <w:color w:val="auto"/>
        </w:rPr>
        <w:t xml:space="preserve"> in South Australia </w:t>
      </w:r>
      <w:r w:rsidR="00D317F6" w:rsidRPr="005B6568">
        <w:rPr>
          <w:color w:val="auto"/>
        </w:rPr>
        <w:t>pr</w:t>
      </w:r>
      <w:r w:rsidR="00D317F6">
        <w:rPr>
          <w:color w:val="auto"/>
        </w:rPr>
        <w:t>ior to</w:t>
      </w:r>
      <w:r w:rsidR="00D317F6" w:rsidRPr="005B6568">
        <w:rPr>
          <w:color w:val="auto"/>
        </w:rPr>
        <w:t xml:space="preserve"> </w:t>
      </w:r>
      <w:r w:rsidR="00CB5855" w:rsidRPr="005B6568">
        <w:rPr>
          <w:color w:val="auto"/>
        </w:rPr>
        <w:t xml:space="preserve">and </w:t>
      </w:r>
      <w:r w:rsidR="00266DB9">
        <w:rPr>
          <w:color w:val="auto"/>
        </w:rPr>
        <w:t>since</w:t>
      </w:r>
      <w:r w:rsidR="00266DB9" w:rsidRPr="005B6568">
        <w:rPr>
          <w:color w:val="auto"/>
        </w:rPr>
        <w:t xml:space="preserve"> </w:t>
      </w:r>
      <w:r w:rsidR="00CB5855" w:rsidRPr="005B6568">
        <w:rPr>
          <w:color w:val="auto"/>
        </w:rPr>
        <w:t>1 July 2018.</w:t>
      </w:r>
    </w:p>
    <w:p w14:paraId="6CE52D70" w14:textId="77777777" w:rsidR="00EF617C" w:rsidRPr="002D33BC" w:rsidRDefault="003D6956" w:rsidP="002D33BC">
      <w:pPr>
        <w:rPr>
          <w:rFonts w:asciiTheme="majorHAnsi" w:eastAsiaTheme="majorEastAsia" w:hAnsiTheme="majorHAnsi" w:cstheme="majorBidi"/>
          <w:b/>
          <w:color w:val="612C69"/>
          <w:sz w:val="40"/>
          <w:szCs w:val="40"/>
        </w:rPr>
      </w:pPr>
      <w:r w:rsidRPr="002D33BC">
        <w:rPr>
          <w:rFonts w:asciiTheme="majorHAnsi" w:eastAsiaTheme="majorEastAsia" w:hAnsiTheme="majorHAnsi" w:cstheme="majorBidi"/>
          <w:b/>
          <w:color w:val="612C69"/>
          <w:sz w:val="40"/>
          <w:szCs w:val="40"/>
        </w:rPr>
        <w:t>Reporting Incidents</w:t>
      </w:r>
      <w:r w:rsidR="00546872" w:rsidRPr="002D33BC">
        <w:rPr>
          <w:rFonts w:asciiTheme="majorHAnsi" w:eastAsiaTheme="majorEastAsia" w:hAnsiTheme="majorHAnsi" w:cstheme="majorBidi"/>
          <w:b/>
          <w:color w:val="612C69"/>
          <w:sz w:val="40"/>
          <w:szCs w:val="40"/>
        </w:rPr>
        <w:t xml:space="preserve"> in South Australia</w:t>
      </w:r>
    </w:p>
    <w:tbl>
      <w:tblPr>
        <w:tblStyle w:val="ListTable3-Accent21"/>
        <w:tblW w:w="5000" w:type="pct"/>
        <w:tblLayout w:type="fixed"/>
        <w:tblLook w:val="04A0" w:firstRow="1" w:lastRow="0" w:firstColumn="1" w:lastColumn="0" w:noHBand="0" w:noVBand="1"/>
        <w:tblCaption w:val="Reporting Incidents in South Australia"/>
        <w:tblDescription w:val="Table outlining State reporting requirements and NDIS Commission reporting requirements."/>
      </w:tblPr>
      <w:tblGrid>
        <w:gridCol w:w="1555"/>
        <w:gridCol w:w="3573"/>
        <w:gridCol w:w="3888"/>
      </w:tblGrid>
      <w:tr w:rsidR="007145A6" w14:paraId="2B7DF091" w14:textId="77777777" w:rsidTr="0098386A">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862" w:type="pct"/>
            <w:tcBorders>
              <w:bottom w:val="single" w:sz="4" w:space="0" w:color="962C8B" w:themeColor="accent2"/>
            </w:tcBorders>
          </w:tcPr>
          <w:p w14:paraId="2F0D227E" w14:textId="77777777" w:rsidR="004175E0" w:rsidRDefault="005E12FF" w:rsidP="009644DF">
            <w:r>
              <w:t>Requirement</w:t>
            </w:r>
          </w:p>
        </w:tc>
        <w:tc>
          <w:tcPr>
            <w:tcW w:w="1981" w:type="pct"/>
            <w:tcBorders>
              <w:bottom w:val="single" w:sz="4" w:space="0" w:color="962C8B" w:themeColor="accent2"/>
            </w:tcBorders>
          </w:tcPr>
          <w:p w14:paraId="25F0F88B" w14:textId="77777777" w:rsidR="004175E0" w:rsidRDefault="00546872">
            <w:pPr>
              <w:cnfStyle w:val="100000000000" w:firstRow="1" w:lastRow="0" w:firstColumn="0" w:lastColumn="0" w:oddVBand="0" w:evenVBand="0" w:oddHBand="0" w:evenHBand="0" w:firstRowFirstColumn="0" w:firstRowLastColumn="0" w:lastRowFirstColumn="0" w:lastRowLastColumn="0"/>
            </w:pPr>
            <w:r w:rsidRPr="002D33BC">
              <w:t xml:space="preserve">State Based Reporting </w:t>
            </w:r>
          </w:p>
        </w:tc>
        <w:tc>
          <w:tcPr>
            <w:tcW w:w="2156" w:type="pct"/>
            <w:tcBorders>
              <w:bottom w:val="single" w:sz="4" w:space="0" w:color="962C8B" w:themeColor="accent2"/>
            </w:tcBorders>
          </w:tcPr>
          <w:p w14:paraId="287BABE3" w14:textId="77777777" w:rsidR="004175E0" w:rsidRDefault="004175E0" w:rsidP="009644DF">
            <w:pPr>
              <w:cnfStyle w:val="100000000000" w:firstRow="1" w:lastRow="0" w:firstColumn="0" w:lastColumn="0" w:oddVBand="0" w:evenVBand="0" w:oddHBand="0" w:evenHBand="0" w:firstRowFirstColumn="0" w:firstRowLastColumn="0" w:lastRowFirstColumn="0" w:lastRowLastColumn="0"/>
            </w:pPr>
            <w:r>
              <w:t>Under the NDIS Commission</w:t>
            </w:r>
          </w:p>
        </w:tc>
      </w:tr>
      <w:tr w:rsidR="007145A6" w14:paraId="190831E1" w14:textId="77777777" w:rsidTr="0061765A">
        <w:trPr>
          <w:cnfStyle w:val="000000100000" w:firstRow="0" w:lastRow="0" w:firstColumn="0" w:lastColumn="0" w:oddVBand="0" w:evenVBand="0" w:oddHBand="1"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862" w:type="pct"/>
            <w:tcBorders>
              <w:bottom w:val="single" w:sz="4" w:space="0" w:color="auto"/>
              <w:right w:val="single" w:sz="4" w:space="0" w:color="962C8B" w:themeColor="accent2"/>
            </w:tcBorders>
          </w:tcPr>
          <w:p w14:paraId="1982C0FF" w14:textId="77777777" w:rsidR="00546872" w:rsidRPr="002D33BC" w:rsidRDefault="00F933A8" w:rsidP="00C24535">
            <w:pPr>
              <w:rPr>
                <w:color w:val="auto"/>
              </w:rPr>
            </w:pPr>
            <w:r>
              <w:rPr>
                <w:color w:val="auto"/>
              </w:rPr>
              <w:t>Supports or services</w:t>
            </w:r>
            <w:r w:rsidR="00F13578">
              <w:rPr>
                <w:color w:val="auto"/>
              </w:rPr>
              <w:t xml:space="preserve"> concerned</w:t>
            </w:r>
          </w:p>
          <w:p w14:paraId="4832B3B4" w14:textId="77777777" w:rsidR="004175E0" w:rsidRPr="002D33BC" w:rsidRDefault="004175E0" w:rsidP="00C24535">
            <w:pPr>
              <w:rPr>
                <w:color w:val="auto"/>
              </w:rPr>
            </w:pPr>
          </w:p>
        </w:tc>
        <w:tc>
          <w:tcPr>
            <w:tcW w:w="1981" w:type="pct"/>
            <w:tcBorders>
              <w:left w:val="single" w:sz="4" w:space="0" w:color="962C8B" w:themeColor="accent2"/>
              <w:bottom w:val="single" w:sz="4" w:space="0" w:color="auto"/>
              <w:right w:val="single" w:sz="4" w:space="0" w:color="962C8B" w:themeColor="accent2"/>
            </w:tcBorders>
          </w:tcPr>
          <w:p w14:paraId="5C24DBA7" w14:textId="77777777" w:rsidR="00A15DC5" w:rsidRDefault="00A15DC5" w:rsidP="00A15DC5">
            <w:pPr>
              <w:pStyle w:val="Bullet1"/>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Clients in receipt of </w:t>
            </w:r>
            <w:r w:rsidR="00C77057">
              <w:rPr>
                <w:color w:val="auto"/>
              </w:rPr>
              <w:t>s</w:t>
            </w:r>
            <w:r w:rsidR="00C77057" w:rsidRPr="002348A7">
              <w:rPr>
                <w:color w:val="auto"/>
              </w:rPr>
              <w:t xml:space="preserve">tate </w:t>
            </w:r>
            <w:r w:rsidR="00C77057">
              <w:rPr>
                <w:color w:val="auto"/>
              </w:rPr>
              <w:t>f</w:t>
            </w:r>
            <w:r w:rsidR="00C77057" w:rsidRPr="002348A7">
              <w:rPr>
                <w:color w:val="auto"/>
              </w:rPr>
              <w:t xml:space="preserve">unded </w:t>
            </w:r>
            <w:r w:rsidR="00F22170">
              <w:rPr>
                <w:color w:val="auto"/>
              </w:rPr>
              <w:t>s</w:t>
            </w:r>
            <w:r w:rsidR="00F22170" w:rsidRPr="002348A7">
              <w:rPr>
                <w:color w:val="auto"/>
              </w:rPr>
              <w:t>ervices</w:t>
            </w:r>
            <w:r w:rsidR="00F22170">
              <w:rPr>
                <w:color w:val="auto"/>
              </w:rPr>
              <w:t xml:space="preserve"> </w:t>
            </w:r>
            <w:r w:rsidR="007B65D9">
              <w:rPr>
                <w:color w:val="auto"/>
              </w:rPr>
              <w:t xml:space="preserve">or </w:t>
            </w:r>
            <w:r w:rsidR="00F22170">
              <w:rPr>
                <w:color w:val="auto"/>
              </w:rPr>
              <w:t>supports</w:t>
            </w:r>
          </w:p>
          <w:p w14:paraId="0D0B78A7" w14:textId="77777777" w:rsidR="00E36FFD" w:rsidRPr="00A15DC5" w:rsidRDefault="00A15DC5" w:rsidP="00F22170">
            <w:pPr>
              <w:pStyle w:val="Bullet1"/>
              <w:cnfStyle w:val="000000100000" w:firstRow="0" w:lastRow="0" w:firstColumn="0" w:lastColumn="0" w:oddVBand="0" w:evenVBand="0" w:oddHBand="1" w:evenHBand="0" w:firstRowFirstColumn="0" w:firstRowLastColumn="0" w:lastRowFirstColumn="0" w:lastRowLastColumn="0"/>
              <w:rPr>
                <w:color w:val="auto"/>
              </w:rPr>
            </w:pPr>
            <w:r>
              <w:rPr>
                <w:color w:val="auto"/>
              </w:rPr>
              <w:lastRenderedPageBreak/>
              <w:t>Clients who are</w:t>
            </w:r>
            <w:r w:rsidR="00546872" w:rsidRPr="00A15DC5">
              <w:rPr>
                <w:color w:val="auto"/>
              </w:rPr>
              <w:t xml:space="preserve"> yet to</w:t>
            </w:r>
            <w:r>
              <w:rPr>
                <w:color w:val="auto"/>
              </w:rPr>
              <w:t xml:space="preserve"> transition to</w:t>
            </w:r>
            <w:r w:rsidR="00546872" w:rsidRPr="00A15DC5">
              <w:rPr>
                <w:color w:val="auto"/>
              </w:rPr>
              <w:t xml:space="preserve"> receive NDIS </w:t>
            </w:r>
            <w:r w:rsidR="00F22170">
              <w:rPr>
                <w:color w:val="auto"/>
              </w:rPr>
              <w:t>s</w:t>
            </w:r>
            <w:r w:rsidR="00F22170" w:rsidRPr="00A15DC5">
              <w:rPr>
                <w:color w:val="auto"/>
              </w:rPr>
              <w:t>ervices</w:t>
            </w:r>
            <w:r w:rsidR="00F22170">
              <w:rPr>
                <w:color w:val="auto"/>
              </w:rPr>
              <w:t xml:space="preserve"> </w:t>
            </w:r>
            <w:r>
              <w:rPr>
                <w:color w:val="auto"/>
              </w:rPr>
              <w:t xml:space="preserve">or </w:t>
            </w:r>
            <w:r w:rsidR="00F22170">
              <w:rPr>
                <w:color w:val="auto"/>
              </w:rPr>
              <w:t>supports</w:t>
            </w:r>
          </w:p>
        </w:tc>
        <w:tc>
          <w:tcPr>
            <w:tcW w:w="2156" w:type="pct"/>
            <w:tcBorders>
              <w:left w:val="single" w:sz="4" w:space="0" w:color="962C8B" w:themeColor="accent2"/>
              <w:bottom w:val="single" w:sz="4" w:space="0" w:color="auto"/>
            </w:tcBorders>
          </w:tcPr>
          <w:p w14:paraId="0C205020" w14:textId="77777777" w:rsidR="00AA0CCA" w:rsidRDefault="003209EE" w:rsidP="005A4CEE">
            <w:pPr>
              <w:pStyle w:val="Bullet1"/>
              <w:cnfStyle w:val="000000100000" w:firstRow="0" w:lastRow="0" w:firstColumn="0" w:lastColumn="0" w:oddVBand="0" w:evenVBand="0" w:oddHBand="1" w:evenHBand="0" w:firstRowFirstColumn="0" w:firstRowLastColumn="0" w:lastRowFirstColumn="0" w:lastRowLastColumn="0"/>
              <w:rPr>
                <w:color w:val="auto"/>
              </w:rPr>
            </w:pPr>
            <w:r w:rsidRPr="002348A7">
              <w:rPr>
                <w:color w:val="auto"/>
              </w:rPr>
              <w:lastRenderedPageBreak/>
              <w:t xml:space="preserve">NDIS Funded </w:t>
            </w:r>
            <w:r w:rsidR="00F22170">
              <w:rPr>
                <w:color w:val="auto"/>
              </w:rPr>
              <w:t>s</w:t>
            </w:r>
            <w:r w:rsidR="00F22170" w:rsidRPr="002348A7">
              <w:rPr>
                <w:color w:val="auto"/>
              </w:rPr>
              <w:t>ervices</w:t>
            </w:r>
            <w:r w:rsidR="00F22170">
              <w:rPr>
                <w:color w:val="auto"/>
              </w:rPr>
              <w:t xml:space="preserve"> </w:t>
            </w:r>
            <w:r w:rsidR="007B65D9">
              <w:rPr>
                <w:color w:val="auto"/>
              </w:rPr>
              <w:t xml:space="preserve">or </w:t>
            </w:r>
            <w:r w:rsidR="00F22170">
              <w:rPr>
                <w:color w:val="auto"/>
              </w:rPr>
              <w:t>supports</w:t>
            </w:r>
          </w:p>
          <w:p w14:paraId="4EAE8A9B" w14:textId="77777777" w:rsidR="00CA4FC6" w:rsidRPr="002348A7" w:rsidRDefault="00CA4FC6" w:rsidP="005A4CEE">
            <w:pPr>
              <w:pStyle w:val="Bullet1"/>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Commonwealth Department of Health </w:t>
            </w:r>
            <w:r w:rsidR="00F13578">
              <w:rPr>
                <w:color w:val="auto"/>
              </w:rPr>
              <w:t xml:space="preserve">Funded </w:t>
            </w:r>
            <w:r>
              <w:rPr>
                <w:color w:val="auto"/>
              </w:rPr>
              <w:t>Continuity of Support</w:t>
            </w:r>
          </w:p>
        </w:tc>
      </w:tr>
      <w:tr w:rsidR="00CA4FC6" w14:paraId="4BC1D9B0" w14:textId="77777777" w:rsidTr="0061765A">
        <w:trPr>
          <w:trHeight w:val="1110"/>
        </w:trPr>
        <w:tc>
          <w:tcPr>
            <w:cnfStyle w:val="001000000000" w:firstRow="0" w:lastRow="0" w:firstColumn="1" w:lastColumn="0" w:oddVBand="0" w:evenVBand="0" w:oddHBand="0" w:evenHBand="0" w:firstRowFirstColumn="0" w:firstRowLastColumn="0" w:lastRowFirstColumn="0" w:lastRowLastColumn="0"/>
            <w:tcW w:w="862" w:type="pct"/>
            <w:tcBorders>
              <w:bottom w:val="single" w:sz="4" w:space="0" w:color="auto"/>
              <w:right w:val="single" w:sz="4" w:space="0" w:color="962C8B" w:themeColor="accent2"/>
            </w:tcBorders>
          </w:tcPr>
          <w:p w14:paraId="6A6E48D9" w14:textId="77777777" w:rsidR="00CA4FC6" w:rsidRPr="002D33BC" w:rsidRDefault="00CA4FC6" w:rsidP="00C24535">
            <w:pPr>
              <w:rPr>
                <w:color w:val="auto"/>
              </w:rPr>
            </w:pPr>
            <w:r>
              <w:rPr>
                <w:color w:val="auto"/>
              </w:rPr>
              <w:t>Incident Management System</w:t>
            </w:r>
          </w:p>
        </w:tc>
        <w:tc>
          <w:tcPr>
            <w:tcW w:w="1981" w:type="pct"/>
            <w:tcBorders>
              <w:left w:val="single" w:sz="4" w:space="0" w:color="962C8B" w:themeColor="accent2"/>
              <w:bottom w:val="single" w:sz="4" w:space="0" w:color="auto"/>
              <w:right w:val="single" w:sz="4" w:space="0" w:color="962C8B" w:themeColor="accent2"/>
            </w:tcBorders>
          </w:tcPr>
          <w:p w14:paraId="23ED8AF2" w14:textId="77777777" w:rsidR="00CA4FC6" w:rsidRPr="002348A7" w:rsidRDefault="00A5649B" w:rsidP="00BF1217">
            <w:pPr>
              <w:pStyle w:val="Bullet1"/>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Providers </w:t>
            </w:r>
            <w:r w:rsidR="00BF1217">
              <w:rPr>
                <w:color w:val="auto"/>
              </w:rPr>
              <w:t>must</w:t>
            </w:r>
            <w:r w:rsidR="00CC1C73">
              <w:rPr>
                <w:color w:val="auto"/>
              </w:rPr>
              <w:t xml:space="preserve"> accurately record, update and maintain </w:t>
            </w:r>
            <w:r w:rsidR="007B65D9">
              <w:rPr>
                <w:color w:val="auto"/>
              </w:rPr>
              <w:t xml:space="preserve">incident </w:t>
            </w:r>
            <w:r w:rsidR="00CC1C73">
              <w:rPr>
                <w:color w:val="auto"/>
              </w:rPr>
              <w:t>register</w:t>
            </w:r>
          </w:p>
        </w:tc>
        <w:tc>
          <w:tcPr>
            <w:tcW w:w="2156" w:type="pct"/>
            <w:tcBorders>
              <w:left w:val="single" w:sz="4" w:space="0" w:color="962C8B" w:themeColor="accent2"/>
              <w:bottom w:val="single" w:sz="4" w:space="0" w:color="auto"/>
            </w:tcBorders>
          </w:tcPr>
          <w:p w14:paraId="6AF81EC8" w14:textId="77777777" w:rsidR="00CA4FC6" w:rsidRPr="002348A7" w:rsidRDefault="00CA4FC6" w:rsidP="005A4CEE">
            <w:pPr>
              <w:pStyle w:val="Bullet1"/>
              <w:cnfStyle w:val="000000000000" w:firstRow="0" w:lastRow="0" w:firstColumn="0" w:lastColumn="0" w:oddVBand="0" w:evenVBand="0" w:oddHBand="0" w:evenHBand="0" w:firstRowFirstColumn="0" w:firstRowLastColumn="0" w:lastRowFirstColumn="0" w:lastRowLastColumn="0"/>
              <w:rPr>
                <w:color w:val="auto"/>
              </w:rPr>
            </w:pPr>
            <w:r>
              <w:rPr>
                <w:color w:val="auto"/>
              </w:rPr>
              <w:t>Registered providers must maintain an incident management system</w:t>
            </w:r>
          </w:p>
        </w:tc>
      </w:tr>
      <w:tr w:rsidR="00546872" w14:paraId="4A92F694" w14:textId="77777777" w:rsidTr="0061765A">
        <w:trPr>
          <w:cnfStyle w:val="000000100000" w:firstRow="0" w:lastRow="0" w:firstColumn="0" w:lastColumn="0" w:oddVBand="0" w:evenVBand="0" w:oddHBand="1" w:evenHBand="0" w:firstRowFirstColumn="0" w:firstRowLastColumn="0" w:lastRowFirstColumn="0" w:lastRowLastColumn="0"/>
          <w:trHeight w:val="8610"/>
        </w:trPr>
        <w:tc>
          <w:tcPr>
            <w:cnfStyle w:val="001000000000" w:firstRow="0" w:lastRow="0" w:firstColumn="1" w:lastColumn="0" w:oddVBand="0" w:evenVBand="0" w:oddHBand="0" w:evenHBand="0" w:firstRowFirstColumn="0" w:firstRowLastColumn="0" w:lastRowFirstColumn="0" w:lastRowLastColumn="0"/>
            <w:tcW w:w="862" w:type="pct"/>
            <w:tcBorders>
              <w:top w:val="single" w:sz="4" w:space="0" w:color="auto"/>
              <w:right w:val="single" w:sz="4" w:space="0" w:color="962C8B" w:themeColor="accent2"/>
            </w:tcBorders>
          </w:tcPr>
          <w:p w14:paraId="66C918AA" w14:textId="77777777" w:rsidR="00546872" w:rsidRPr="002D33BC" w:rsidRDefault="00546872" w:rsidP="00BF1217">
            <w:pPr>
              <w:rPr>
                <w:color w:val="auto"/>
              </w:rPr>
            </w:pPr>
            <w:r w:rsidRPr="002D33BC">
              <w:rPr>
                <w:color w:val="auto"/>
              </w:rPr>
              <w:t xml:space="preserve">What </w:t>
            </w:r>
            <w:r w:rsidR="00BF1217">
              <w:rPr>
                <w:color w:val="auto"/>
              </w:rPr>
              <w:t>must be reported</w:t>
            </w:r>
          </w:p>
        </w:tc>
        <w:tc>
          <w:tcPr>
            <w:tcW w:w="1981" w:type="pct"/>
            <w:tcBorders>
              <w:top w:val="single" w:sz="4" w:space="0" w:color="auto"/>
              <w:left w:val="single" w:sz="4" w:space="0" w:color="962C8B" w:themeColor="accent2"/>
              <w:right w:val="single" w:sz="4" w:space="0" w:color="962C8B" w:themeColor="accent2"/>
            </w:tcBorders>
          </w:tcPr>
          <w:p w14:paraId="4BC428E5" w14:textId="77777777" w:rsidR="00546872" w:rsidRPr="002D33BC" w:rsidRDefault="00546872" w:rsidP="00546872">
            <w:pPr>
              <w:cnfStyle w:val="000000100000" w:firstRow="0" w:lastRow="0" w:firstColumn="0" w:lastColumn="0" w:oddVBand="0" w:evenVBand="0" w:oddHBand="1" w:evenHBand="0" w:firstRowFirstColumn="0" w:firstRowLastColumn="0" w:lastRowFirstColumn="0" w:lastRowLastColumn="0"/>
              <w:rPr>
                <w:color w:val="auto"/>
              </w:rPr>
            </w:pPr>
            <w:r w:rsidRPr="002D33BC">
              <w:rPr>
                <w:color w:val="auto"/>
              </w:rPr>
              <w:t xml:space="preserve">A </w:t>
            </w:r>
            <w:r w:rsidR="00215D3F">
              <w:rPr>
                <w:color w:val="auto"/>
              </w:rPr>
              <w:t>‘</w:t>
            </w:r>
            <w:r w:rsidRPr="002D33BC">
              <w:rPr>
                <w:color w:val="auto"/>
              </w:rPr>
              <w:t>critical client incident</w:t>
            </w:r>
            <w:r w:rsidR="00215D3F">
              <w:rPr>
                <w:color w:val="auto"/>
              </w:rPr>
              <w:t>’</w:t>
            </w:r>
            <w:r w:rsidR="00BF1217">
              <w:rPr>
                <w:color w:val="auto"/>
              </w:rPr>
              <w:t xml:space="preserve">, </w:t>
            </w:r>
            <w:r w:rsidR="00215D3F">
              <w:rPr>
                <w:color w:val="auto"/>
              </w:rPr>
              <w:t>which is</w:t>
            </w:r>
            <w:r w:rsidR="00BF1217">
              <w:rPr>
                <w:color w:val="auto"/>
              </w:rPr>
              <w:t xml:space="preserve"> an event (or alleged event) that</w:t>
            </w:r>
            <w:r w:rsidR="002348A7">
              <w:rPr>
                <w:color w:val="auto"/>
              </w:rPr>
              <w:t>:</w:t>
            </w:r>
            <w:r w:rsidRPr="002D33BC">
              <w:rPr>
                <w:color w:val="auto"/>
              </w:rPr>
              <w:t xml:space="preserve"> </w:t>
            </w:r>
          </w:p>
          <w:p w14:paraId="3F61ABB0" w14:textId="77777777" w:rsidR="00546872" w:rsidRPr="002D33BC" w:rsidRDefault="00546872" w:rsidP="00A42747">
            <w:pPr>
              <w:pStyle w:val="Bullet1"/>
              <w:cnfStyle w:val="000000100000" w:firstRow="0" w:lastRow="0" w:firstColumn="0" w:lastColumn="0" w:oddVBand="0" w:evenVBand="0" w:oddHBand="1" w:evenHBand="0" w:firstRowFirstColumn="0" w:firstRowLastColumn="0" w:lastRowFirstColumn="0" w:lastRowLastColumn="0"/>
              <w:rPr>
                <w:color w:val="auto"/>
              </w:rPr>
            </w:pPr>
            <w:r w:rsidRPr="002D33BC">
              <w:rPr>
                <w:color w:val="auto"/>
              </w:rPr>
              <w:t>occurs as a result of, or during the delivery of services directly provided by a registered Disability Services Provider Panel (DSPP) provider, which is likely to cause significant negative impact to the health, safety or wellbeing of the serv</w:t>
            </w:r>
            <w:r w:rsidR="00A42747">
              <w:rPr>
                <w:color w:val="auto"/>
              </w:rPr>
              <w:t>ice recipient (customer/client); and</w:t>
            </w:r>
          </w:p>
          <w:p w14:paraId="21045841" w14:textId="77777777" w:rsidR="00546872" w:rsidRPr="002D33BC" w:rsidRDefault="00A42747" w:rsidP="00A42747">
            <w:pPr>
              <w:pStyle w:val="Bullet1"/>
              <w:cnfStyle w:val="000000100000" w:firstRow="0" w:lastRow="0" w:firstColumn="0" w:lastColumn="0" w:oddVBand="0" w:evenVBand="0" w:oddHBand="1" w:evenHBand="0" w:firstRowFirstColumn="0" w:firstRowLastColumn="0" w:lastRowFirstColumn="0" w:lastRowLastColumn="0"/>
              <w:rPr>
                <w:color w:val="auto"/>
              </w:rPr>
            </w:pPr>
            <w:r>
              <w:rPr>
                <w:color w:val="auto"/>
              </w:rPr>
              <w:t>m</w:t>
            </w:r>
            <w:r w:rsidR="00546872" w:rsidRPr="002D33BC">
              <w:rPr>
                <w:color w:val="auto"/>
              </w:rPr>
              <w:t>ay require a crisis response, incident management coordination and a consideration of a range of risks and sensitivities.</w:t>
            </w:r>
          </w:p>
          <w:p w14:paraId="3EBA7CDF" w14:textId="77777777" w:rsidR="00546872" w:rsidRPr="002D33BC" w:rsidRDefault="00215D3F" w:rsidP="00546872">
            <w:pPr>
              <w:cnfStyle w:val="000000100000" w:firstRow="0" w:lastRow="0" w:firstColumn="0" w:lastColumn="0" w:oddVBand="0" w:evenVBand="0" w:oddHBand="1" w:evenHBand="0" w:firstRowFirstColumn="0" w:firstRowLastColumn="0" w:lastRowFirstColumn="0" w:lastRowLastColumn="0"/>
              <w:rPr>
                <w:color w:val="auto"/>
              </w:rPr>
            </w:pPr>
            <w:r>
              <w:rPr>
                <w:color w:val="auto"/>
              </w:rPr>
              <w:t>A ‘s</w:t>
            </w:r>
            <w:r w:rsidR="00546872" w:rsidRPr="002D33BC">
              <w:rPr>
                <w:color w:val="auto"/>
              </w:rPr>
              <w:t>erious care concern</w:t>
            </w:r>
            <w:r>
              <w:rPr>
                <w:color w:val="auto"/>
              </w:rPr>
              <w:t>’</w:t>
            </w:r>
            <w:r w:rsidR="00BF1217">
              <w:rPr>
                <w:color w:val="auto"/>
              </w:rPr>
              <w:t xml:space="preserve">, </w:t>
            </w:r>
            <w:r>
              <w:rPr>
                <w:color w:val="auto"/>
              </w:rPr>
              <w:t>which is</w:t>
            </w:r>
            <w:r w:rsidR="002348A7">
              <w:rPr>
                <w:color w:val="auto"/>
              </w:rPr>
              <w:t>:</w:t>
            </w:r>
          </w:p>
          <w:p w14:paraId="135546E3" w14:textId="77777777" w:rsidR="00546872" w:rsidRPr="002D33BC" w:rsidRDefault="00A42747" w:rsidP="00A42747">
            <w:pPr>
              <w:pStyle w:val="Bullet1"/>
              <w:cnfStyle w:val="000000100000" w:firstRow="0" w:lastRow="0" w:firstColumn="0" w:lastColumn="0" w:oddVBand="0" w:evenVBand="0" w:oddHBand="1" w:evenHBand="0" w:firstRowFirstColumn="0" w:firstRowLastColumn="0" w:lastRowFirstColumn="0" w:lastRowLastColumn="0"/>
              <w:rPr>
                <w:b/>
                <w:color w:val="auto"/>
              </w:rPr>
            </w:pPr>
            <w:r>
              <w:rPr>
                <w:color w:val="auto"/>
              </w:rPr>
              <w:t>a</w:t>
            </w:r>
            <w:r w:rsidR="00546872" w:rsidRPr="002D33BC">
              <w:rPr>
                <w:color w:val="auto"/>
              </w:rPr>
              <w:t xml:space="preserve"> breach in care standards where the alleged actions of a DSPP provider staff member, volunteer or person on placement, or general organisational practices, have placed a customer/client at significant risk or immediate danger of serious harm or have already caused a person with disability serious harm.</w:t>
            </w:r>
          </w:p>
        </w:tc>
        <w:tc>
          <w:tcPr>
            <w:tcW w:w="2156" w:type="pct"/>
            <w:tcBorders>
              <w:top w:val="single" w:sz="4" w:space="0" w:color="auto"/>
              <w:left w:val="single" w:sz="4" w:space="0" w:color="962C8B" w:themeColor="accent2"/>
            </w:tcBorders>
          </w:tcPr>
          <w:p w14:paraId="5F161983" w14:textId="750BD8A5" w:rsidR="00546872" w:rsidRDefault="00546872" w:rsidP="004840C8">
            <w:pPr>
              <w:pStyle w:val="Bullet1"/>
              <w:numPr>
                <w:ilvl w:val="0"/>
                <w:numId w:val="0"/>
              </w:numPr>
              <w:cnfStyle w:val="000000100000" w:firstRow="0" w:lastRow="0" w:firstColumn="0" w:lastColumn="0" w:oddVBand="0" w:evenVBand="0" w:oddHBand="1" w:evenHBand="0" w:firstRowFirstColumn="0" w:firstRowLastColumn="0" w:lastRowFirstColumn="0" w:lastRowLastColumn="0"/>
              <w:rPr>
                <w:color w:val="auto"/>
              </w:rPr>
            </w:pPr>
            <w:r w:rsidRPr="002D33BC">
              <w:rPr>
                <w:color w:val="auto"/>
              </w:rPr>
              <w:t xml:space="preserve">A </w:t>
            </w:r>
            <w:r w:rsidR="00215D3F">
              <w:rPr>
                <w:color w:val="auto"/>
              </w:rPr>
              <w:t>‘</w:t>
            </w:r>
            <w:r w:rsidRPr="002D33BC">
              <w:rPr>
                <w:color w:val="auto"/>
              </w:rPr>
              <w:t>reportable incident</w:t>
            </w:r>
            <w:r w:rsidR="00215D3F">
              <w:rPr>
                <w:color w:val="auto"/>
              </w:rPr>
              <w:t>’</w:t>
            </w:r>
            <w:r w:rsidR="00777D3D">
              <w:rPr>
                <w:color w:val="auto"/>
              </w:rPr>
              <w:t>,</w:t>
            </w:r>
            <w:r w:rsidR="005971A3">
              <w:rPr>
                <w:color w:val="auto"/>
              </w:rPr>
              <w:t xml:space="preserve"> </w:t>
            </w:r>
            <w:r w:rsidR="00F22170">
              <w:rPr>
                <w:color w:val="auto"/>
              </w:rPr>
              <w:t xml:space="preserve">which </w:t>
            </w:r>
            <w:r w:rsidR="005971A3">
              <w:rPr>
                <w:color w:val="auto"/>
              </w:rPr>
              <w:t xml:space="preserve">is </w:t>
            </w:r>
            <w:r w:rsidR="00F22170">
              <w:rPr>
                <w:color w:val="auto"/>
              </w:rPr>
              <w:t>an</w:t>
            </w:r>
            <w:r w:rsidR="005971A3">
              <w:rPr>
                <w:color w:val="auto"/>
              </w:rPr>
              <w:t xml:space="preserve"> incident </w:t>
            </w:r>
            <w:r w:rsidR="00D27C50">
              <w:rPr>
                <w:color w:val="auto"/>
              </w:rPr>
              <w:t>that</w:t>
            </w:r>
            <w:r w:rsidR="005971A3">
              <w:rPr>
                <w:color w:val="auto"/>
              </w:rPr>
              <w:t xml:space="preserve"> </w:t>
            </w:r>
            <w:r w:rsidRPr="002D33BC">
              <w:rPr>
                <w:color w:val="auto"/>
              </w:rPr>
              <w:t>occurred</w:t>
            </w:r>
            <w:r w:rsidR="009102D2">
              <w:rPr>
                <w:color w:val="auto"/>
              </w:rPr>
              <w:t>,</w:t>
            </w:r>
            <w:r w:rsidRPr="002D33BC">
              <w:rPr>
                <w:color w:val="auto"/>
              </w:rPr>
              <w:t xml:space="preserve"> or </w:t>
            </w:r>
            <w:r w:rsidR="002469A7">
              <w:rPr>
                <w:color w:val="auto"/>
              </w:rPr>
              <w:t xml:space="preserve">is </w:t>
            </w:r>
            <w:r w:rsidRPr="002D33BC">
              <w:rPr>
                <w:color w:val="auto"/>
              </w:rPr>
              <w:t>alleged to have occurred</w:t>
            </w:r>
            <w:r w:rsidR="009102D2">
              <w:rPr>
                <w:color w:val="auto"/>
              </w:rPr>
              <w:t>,</w:t>
            </w:r>
            <w:r w:rsidRPr="002D33BC">
              <w:rPr>
                <w:color w:val="auto"/>
              </w:rPr>
              <w:t xml:space="preserve"> in connection with the provision of supports or services by a registered NDIS provider</w:t>
            </w:r>
            <w:r w:rsidR="009102D2">
              <w:rPr>
                <w:color w:val="auto"/>
              </w:rPr>
              <w:t xml:space="preserve"> and is of a type specified by</w:t>
            </w:r>
            <w:r w:rsidR="009102D2" w:rsidRPr="002D33BC">
              <w:rPr>
                <w:color w:val="auto"/>
              </w:rPr>
              <w:t xml:space="preserve"> </w:t>
            </w:r>
            <w:r w:rsidR="009102D2">
              <w:rPr>
                <w:color w:val="auto"/>
              </w:rPr>
              <w:t xml:space="preserve">section 73Z of </w:t>
            </w:r>
            <w:r w:rsidR="009102D2" w:rsidRPr="002D33BC">
              <w:rPr>
                <w:color w:val="auto"/>
              </w:rPr>
              <w:t xml:space="preserve">the </w:t>
            </w:r>
            <w:r w:rsidR="009102D2">
              <w:rPr>
                <w:iCs/>
                <w:color w:val="auto"/>
              </w:rPr>
              <w:t>NDIS Act</w:t>
            </w:r>
            <w:r w:rsidR="009102D2" w:rsidRPr="002D33BC">
              <w:rPr>
                <w:color w:val="auto"/>
              </w:rPr>
              <w:t xml:space="preserve"> </w:t>
            </w:r>
            <w:r w:rsidR="009102D2">
              <w:rPr>
                <w:color w:val="auto"/>
              </w:rPr>
              <w:t>or</w:t>
            </w:r>
            <w:r w:rsidR="009102D2" w:rsidRPr="002D33BC">
              <w:rPr>
                <w:color w:val="auto"/>
              </w:rPr>
              <w:t xml:space="preserve"> </w:t>
            </w:r>
            <w:r w:rsidR="009102D2">
              <w:rPr>
                <w:color w:val="auto"/>
              </w:rPr>
              <w:t xml:space="preserve">section 16 of </w:t>
            </w:r>
            <w:r w:rsidR="009102D2" w:rsidRPr="002D33BC">
              <w:rPr>
                <w:color w:val="auto"/>
              </w:rPr>
              <w:t>the NDIS (Incident Management and Reportable Incidents) Rules 2018</w:t>
            </w:r>
            <w:r w:rsidRPr="002D33BC">
              <w:rPr>
                <w:color w:val="auto"/>
              </w:rPr>
              <w:t>.</w:t>
            </w:r>
            <w:r w:rsidR="00037E90">
              <w:rPr>
                <w:color w:val="auto"/>
              </w:rPr>
              <w:t xml:space="preserve">  </w:t>
            </w:r>
          </w:p>
          <w:p w14:paraId="498D3E11" w14:textId="0BE1503A" w:rsidR="00037E90" w:rsidRPr="002D33BC" w:rsidRDefault="005B38CE" w:rsidP="009102D2">
            <w:pPr>
              <w:pStyle w:val="Bullet1"/>
              <w:numPr>
                <w:ilvl w:val="0"/>
                <w:numId w:val="0"/>
              </w:numPr>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Note </w:t>
            </w:r>
            <w:r w:rsidR="009102D2">
              <w:rPr>
                <w:color w:val="auto"/>
              </w:rPr>
              <w:t xml:space="preserve">the types </w:t>
            </w:r>
            <w:r>
              <w:rPr>
                <w:color w:val="auto"/>
              </w:rPr>
              <w:t>of</w:t>
            </w:r>
            <w:r w:rsidR="00037E90">
              <w:rPr>
                <w:color w:val="auto"/>
              </w:rPr>
              <w:t xml:space="preserve"> </w:t>
            </w:r>
            <w:r>
              <w:rPr>
                <w:color w:val="auto"/>
              </w:rPr>
              <w:t>incident</w:t>
            </w:r>
            <w:r w:rsidR="009102D2">
              <w:rPr>
                <w:color w:val="auto"/>
              </w:rPr>
              <w:t>s are</w:t>
            </w:r>
            <w:r>
              <w:rPr>
                <w:color w:val="auto"/>
              </w:rPr>
              <w:t xml:space="preserve"> listed below.</w:t>
            </w:r>
          </w:p>
        </w:tc>
      </w:tr>
      <w:tr w:rsidR="007145A6" w14:paraId="43DC33FC" w14:textId="77777777" w:rsidTr="0061765A">
        <w:trPr>
          <w:trHeight w:val="1701"/>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962C8B" w:themeColor="accent2"/>
            </w:tcBorders>
          </w:tcPr>
          <w:p w14:paraId="030A74E5" w14:textId="77777777" w:rsidR="004175E0" w:rsidRPr="002D33BC" w:rsidRDefault="007145A6" w:rsidP="007145A6">
            <w:pPr>
              <w:rPr>
                <w:color w:val="auto"/>
              </w:rPr>
            </w:pPr>
            <w:r w:rsidRPr="002D33BC">
              <w:rPr>
                <w:color w:val="auto"/>
              </w:rPr>
              <w:t xml:space="preserve">What </w:t>
            </w:r>
            <w:r w:rsidR="00201DFE">
              <w:rPr>
                <w:color w:val="auto"/>
              </w:rPr>
              <w:t>t</w:t>
            </w:r>
            <w:r w:rsidR="002469A7">
              <w:rPr>
                <w:color w:val="auto"/>
              </w:rPr>
              <w:t>ype</w:t>
            </w:r>
            <w:r w:rsidR="00F13578">
              <w:rPr>
                <w:color w:val="auto"/>
              </w:rPr>
              <w:t>s</w:t>
            </w:r>
            <w:r w:rsidR="002469A7">
              <w:rPr>
                <w:color w:val="auto"/>
              </w:rPr>
              <w:t xml:space="preserve"> of </w:t>
            </w:r>
            <w:r w:rsidRPr="002D33BC">
              <w:rPr>
                <w:color w:val="auto"/>
              </w:rPr>
              <w:t xml:space="preserve">Incidents to Report </w:t>
            </w:r>
          </w:p>
        </w:tc>
        <w:tc>
          <w:tcPr>
            <w:tcW w:w="1981" w:type="pct"/>
            <w:tcBorders>
              <w:left w:val="single" w:sz="4" w:space="0" w:color="962C8B" w:themeColor="accent2"/>
              <w:right w:val="single" w:sz="4" w:space="0" w:color="962C8B" w:themeColor="accent2"/>
            </w:tcBorders>
            <w:shd w:val="clear" w:color="auto" w:fill="auto"/>
          </w:tcPr>
          <w:p w14:paraId="43332299" w14:textId="77777777" w:rsidR="00A27E34" w:rsidRPr="002D33BC" w:rsidRDefault="00A27E34" w:rsidP="00A27E34">
            <w:pPr>
              <w:tabs>
                <w:tab w:val="num" w:pos="2268"/>
              </w:tabs>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 xml:space="preserve">A </w:t>
            </w:r>
            <w:r w:rsidR="00215D3F">
              <w:rPr>
                <w:color w:val="auto"/>
              </w:rPr>
              <w:t>‘</w:t>
            </w:r>
            <w:r w:rsidRPr="002D33BC">
              <w:rPr>
                <w:color w:val="auto"/>
              </w:rPr>
              <w:t>critical client incident</w:t>
            </w:r>
            <w:r w:rsidR="00215D3F">
              <w:rPr>
                <w:color w:val="auto"/>
              </w:rPr>
              <w:t>’</w:t>
            </w:r>
            <w:r w:rsidRPr="002D33BC">
              <w:rPr>
                <w:color w:val="auto"/>
              </w:rPr>
              <w:t xml:space="preserve"> may include</w:t>
            </w:r>
            <w:r w:rsidR="002348A7">
              <w:rPr>
                <w:color w:val="auto"/>
              </w:rPr>
              <w:t>:</w:t>
            </w:r>
          </w:p>
          <w:p w14:paraId="1BC32446" w14:textId="77777777" w:rsidR="00F13578" w:rsidRDefault="00A27E34" w:rsidP="002348A7">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the unexpected death</w:t>
            </w:r>
            <w:r w:rsidR="00F13578">
              <w:rPr>
                <w:color w:val="auto"/>
              </w:rPr>
              <w:t xml:space="preserve"> of a customer/client</w:t>
            </w:r>
            <w:r w:rsidR="00631185">
              <w:rPr>
                <w:color w:val="auto"/>
              </w:rPr>
              <w:t>;</w:t>
            </w:r>
          </w:p>
          <w:p w14:paraId="28534FFF" w14:textId="77777777" w:rsidR="003209EE" w:rsidRPr="002D33BC" w:rsidRDefault="00F13578" w:rsidP="002348A7">
            <w:pPr>
              <w:pStyle w:val="Bullet1"/>
              <w:cnfStyle w:val="000000000000" w:firstRow="0" w:lastRow="0" w:firstColumn="0" w:lastColumn="0" w:oddVBand="0" w:evenVBand="0" w:oddHBand="0" w:evenHBand="0" w:firstRowFirstColumn="0" w:firstRowLastColumn="0" w:lastRowFirstColumn="0" w:lastRowLastColumn="0"/>
              <w:rPr>
                <w:color w:val="auto"/>
              </w:rPr>
            </w:pPr>
            <w:r>
              <w:rPr>
                <w:color w:val="auto"/>
              </w:rPr>
              <w:lastRenderedPageBreak/>
              <w:t>the</w:t>
            </w:r>
            <w:r w:rsidR="00A27E34" w:rsidRPr="002D33BC">
              <w:rPr>
                <w:color w:val="auto"/>
              </w:rPr>
              <w:t xml:space="preserve"> serious injury </w:t>
            </w:r>
            <w:r>
              <w:rPr>
                <w:color w:val="auto"/>
              </w:rPr>
              <w:t xml:space="preserve">to </w:t>
            </w:r>
            <w:r w:rsidR="00A27E34" w:rsidRPr="002D33BC">
              <w:rPr>
                <w:color w:val="auto"/>
              </w:rPr>
              <w:t>or alleged assault (including physical, sexual abuse, sexual as</w:t>
            </w:r>
            <w:r w:rsidR="002348A7">
              <w:rPr>
                <w:color w:val="auto"/>
              </w:rPr>
              <w:t>sault and indecent assault)</w:t>
            </w:r>
            <w:r w:rsidR="00215D3F">
              <w:rPr>
                <w:color w:val="auto"/>
              </w:rPr>
              <w:t xml:space="preserve"> of a customer/client</w:t>
            </w:r>
            <w:r w:rsidR="002348A7">
              <w:rPr>
                <w:color w:val="auto"/>
              </w:rPr>
              <w:t>;</w:t>
            </w:r>
            <w:r w:rsidR="00A27E34" w:rsidRPr="002D33BC">
              <w:rPr>
                <w:color w:val="auto"/>
              </w:rPr>
              <w:t xml:space="preserve"> </w:t>
            </w:r>
          </w:p>
          <w:p w14:paraId="1F30B6D1" w14:textId="77777777" w:rsidR="00A27E34" w:rsidRPr="00215D3F" w:rsidRDefault="00A27E34" w:rsidP="00EC0155">
            <w:pPr>
              <w:pStyle w:val="Bullet1"/>
              <w:cnfStyle w:val="000000000000" w:firstRow="0" w:lastRow="0" w:firstColumn="0" w:lastColumn="0" w:oddVBand="0" w:evenVBand="0" w:oddHBand="0" w:evenHBand="0" w:firstRowFirstColumn="0" w:firstRowLastColumn="0" w:lastRowFirstColumn="0" w:lastRowLastColumn="0"/>
              <w:rPr>
                <w:color w:val="auto"/>
              </w:rPr>
            </w:pPr>
            <w:r w:rsidRPr="00215D3F">
              <w:rPr>
                <w:color w:val="auto"/>
              </w:rPr>
              <w:t xml:space="preserve">allegations of serious unlawful or criminal activity or conduct involving staff that has caused, or has the potential to cause, serious harm to a </w:t>
            </w:r>
            <w:r w:rsidR="002F65AE" w:rsidRPr="00215D3F">
              <w:rPr>
                <w:color w:val="auto"/>
              </w:rPr>
              <w:t>customer/client</w:t>
            </w:r>
            <w:r w:rsidR="002348A7" w:rsidRPr="00215D3F">
              <w:rPr>
                <w:color w:val="auto"/>
              </w:rPr>
              <w:t>;</w:t>
            </w:r>
          </w:p>
          <w:p w14:paraId="2AE226DA" w14:textId="77777777" w:rsidR="00A27E34" w:rsidRPr="002D33BC" w:rsidRDefault="00A27E34" w:rsidP="002348A7">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 xml:space="preserve">an incident where a </w:t>
            </w:r>
            <w:r w:rsidR="002F65AE" w:rsidRPr="002D33BC">
              <w:rPr>
                <w:color w:val="auto"/>
              </w:rPr>
              <w:t xml:space="preserve">customer/client </w:t>
            </w:r>
            <w:r w:rsidRPr="002D33BC">
              <w:rPr>
                <w:color w:val="auto"/>
              </w:rPr>
              <w:t>assaults or causes serious harm to others</w:t>
            </w:r>
            <w:r w:rsidR="002F65AE" w:rsidRPr="002D33BC">
              <w:rPr>
                <w:color w:val="auto"/>
              </w:rPr>
              <w:t xml:space="preserve"> (including staff or other customers/clients</w:t>
            </w:r>
            <w:r w:rsidR="002348A7">
              <w:rPr>
                <w:color w:val="auto"/>
              </w:rPr>
              <w:t>);</w:t>
            </w:r>
          </w:p>
          <w:p w14:paraId="40F93224" w14:textId="77777777" w:rsidR="00A27E34" w:rsidRPr="002D33BC" w:rsidRDefault="00A27E34" w:rsidP="002348A7">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a serious fire, natural disaster, accident or other incident which does, will</w:t>
            </w:r>
            <w:r w:rsidR="002348A7">
              <w:rPr>
                <w:color w:val="auto"/>
              </w:rPr>
              <w:t>, or is likely to:</w:t>
            </w:r>
            <w:r w:rsidRPr="002D33BC">
              <w:rPr>
                <w:color w:val="auto"/>
              </w:rPr>
              <w:t xml:space="preserve"> </w:t>
            </w:r>
          </w:p>
          <w:p w14:paraId="33056AB7" w14:textId="77777777" w:rsidR="002F65AE" w:rsidRPr="002D33BC" w:rsidRDefault="002F65AE" w:rsidP="00A42747">
            <w:pPr>
              <w:pStyle w:val="ListParagraph"/>
              <w:numPr>
                <w:ilvl w:val="1"/>
                <w:numId w:val="12"/>
              </w:numPr>
              <w:tabs>
                <w:tab w:val="num" w:pos="3685"/>
              </w:tabs>
              <w:ind w:left="675" w:hanging="425"/>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pose a significant threat to the health, safety or wellbeing of customers/clients</w:t>
            </w:r>
            <w:r w:rsidR="002348A7">
              <w:rPr>
                <w:color w:val="auto"/>
              </w:rPr>
              <w:t>;</w:t>
            </w:r>
          </w:p>
          <w:p w14:paraId="71DBCDF0" w14:textId="77777777" w:rsidR="002F65AE" w:rsidRPr="002D33BC" w:rsidRDefault="00A27E34" w:rsidP="00A42747">
            <w:pPr>
              <w:pStyle w:val="ListParagraph"/>
              <w:numPr>
                <w:ilvl w:val="1"/>
                <w:numId w:val="12"/>
              </w:numPr>
              <w:tabs>
                <w:tab w:val="num" w:pos="3685"/>
              </w:tabs>
              <w:ind w:left="675" w:hanging="425"/>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 xml:space="preserve">prevent the provision of services to </w:t>
            </w:r>
            <w:r w:rsidR="002F65AE" w:rsidRPr="002D33BC">
              <w:rPr>
                <w:color w:val="auto"/>
              </w:rPr>
              <w:t>customers/clients</w:t>
            </w:r>
            <w:r w:rsidR="002348A7">
              <w:rPr>
                <w:color w:val="auto"/>
              </w:rPr>
              <w:t>; or</w:t>
            </w:r>
          </w:p>
          <w:p w14:paraId="187859C4" w14:textId="77777777" w:rsidR="00A27E34" w:rsidRPr="002D33BC" w:rsidRDefault="00A27E34" w:rsidP="00A42747">
            <w:pPr>
              <w:pStyle w:val="ListParagraph"/>
              <w:numPr>
                <w:ilvl w:val="1"/>
                <w:numId w:val="12"/>
              </w:numPr>
              <w:tabs>
                <w:tab w:val="num" w:pos="3685"/>
              </w:tabs>
              <w:ind w:left="675" w:hanging="425"/>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result in the closure of or significant damage to premises o</w:t>
            </w:r>
            <w:r w:rsidR="002F65AE" w:rsidRPr="002D33BC">
              <w:rPr>
                <w:color w:val="auto"/>
              </w:rPr>
              <w:t>f</w:t>
            </w:r>
            <w:r w:rsidRPr="002D33BC">
              <w:rPr>
                <w:color w:val="auto"/>
              </w:rPr>
              <w:t xml:space="preserve"> </w:t>
            </w:r>
            <w:r w:rsidR="002F65AE" w:rsidRPr="002D33BC">
              <w:rPr>
                <w:color w:val="auto"/>
              </w:rPr>
              <w:t xml:space="preserve">the </w:t>
            </w:r>
            <w:r w:rsidRPr="002D33BC">
              <w:rPr>
                <w:color w:val="auto"/>
              </w:rPr>
              <w:t xml:space="preserve">service provider or the property of </w:t>
            </w:r>
            <w:r w:rsidR="002F65AE" w:rsidRPr="002D33BC">
              <w:rPr>
                <w:color w:val="auto"/>
              </w:rPr>
              <w:t>customers/clients</w:t>
            </w:r>
            <w:r w:rsidR="002348A7">
              <w:rPr>
                <w:color w:val="auto"/>
              </w:rPr>
              <w:t>.</w:t>
            </w:r>
          </w:p>
          <w:p w14:paraId="5C186521" w14:textId="77777777" w:rsidR="00A27E34" w:rsidRPr="002D33BC" w:rsidRDefault="00A27E34" w:rsidP="00A27E34">
            <w:pPr>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 xml:space="preserve">A </w:t>
            </w:r>
            <w:r w:rsidR="00215D3F">
              <w:rPr>
                <w:color w:val="auto"/>
              </w:rPr>
              <w:t>‘</w:t>
            </w:r>
            <w:r w:rsidRPr="002D33BC">
              <w:rPr>
                <w:color w:val="auto"/>
              </w:rPr>
              <w:t>serious care concern</w:t>
            </w:r>
            <w:r w:rsidR="00215D3F">
              <w:rPr>
                <w:color w:val="auto"/>
              </w:rPr>
              <w:t>’</w:t>
            </w:r>
            <w:r w:rsidRPr="002D33BC">
              <w:rPr>
                <w:color w:val="auto"/>
              </w:rPr>
              <w:t xml:space="preserve"> may include</w:t>
            </w:r>
            <w:r w:rsidR="002348A7">
              <w:rPr>
                <w:color w:val="auto"/>
              </w:rPr>
              <w:t>:</w:t>
            </w:r>
          </w:p>
          <w:p w14:paraId="2EEC9448" w14:textId="77777777" w:rsidR="00A27E34" w:rsidRPr="002D33BC" w:rsidRDefault="00A27E34" w:rsidP="002348A7">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exposing a person with disability to serious safety risks</w:t>
            </w:r>
            <w:r w:rsidR="002348A7">
              <w:rPr>
                <w:color w:val="auto"/>
              </w:rPr>
              <w:t>;</w:t>
            </w:r>
          </w:p>
          <w:p w14:paraId="45015A35" w14:textId="77777777" w:rsidR="00A27E34" w:rsidRPr="002D33BC" w:rsidRDefault="00A27E34" w:rsidP="002348A7">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witnessing an act of abuse or neglect</w:t>
            </w:r>
            <w:r w:rsidR="00ED4987">
              <w:rPr>
                <w:color w:val="auto"/>
              </w:rPr>
              <w:t xml:space="preserve"> </w:t>
            </w:r>
            <w:r w:rsidRPr="002D33BC">
              <w:rPr>
                <w:color w:val="auto"/>
              </w:rPr>
              <w:t>without intervening and failing to make an immediate report of the abuse to a manager/supervisor and the State</w:t>
            </w:r>
            <w:r w:rsidR="002348A7">
              <w:rPr>
                <w:color w:val="auto"/>
              </w:rPr>
              <w:t>;</w:t>
            </w:r>
          </w:p>
          <w:p w14:paraId="5FEE8B1A" w14:textId="77777777" w:rsidR="00A27E34" w:rsidRPr="002D33BC" w:rsidRDefault="00A27E34" w:rsidP="002348A7">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abuse or restrictive practices</w:t>
            </w:r>
            <w:r w:rsidR="002348A7">
              <w:rPr>
                <w:color w:val="auto"/>
              </w:rPr>
              <w:t>; and</w:t>
            </w:r>
          </w:p>
          <w:p w14:paraId="5D5B5B35" w14:textId="77777777" w:rsidR="00A27E34" w:rsidRPr="002D33BC" w:rsidRDefault="00A27E34" w:rsidP="002348A7">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financial abuse</w:t>
            </w:r>
            <w:r w:rsidR="002348A7">
              <w:rPr>
                <w:color w:val="auto"/>
              </w:rPr>
              <w:t>.</w:t>
            </w:r>
          </w:p>
        </w:tc>
        <w:tc>
          <w:tcPr>
            <w:tcW w:w="2156" w:type="pct"/>
            <w:tcBorders>
              <w:left w:val="single" w:sz="4" w:space="0" w:color="962C8B" w:themeColor="accent2"/>
            </w:tcBorders>
          </w:tcPr>
          <w:p w14:paraId="14C6D646" w14:textId="78780A65" w:rsidR="007145A6" w:rsidRPr="002D33BC" w:rsidRDefault="009102D2" w:rsidP="007145A6">
            <w:pPr>
              <w:cnfStyle w:val="000000000000" w:firstRow="0" w:lastRow="0" w:firstColumn="0" w:lastColumn="0" w:oddVBand="0" w:evenVBand="0" w:oddHBand="0" w:evenHBand="0" w:firstRowFirstColumn="0" w:firstRowLastColumn="0" w:lastRowFirstColumn="0" w:lastRowLastColumn="0"/>
              <w:rPr>
                <w:color w:val="auto"/>
              </w:rPr>
            </w:pPr>
            <w:r>
              <w:rPr>
                <w:color w:val="auto"/>
              </w:rPr>
              <w:lastRenderedPageBreak/>
              <w:t>Each of the following is a</w:t>
            </w:r>
            <w:r w:rsidR="007145A6" w:rsidRPr="002D33BC">
              <w:rPr>
                <w:color w:val="auto"/>
              </w:rPr>
              <w:t xml:space="preserve"> </w:t>
            </w:r>
            <w:r w:rsidR="00D27C50">
              <w:rPr>
                <w:color w:val="auto"/>
              </w:rPr>
              <w:t>‘</w:t>
            </w:r>
            <w:r w:rsidR="007145A6" w:rsidRPr="003A7E5A">
              <w:rPr>
                <w:color w:val="auto"/>
              </w:rPr>
              <w:t>reportable incident</w:t>
            </w:r>
            <w:r w:rsidR="00D27C50">
              <w:rPr>
                <w:color w:val="auto"/>
              </w:rPr>
              <w:t>’</w:t>
            </w:r>
            <w:r w:rsidR="007145A6" w:rsidRPr="002D33BC">
              <w:rPr>
                <w:color w:val="auto"/>
              </w:rPr>
              <w:t xml:space="preserve"> </w:t>
            </w:r>
            <w:r w:rsidR="00D27C50">
              <w:rPr>
                <w:color w:val="auto"/>
              </w:rPr>
              <w:t>i</w:t>
            </w:r>
            <w:r>
              <w:rPr>
                <w:color w:val="auto"/>
              </w:rPr>
              <w:t xml:space="preserve">f it occurred, </w:t>
            </w:r>
            <w:r w:rsidRPr="002D33BC">
              <w:rPr>
                <w:color w:val="auto"/>
              </w:rPr>
              <w:t xml:space="preserve">or </w:t>
            </w:r>
            <w:r>
              <w:rPr>
                <w:color w:val="auto"/>
              </w:rPr>
              <w:t xml:space="preserve">is </w:t>
            </w:r>
            <w:r w:rsidRPr="002D33BC">
              <w:rPr>
                <w:color w:val="auto"/>
              </w:rPr>
              <w:t>alleged to have occurred</w:t>
            </w:r>
            <w:r>
              <w:rPr>
                <w:color w:val="auto"/>
              </w:rPr>
              <w:t>,</w:t>
            </w:r>
            <w:r w:rsidRPr="002D33BC">
              <w:rPr>
                <w:color w:val="auto"/>
              </w:rPr>
              <w:t xml:space="preserve"> in connection with the provision of supports or services by a registered NDIS provider</w:t>
            </w:r>
            <w:r w:rsidR="007145A6" w:rsidRPr="002D33BC">
              <w:rPr>
                <w:color w:val="auto"/>
              </w:rPr>
              <w:t>:</w:t>
            </w:r>
          </w:p>
          <w:p w14:paraId="2B1702FD" w14:textId="77777777" w:rsidR="007145A6" w:rsidRPr="002D33BC" w:rsidRDefault="007145A6" w:rsidP="007145A6">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lastRenderedPageBreak/>
              <w:t>the death of a person with disability</w:t>
            </w:r>
            <w:r w:rsidR="002348A7">
              <w:rPr>
                <w:color w:val="auto"/>
              </w:rPr>
              <w:t>;</w:t>
            </w:r>
          </w:p>
          <w:p w14:paraId="2CDA694C" w14:textId="77777777" w:rsidR="007145A6" w:rsidRPr="002D33BC" w:rsidRDefault="007145A6" w:rsidP="007145A6">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serious injury of a person with disability</w:t>
            </w:r>
            <w:r w:rsidR="002348A7">
              <w:rPr>
                <w:color w:val="auto"/>
              </w:rPr>
              <w:t>;</w:t>
            </w:r>
          </w:p>
          <w:p w14:paraId="520643BA" w14:textId="77777777" w:rsidR="007145A6" w:rsidRPr="002D33BC" w:rsidRDefault="007145A6" w:rsidP="007145A6">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abuse or negl</w:t>
            </w:r>
            <w:r w:rsidR="002348A7">
              <w:rPr>
                <w:color w:val="auto"/>
              </w:rPr>
              <w:t>ect of a person with disability;</w:t>
            </w:r>
          </w:p>
          <w:p w14:paraId="55611C79" w14:textId="77777777" w:rsidR="007145A6" w:rsidRPr="002D33BC" w:rsidRDefault="007145A6" w:rsidP="007145A6">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unlawful sexual or physical contact with, or assault of, a person with disability</w:t>
            </w:r>
            <w:r w:rsidR="002348A7">
              <w:rPr>
                <w:color w:val="auto"/>
              </w:rPr>
              <w:t>;</w:t>
            </w:r>
          </w:p>
          <w:p w14:paraId="098E2900" w14:textId="77777777" w:rsidR="007145A6" w:rsidRPr="002D33BC" w:rsidRDefault="007145A6" w:rsidP="007145A6">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sexual misconduct committed against, or in the presence of, a person with disability, including grooming of the person for sexual activity</w:t>
            </w:r>
            <w:r w:rsidR="002348A7">
              <w:rPr>
                <w:color w:val="auto"/>
              </w:rPr>
              <w:t xml:space="preserve">; </w:t>
            </w:r>
          </w:p>
          <w:p w14:paraId="2DC78CB7" w14:textId="77777777" w:rsidR="00C6531F" w:rsidRPr="00F64898" w:rsidRDefault="007145A6" w:rsidP="00C6531F">
            <w:pPr>
              <w:pStyle w:val="Bullet1"/>
              <w:cnfStyle w:val="000000000000" w:firstRow="0" w:lastRow="0" w:firstColumn="0" w:lastColumn="0" w:oddVBand="0" w:evenVBand="0" w:oddHBand="0" w:evenHBand="0" w:firstRowFirstColumn="0" w:firstRowLastColumn="0" w:lastRowFirstColumn="0" w:lastRowLastColumn="0"/>
              <w:rPr>
                <w:color w:val="auto"/>
              </w:rPr>
            </w:pPr>
            <w:r w:rsidRPr="00F64898">
              <w:rPr>
                <w:color w:val="auto"/>
              </w:rPr>
              <w:t>use of a restrictive practice in relation to a person with disability</w:t>
            </w:r>
            <w:r w:rsidR="00D27C50" w:rsidRPr="007D667B">
              <w:rPr>
                <w:color w:val="auto"/>
              </w:rPr>
              <w:t xml:space="preserve"> </w:t>
            </w:r>
            <w:r w:rsidR="00C6531F">
              <w:rPr>
                <w:color w:val="auto"/>
              </w:rPr>
              <w:t>other than where the use is</w:t>
            </w:r>
            <w:r w:rsidR="00C6531F" w:rsidRPr="007D667B">
              <w:rPr>
                <w:color w:val="auto"/>
              </w:rPr>
              <w:t xml:space="preserve"> in accordance with a</w:t>
            </w:r>
            <w:r w:rsidR="00C6531F">
              <w:rPr>
                <w:color w:val="auto"/>
              </w:rPr>
              <w:t>n</w:t>
            </w:r>
            <w:r w:rsidR="00C6531F" w:rsidRPr="007D667B">
              <w:rPr>
                <w:color w:val="auto"/>
              </w:rPr>
              <w:t xml:space="preserve"> </w:t>
            </w:r>
            <w:r w:rsidR="00C6531F" w:rsidRPr="00B16018">
              <w:rPr>
                <w:color w:val="auto"/>
              </w:rPr>
              <w:t xml:space="preserve">authorisation </w:t>
            </w:r>
            <w:r w:rsidR="00C6531F">
              <w:rPr>
                <w:color w:val="auto"/>
              </w:rPr>
              <w:t xml:space="preserve">(however described) of a </w:t>
            </w:r>
            <w:r w:rsidR="00C6531F" w:rsidRPr="007D667B">
              <w:rPr>
                <w:color w:val="auto"/>
              </w:rPr>
              <w:t xml:space="preserve">State </w:t>
            </w:r>
            <w:r w:rsidR="00C6531F" w:rsidRPr="00B16018">
              <w:rPr>
                <w:color w:val="auto"/>
              </w:rPr>
              <w:t>(or Territory)</w:t>
            </w:r>
            <w:r w:rsidR="00C6531F">
              <w:rPr>
                <w:color w:val="auto"/>
              </w:rPr>
              <w:t xml:space="preserve"> in relation to the person</w:t>
            </w:r>
            <w:r w:rsidR="00C6531F" w:rsidRPr="00F64898">
              <w:rPr>
                <w:color w:val="auto"/>
              </w:rPr>
              <w:t>.</w:t>
            </w:r>
          </w:p>
          <w:p w14:paraId="0952ADA4" w14:textId="77777777" w:rsidR="004959C1" w:rsidRPr="002D33BC" w:rsidRDefault="00226BCC" w:rsidP="00F64898">
            <w:pPr>
              <w:pStyle w:val="Bullet1"/>
              <w:numPr>
                <w:ilvl w:val="0"/>
                <w:numId w:val="0"/>
              </w:num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Note also </w:t>
            </w:r>
            <w:r w:rsidR="00A42747">
              <w:rPr>
                <w:color w:val="auto"/>
              </w:rPr>
              <w:t>that providers are required to report</w:t>
            </w:r>
            <w:r w:rsidR="002348A7">
              <w:rPr>
                <w:color w:val="auto"/>
              </w:rPr>
              <w:t xml:space="preserve"> </w:t>
            </w:r>
            <w:r w:rsidR="00A42747">
              <w:rPr>
                <w:color w:val="auto"/>
              </w:rPr>
              <w:t xml:space="preserve">alleged reportable incidents. </w:t>
            </w:r>
          </w:p>
        </w:tc>
      </w:tr>
      <w:tr w:rsidR="007145A6" w14:paraId="57BBD8F8" w14:textId="77777777" w:rsidTr="0061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962C8B" w:themeColor="accent2"/>
            </w:tcBorders>
          </w:tcPr>
          <w:p w14:paraId="71C3285B" w14:textId="77777777" w:rsidR="00E02D43" w:rsidRPr="002D33BC" w:rsidRDefault="008C4A6D" w:rsidP="00E02D43">
            <w:pPr>
              <w:rPr>
                <w:color w:val="auto"/>
              </w:rPr>
            </w:pPr>
            <w:r w:rsidRPr="002D33BC">
              <w:rPr>
                <w:color w:val="auto"/>
              </w:rPr>
              <w:lastRenderedPageBreak/>
              <w:t>When to Report an Incident</w:t>
            </w:r>
          </w:p>
        </w:tc>
        <w:tc>
          <w:tcPr>
            <w:tcW w:w="1981" w:type="pct"/>
            <w:tcBorders>
              <w:left w:val="single" w:sz="4" w:space="0" w:color="962C8B" w:themeColor="accent2"/>
              <w:right w:val="single" w:sz="4" w:space="0" w:color="962C8B" w:themeColor="accent2"/>
            </w:tcBorders>
          </w:tcPr>
          <w:p w14:paraId="66F014C8" w14:textId="77777777" w:rsidR="00A42747" w:rsidRPr="002D33BC" w:rsidRDefault="002F65AE" w:rsidP="00A15DC5">
            <w:pPr>
              <w:cnfStyle w:val="000000100000" w:firstRow="0" w:lastRow="0" w:firstColumn="0" w:lastColumn="0" w:oddVBand="0" w:evenVBand="0" w:oddHBand="1" w:evenHBand="0" w:firstRowFirstColumn="0" w:firstRowLastColumn="0" w:lastRowFirstColumn="0" w:lastRowLastColumn="0"/>
              <w:rPr>
                <w:bCs/>
                <w:iCs/>
                <w:color w:val="auto"/>
              </w:rPr>
            </w:pPr>
            <w:r w:rsidRPr="002D33BC">
              <w:rPr>
                <w:color w:val="auto"/>
              </w:rPr>
              <w:t>Reports must be made as soon as practicable (or within close of business on the next business day) to the</w:t>
            </w:r>
            <w:r w:rsidR="00C77057">
              <w:rPr>
                <w:color w:val="auto"/>
              </w:rPr>
              <w:t xml:space="preserve"> SA Department of Human Services,</w:t>
            </w:r>
            <w:r w:rsidRPr="002D33BC">
              <w:rPr>
                <w:color w:val="auto"/>
              </w:rPr>
              <w:t xml:space="preserve"> Director Incident Management or Manager Feedback and Incident Review.</w:t>
            </w:r>
            <w:r w:rsidR="00F64898">
              <w:rPr>
                <w:color w:val="auto"/>
              </w:rPr>
              <w:t xml:space="preserve"> </w:t>
            </w:r>
          </w:p>
        </w:tc>
        <w:tc>
          <w:tcPr>
            <w:tcW w:w="2156" w:type="pct"/>
            <w:tcBorders>
              <w:left w:val="single" w:sz="4" w:space="0" w:color="962C8B" w:themeColor="accent2"/>
            </w:tcBorders>
          </w:tcPr>
          <w:p w14:paraId="235A21E3" w14:textId="77777777" w:rsidR="008C4A6D" w:rsidRPr="002D33BC" w:rsidRDefault="008C4A6D" w:rsidP="008C4A6D">
            <w:pPr>
              <w:cnfStyle w:val="000000100000" w:firstRow="0" w:lastRow="0" w:firstColumn="0" w:lastColumn="0" w:oddVBand="0" w:evenVBand="0" w:oddHBand="1" w:evenHBand="0" w:firstRowFirstColumn="0" w:firstRowLastColumn="0" w:lastRowFirstColumn="0" w:lastRowLastColumn="0"/>
              <w:rPr>
                <w:color w:val="auto"/>
              </w:rPr>
            </w:pPr>
            <w:r w:rsidRPr="002D33BC">
              <w:rPr>
                <w:color w:val="auto"/>
              </w:rPr>
              <w:t xml:space="preserve">All reportable incidents, except for </w:t>
            </w:r>
            <w:r w:rsidR="00F64898">
              <w:rPr>
                <w:color w:val="auto"/>
              </w:rPr>
              <w:t xml:space="preserve">those concerning </w:t>
            </w:r>
            <w:r w:rsidRPr="002D33BC">
              <w:rPr>
                <w:color w:val="auto"/>
              </w:rPr>
              <w:t xml:space="preserve">use of a restrictive practice, must be </w:t>
            </w:r>
            <w:r w:rsidR="00F64898">
              <w:rPr>
                <w:color w:val="auto"/>
              </w:rPr>
              <w:t>reported</w:t>
            </w:r>
            <w:r w:rsidR="00F64898" w:rsidRPr="002D33BC">
              <w:rPr>
                <w:color w:val="auto"/>
              </w:rPr>
              <w:t xml:space="preserve"> </w:t>
            </w:r>
            <w:r w:rsidRPr="002D33BC">
              <w:rPr>
                <w:color w:val="auto"/>
              </w:rPr>
              <w:t xml:space="preserve">to the NDIS Commission within 24 hours of the registered NDIS provider becoming aware of the incident. </w:t>
            </w:r>
          </w:p>
          <w:p w14:paraId="53D2C426" w14:textId="56DA419B" w:rsidR="00E02D43" w:rsidRPr="002D33BC" w:rsidRDefault="00223B2E" w:rsidP="00C6531F">
            <w:pPr>
              <w:cnfStyle w:val="000000100000" w:firstRow="0" w:lastRow="0" w:firstColumn="0" w:lastColumn="0" w:oddVBand="0" w:evenVBand="0" w:oddHBand="1" w:evenHBand="0" w:firstRowFirstColumn="0" w:firstRowLastColumn="0" w:lastRowFirstColumn="0" w:lastRowLastColumn="0"/>
              <w:rPr>
                <w:color w:val="auto"/>
              </w:rPr>
            </w:pPr>
            <w:r>
              <w:rPr>
                <w:color w:val="auto"/>
              </w:rPr>
              <w:t>Those</w:t>
            </w:r>
            <w:r w:rsidR="00F64898">
              <w:rPr>
                <w:color w:val="auto"/>
              </w:rPr>
              <w:t xml:space="preserve"> concerning</w:t>
            </w:r>
            <w:r w:rsidR="008C4A6D" w:rsidRPr="002D33BC">
              <w:rPr>
                <w:color w:val="auto"/>
              </w:rPr>
              <w:t xml:space="preserve"> use of restrictive practice</w:t>
            </w:r>
            <w:r w:rsidR="00263525">
              <w:rPr>
                <w:color w:val="auto"/>
              </w:rPr>
              <w:t xml:space="preserve">, other than in accordance with an authorisation or a </w:t>
            </w:r>
            <w:r w:rsidR="00C6531F">
              <w:rPr>
                <w:color w:val="auto"/>
              </w:rPr>
              <w:t>however described</w:t>
            </w:r>
            <w:r w:rsidR="008C4A6D" w:rsidRPr="002D33BC">
              <w:rPr>
                <w:color w:val="auto"/>
              </w:rPr>
              <w:t xml:space="preserve"> must be notified within 5 days. </w:t>
            </w:r>
          </w:p>
        </w:tc>
      </w:tr>
      <w:tr w:rsidR="007145A6" w14:paraId="56FD8390" w14:textId="77777777" w:rsidTr="0061765A">
        <w:trPr>
          <w:trHeight w:val="71"/>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962C8B" w:themeColor="accent2"/>
            </w:tcBorders>
          </w:tcPr>
          <w:p w14:paraId="5C7F82E6" w14:textId="77777777" w:rsidR="00B53DC1" w:rsidRPr="002D33BC" w:rsidRDefault="008C4A6D" w:rsidP="007D667B">
            <w:pPr>
              <w:rPr>
                <w:color w:val="auto"/>
              </w:rPr>
            </w:pPr>
            <w:r w:rsidRPr="002D33BC">
              <w:rPr>
                <w:color w:val="auto"/>
              </w:rPr>
              <w:t xml:space="preserve">Who </w:t>
            </w:r>
            <w:r w:rsidR="006E0958" w:rsidRPr="002D33BC">
              <w:rPr>
                <w:color w:val="auto"/>
              </w:rPr>
              <w:t xml:space="preserve">is responsible for </w:t>
            </w:r>
            <w:r w:rsidRPr="002D33BC">
              <w:rPr>
                <w:color w:val="auto"/>
              </w:rPr>
              <w:t>Report</w:t>
            </w:r>
            <w:r w:rsidR="006E0958" w:rsidRPr="002D33BC">
              <w:rPr>
                <w:color w:val="auto"/>
              </w:rPr>
              <w:t>ing</w:t>
            </w:r>
            <w:r w:rsidRPr="002D33BC">
              <w:rPr>
                <w:color w:val="auto"/>
              </w:rPr>
              <w:t xml:space="preserve"> an Incident</w:t>
            </w:r>
          </w:p>
        </w:tc>
        <w:tc>
          <w:tcPr>
            <w:tcW w:w="1981" w:type="pct"/>
            <w:tcBorders>
              <w:left w:val="single" w:sz="4" w:space="0" w:color="962C8B" w:themeColor="accent2"/>
              <w:right w:val="single" w:sz="4" w:space="0" w:color="962C8B" w:themeColor="accent2"/>
            </w:tcBorders>
          </w:tcPr>
          <w:p w14:paraId="22CDA579" w14:textId="77777777" w:rsidR="00B53DC1" w:rsidRPr="002D33BC" w:rsidRDefault="006F4004" w:rsidP="00A1146F">
            <w:pPr>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 xml:space="preserve">The service provider is responsible for meeting reporting </w:t>
            </w:r>
            <w:r w:rsidR="008878E3" w:rsidRPr="002D33BC">
              <w:rPr>
                <w:color w:val="auto"/>
              </w:rPr>
              <w:t>obligations as described in the</w:t>
            </w:r>
            <w:r w:rsidR="00A1146F" w:rsidRPr="002D33BC">
              <w:rPr>
                <w:color w:val="auto"/>
              </w:rPr>
              <w:t>ir</w:t>
            </w:r>
            <w:r w:rsidR="008878E3" w:rsidRPr="002D33BC">
              <w:rPr>
                <w:color w:val="auto"/>
              </w:rPr>
              <w:t xml:space="preserve"> Master Agreement and Deed Poll</w:t>
            </w:r>
            <w:r w:rsidRPr="002D33BC">
              <w:rPr>
                <w:color w:val="auto"/>
              </w:rPr>
              <w:t xml:space="preserve">. </w:t>
            </w:r>
          </w:p>
        </w:tc>
        <w:tc>
          <w:tcPr>
            <w:tcW w:w="2156" w:type="pct"/>
            <w:tcBorders>
              <w:left w:val="single" w:sz="4" w:space="0" w:color="962C8B" w:themeColor="accent2"/>
            </w:tcBorders>
          </w:tcPr>
          <w:p w14:paraId="4651C65C" w14:textId="77777777" w:rsidR="00A42747" w:rsidRDefault="00223B2E">
            <w:pPr>
              <w:pStyle w:val="Bullet1"/>
              <w:numPr>
                <w:ilvl w:val="0"/>
                <w:numId w:val="0"/>
              </w:numPr>
              <w:cnfStyle w:val="000000000000" w:firstRow="0" w:lastRow="0" w:firstColumn="0" w:lastColumn="0" w:oddVBand="0" w:evenVBand="0" w:oddHBand="0" w:evenHBand="0" w:firstRowFirstColumn="0" w:firstRowLastColumn="0" w:lastRowFirstColumn="0" w:lastRowLastColumn="0"/>
              <w:rPr>
                <w:color w:val="auto"/>
              </w:rPr>
            </w:pPr>
            <w:r>
              <w:rPr>
                <w:color w:val="auto"/>
              </w:rPr>
              <w:t>The following are responsible for ensuring that incidents are reported</w:t>
            </w:r>
            <w:r w:rsidR="00A42747">
              <w:rPr>
                <w:color w:val="auto"/>
              </w:rPr>
              <w:t>:</w:t>
            </w:r>
            <w:r w:rsidR="006E0958" w:rsidRPr="002D33BC">
              <w:rPr>
                <w:color w:val="auto"/>
              </w:rPr>
              <w:t xml:space="preserve"> </w:t>
            </w:r>
          </w:p>
          <w:p w14:paraId="4A338220" w14:textId="77777777" w:rsidR="006E0958" w:rsidRPr="002D33BC" w:rsidRDefault="00223B2E" w:rsidP="00A42747">
            <w:pPr>
              <w:pStyle w:val="Bullet1"/>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the </w:t>
            </w:r>
            <w:r w:rsidR="006E0958" w:rsidRPr="002D33BC">
              <w:rPr>
                <w:color w:val="auto"/>
              </w:rPr>
              <w:t>provider’s key personnel</w:t>
            </w:r>
            <w:r w:rsidR="00A42747">
              <w:rPr>
                <w:color w:val="auto"/>
              </w:rPr>
              <w:t>;</w:t>
            </w:r>
          </w:p>
          <w:p w14:paraId="3513E323" w14:textId="77777777" w:rsidR="00B53DC1" w:rsidRPr="002D33BC" w:rsidRDefault="008C4A6D" w:rsidP="00600CFB">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 xml:space="preserve">the person specified in the </w:t>
            </w:r>
            <w:r w:rsidR="007D667B">
              <w:rPr>
                <w:color w:val="auto"/>
              </w:rPr>
              <w:t xml:space="preserve">provider’s </w:t>
            </w:r>
            <w:r w:rsidRPr="002D33BC">
              <w:rPr>
                <w:color w:val="auto"/>
              </w:rPr>
              <w:t>incident management system who is responsible for reporting incidents that are reportable incidents to the NDIS Commission.</w:t>
            </w:r>
          </w:p>
        </w:tc>
      </w:tr>
      <w:tr w:rsidR="007145A6" w14:paraId="7F075465" w14:textId="77777777" w:rsidTr="006176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962C8B" w:themeColor="accent2"/>
            </w:tcBorders>
          </w:tcPr>
          <w:p w14:paraId="56AD20F3" w14:textId="77777777" w:rsidR="00B53DC1" w:rsidRPr="002D33BC" w:rsidRDefault="00B7420B" w:rsidP="00B7420B">
            <w:pPr>
              <w:rPr>
                <w:color w:val="auto"/>
              </w:rPr>
            </w:pPr>
            <w:r w:rsidRPr="002D33BC">
              <w:rPr>
                <w:color w:val="auto"/>
              </w:rPr>
              <w:t>How You Report</w:t>
            </w:r>
          </w:p>
        </w:tc>
        <w:tc>
          <w:tcPr>
            <w:tcW w:w="1981" w:type="pct"/>
            <w:tcBorders>
              <w:left w:val="single" w:sz="4" w:space="0" w:color="962C8B" w:themeColor="accent2"/>
              <w:right w:val="single" w:sz="4" w:space="0" w:color="962C8B" w:themeColor="accent2"/>
            </w:tcBorders>
          </w:tcPr>
          <w:p w14:paraId="4AD5EADC" w14:textId="77777777" w:rsidR="006F4004" w:rsidRPr="002D33BC" w:rsidRDefault="006F4004" w:rsidP="006F4004">
            <w:pPr>
              <w:cnfStyle w:val="000000100000" w:firstRow="0" w:lastRow="0" w:firstColumn="0" w:lastColumn="0" w:oddVBand="0" w:evenVBand="0" w:oddHBand="1" w:evenHBand="0" w:firstRowFirstColumn="0" w:firstRowLastColumn="0" w:lastRowFirstColumn="0" w:lastRowLastColumn="0"/>
              <w:rPr>
                <w:bCs/>
                <w:iCs/>
                <w:color w:val="auto"/>
              </w:rPr>
            </w:pPr>
            <w:r w:rsidRPr="002D33BC">
              <w:rPr>
                <w:bCs/>
                <w:iCs/>
                <w:color w:val="auto"/>
              </w:rPr>
              <w:t xml:space="preserve">Email to: </w:t>
            </w:r>
            <w:hyperlink r:id="rId8" w:history="1">
              <w:r w:rsidRPr="00A42747">
                <w:rPr>
                  <w:rStyle w:val="Hyperlink"/>
                </w:rPr>
                <w:t>DHSIncidentManagementFeedbackandIncidentReview@sa.gov.au</w:t>
              </w:r>
            </w:hyperlink>
            <w:r w:rsidRPr="002D33BC">
              <w:rPr>
                <w:bCs/>
                <w:iCs/>
                <w:color w:val="auto"/>
              </w:rPr>
              <w:t xml:space="preserve"> </w:t>
            </w:r>
          </w:p>
          <w:p w14:paraId="0B9FD8EF" w14:textId="77777777" w:rsidR="00B53DC1" w:rsidRPr="002D33BC" w:rsidRDefault="006F4004" w:rsidP="006F4004">
            <w:pPr>
              <w:cnfStyle w:val="000000100000" w:firstRow="0" w:lastRow="0" w:firstColumn="0" w:lastColumn="0" w:oddVBand="0" w:evenVBand="0" w:oddHBand="1" w:evenHBand="0" w:firstRowFirstColumn="0" w:firstRowLastColumn="0" w:lastRowFirstColumn="0" w:lastRowLastColumn="0"/>
              <w:rPr>
                <w:color w:val="auto"/>
              </w:rPr>
            </w:pPr>
            <w:r w:rsidRPr="002D33BC">
              <w:rPr>
                <w:bCs/>
                <w:iCs/>
                <w:color w:val="auto"/>
              </w:rPr>
              <w:t>Phone: 8207 0490</w:t>
            </w:r>
          </w:p>
        </w:tc>
        <w:tc>
          <w:tcPr>
            <w:tcW w:w="2156" w:type="pct"/>
            <w:tcBorders>
              <w:left w:val="single" w:sz="4" w:space="0" w:color="962C8B" w:themeColor="accent2"/>
            </w:tcBorders>
          </w:tcPr>
          <w:p w14:paraId="0E520897" w14:textId="77777777" w:rsidR="00B53DC1" w:rsidRPr="002D33BC" w:rsidRDefault="00B7420B" w:rsidP="003D6956">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color w:val="auto"/>
              </w:rPr>
            </w:pPr>
            <w:r w:rsidRPr="002D33BC">
              <w:rPr>
                <w:color w:val="auto"/>
              </w:rPr>
              <w:t xml:space="preserve">Forms for notifying the NDIS Commission </w:t>
            </w:r>
            <w:r w:rsidR="003D6956" w:rsidRPr="002D33BC">
              <w:rPr>
                <w:color w:val="auto"/>
              </w:rPr>
              <w:t xml:space="preserve">of a reportable incident </w:t>
            </w:r>
            <w:r w:rsidR="007D667B">
              <w:rPr>
                <w:color w:val="auto"/>
              </w:rPr>
              <w:t xml:space="preserve">and information about how to get them to the NDIS Commission </w:t>
            </w:r>
            <w:r w:rsidRPr="002D33BC">
              <w:rPr>
                <w:color w:val="auto"/>
              </w:rPr>
              <w:t>are available on the NDIS Commission website.</w:t>
            </w:r>
          </w:p>
          <w:p w14:paraId="7C20526F" w14:textId="09612121" w:rsidR="00D8421D" w:rsidRPr="00FF31AF" w:rsidRDefault="00F805FF" w:rsidP="00D8421D">
            <w:pPr>
              <w:suppressAutoHyphens w:val="0"/>
              <w:spacing w:before="120" w:after="120" w:line="240" w:lineRule="auto"/>
              <w:cnfStyle w:val="000000100000" w:firstRow="0" w:lastRow="0" w:firstColumn="0" w:lastColumn="0" w:oddVBand="0" w:evenVBand="0" w:oddHBand="1" w:evenHBand="0" w:firstRowFirstColumn="0" w:firstRowLastColumn="0" w:lastRowFirstColumn="0" w:lastRowLastColumn="0"/>
              <w:rPr>
                <w:color w:val="943C84"/>
                <w:u w:val="single"/>
              </w:rPr>
            </w:pPr>
            <w:hyperlink r:id="rId9" w:tooltip="NDIS Commission website specific to Reportable Incidents" w:history="1">
              <w:r w:rsidR="00FF31AF">
                <w:rPr>
                  <w:rStyle w:val="Hyperlink"/>
                  <w:lang w:val="en"/>
                </w:rPr>
                <w:t>www.ndiscommission.gov.au/RI</w:t>
              </w:r>
            </w:hyperlink>
          </w:p>
        </w:tc>
      </w:tr>
      <w:tr w:rsidR="007145A6" w14:paraId="69B20F30" w14:textId="77777777" w:rsidTr="0061765A">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962C8B" w:themeColor="accent2"/>
            </w:tcBorders>
          </w:tcPr>
          <w:p w14:paraId="573DB26E" w14:textId="77777777" w:rsidR="00B53DC1" w:rsidRPr="002D33BC" w:rsidRDefault="006E0958" w:rsidP="00B53DC1">
            <w:pPr>
              <w:rPr>
                <w:color w:val="auto"/>
              </w:rPr>
            </w:pPr>
            <w:r w:rsidRPr="002D33BC">
              <w:rPr>
                <w:color w:val="auto"/>
              </w:rPr>
              <w:t>Corrective Action</w:t>
            </w:r>
          </w:p>
        </w:tc>
        <w:tc>
          <w:tcPr>
            <w:tcW w:w="1981" w:type="pct"/>
            <w:tcBorders>
              <w:left w:val="single" w:sz="4" w:space="0" w:color="962C8B" w:themeColor="accent2"/>
              <w:right w:val="single" w:sz="4" w:space="0" w:color="962C8B" w:themeColor="accent2"/>
            </w:tcBorders>
          </w:tcPr>
          <w:p w14:paraId="74F31D05" w14:textId="77777777" w:rsidR="00B53DC1" w:rsidRPr="002D33BC" w:rsidRDefault="00D92C56" w:rsidP="00A1146F">
            <w:pPr>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 xml:space="preserve">The </w:t>
            </w:r>
            <w:r w:rsidR="00573D2B">
              <w:rPr>
                <w:color w:val="auto"/>
              </w:rPr>
              <w:t>SA D</w:t>
            </w:r>
            <w:r w:rsidRPr="002D33BC">
              <w:rPr>
                <w:color w:val="auto"/>
              </w:rPr>
              <w:t xml:space="preserve">epartment </w:t>
            </w:r>
            <w:r w:rsidR="00573D2B">
              <w:rPr>
                <w:color w:val="auto"/>
              </w:rPr>
              <w:t xml:space="preserve">of Human Services </w:t>
            </w:r>
            <w:r w:rsidR="007C5000" w:rsidRPr="002D33BC">
              <w:rPr>
                <w:color w:val="auto"/>
              </w:rPr>
              <w:t xml:space="preserve">will </w:t>
            </w:r>
            <w:r w:rsidRPr="002D33BC">
              <w:rPr>
                <w:color w:val="auto"/>
              </w:rPr>
              <w:t>work collaboratively with DSPP providers to review services to ensure they are responsive to customers/clients. This includes</w:t>
            </w:r>
            <w:r w:rsidR="007C5000" w:rsidRPr="002D33BC">
              <w:rPr>
                <w:color w:val="auto"/>
              </w:rPr>
              <w:t xml:space="preserve"> </w:t>
            </w:r>
            <w:r w:rsidRPr="002D33BC">
              <w:rPr>
                <w:color w:val="auto"/>
              </w:rPr>
              <w:t>reviewing the specific concerns</w:t>
            </w:r>
            <w:r w:rsidR="007C5000" w:rsidRPr="002D33BC">
              <w:rPr>
                <w:color w:val="auto"/>
              </w:rPr>
              <w:t xml:space="preserve"> and </w:t>
            </w:r>
            <w:r w:rsidRPr="002D33BC">
              <w:rPr>
                <w:color w:val="auto"/>
              </w:rPr>
              <w:t xml:space="preserve">obtaining relevant information </w:t>
            </w:r>
            <w:r w:rsidR="007C5000" w:rsidRPr="002D33BC">
              <w:rPr>
                <w:color w:val="auto"/>
              </w:rPr>
              <w:t xml:space="preserve">to </w:t>
            </w:r>
            <w:r w:rsidRPr="002D33BC">
              <w:rPr>
                <w:color w:val="auto"/>
              </w:rPr>
              <w:t>identify</w:t>
            </w:r>
            <w:r w:rsidR="007C5000" w:rsidRPr="002D33BC">
              <w:rPr>
                <w:color w:val="auto"/>
              </w:rPr>
              <w:t xml:space="preserve"> </w:t>
            </w:r>
            <w:r w:rsidRPr="002D33BC">
              <w:rPr>
                <w:color w:val="auto"/>
              </w:rPr>
              <w:t xml:space="preserve">any systemic </w:t>
            </w:r>
            <w:r w:rsidR="007C5000" w:rsidRPr="002D33BC">
              <w:rPr>
                <w:color w:val="auto"/>
              </w:rPr>
              <w:t xml:space="preserve">or practice </w:t>
            </w:r>
            <w:r w:rsidRPr="002D33BC">
              <w:rPr>
                <w:color w:val="auto"/>
              </w:rPr>
              <w:t>issues</w:t>
            </w:r>
            <w:r w:rsidR="007C5000" w:rsidRPr="002D33BC">
              <w:rPr>
                <w:color w:val="auto"/>
              </w:rPr>
              <w:t>,</w:t>
            </w:r>
            <w:r w:rsidRPr="002D33BC">
              <w:rPr>
                <w:color w:val="auto"/>
              </w:rPr>
              <w:t xml:space="preserve"> </w:t>
            </w:r>
            <w:r w:rsidR="00A1146F" w:rsidRPr="002D33BC">
              <w:rPr>
                <w:color w:val="auto"/>
              </w:rPr>
              <w:t xml:space="preserve">and ensuring that </w:t>
            </w:r>
            <w:r w:rsidRPr="002D33BC">
              <w:rPr>
                <w:color w:val="auto"/>
              </w:rPr>
              <w:t xml:space="preserve">practices, policies and procedures </w:t>
            </w:r>
            <w:r w:rsidR="00A1146F" w:rsidRPr="002D33BC">
              <w:rPr>
                <w:color w:val="auto"/>
              </w:rPr>
              <w:t>are</w:t>
            </w:r>
            <w:r w:rsidRPr="002D33BC">
              <w:rPr>
                <w:color w:val="auto"/>
              </w:rPr>
              <w:t xml:space="preserve"> amended to </w:t>
            </w:r>
            <w:r w:rsidR="007C5000" w:rsidRPr="002D33BC">
              <w:rPr>
                <w:color w:val="auto"/>
              </w:rPr>
              <w:t xml:space="preserve">minimise the risk of a similar incidents occurring and </w:t>
            </w:r>
            <w:r w:rsidRPr="002D33BC">
              <w:rPr>
                <w:color w:val="auto"/>
              </w:rPr>
              <w:t>the continuous improvement of services.</w:t>
            </w:r>
          </w:p>
        </w:tc>
        <w:tc>
          <w:tcPr>
            <w:tcW w:w="2156" w:type="pct"/>
            <w:tcBorders>
              <w:left w:val="single" w:sz="4" w:space="0" w:color="962C8B" w:themeColor="accent2"/>
            </w:tcBorders>
          </w:tcPr>
          <w:p w14:paraId="2DAD3AB5" w14:textId="0E13BD37" w:rsidR="00B53DC1" w:rsidRPr="002D33BC" w:rsidRDefault="00521B70" w:rsidP="00573D2B">
            <w:pPr>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 xml:space="preserve">The NDIS Commission can take action </w:t>
            </w:r>
            <w:r w:rsidR="00573D2B">
              <w:rPr>
                <w:color w:val="auto"/>
              </w:rPr>
              <w:t xml:space="preserve">in response to a notification of a reportable incident </w:t>
            </w:r>
            <w:r w:rsidRPr="002D33BC">
              <w:rPr>
                <w:color w:val="auto"/>
              </w:rPr>
              <w:t xml:space="preserve">or require </w:t>
            </w:r>
            <w:r w:rsidR="00573D2B">
              <w:rPr>
                <w:color w:val="auto"/>
              </w:rPr>
              <w:t>the</w:t>
            </w:r>
            <w:r w:rsidRPr="002D33BC">
              <w:rPr>
                <w:color w:val="auto"/>
              </w:rPr>
              <w:t xml:space="preserve"> provider to</w:t>
            </w:r>
            <w:r w:rsidR="00573D2B">
              <w:rPr>
                <w:color w:val="auto"/>
              </w:rPr>
              <w:t xml:space="preserve"> take certain</w:t>
            </w:r>
            <w:r w:rsidRPr="002D33BC">
              <w:rPr>
                <w:color w:val="auto"/>
              </w:rPr>
              <w:t xml:space="preserve"> action</w:t>
            </w:r>
            <w:r w:rsidR="003D6956" w:rsidRPr="002D33BC">
              <w:rPr>
                <w:color w:val="auto"/>
              </w:rPr>
              <w:t>.</w:t>
            </w:r>
          </w:p>
        </w:tc>
      </w:tr>
      <w:tr w:rsidR="002F27BF" w14:paraId="0B331C16" w14:textId="77777777" w:rsidTr="00F24C80">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962C8B" w:themeColor="accent2"/>
            </w:tcBorders>
          </w:tcPr>
          <w:p w14:paraId="6EFD91AE" w14:textId="77777777" w:rsidR="002F27BF" w:rsidRPr="002D33BC" w:rsidRDefault="002F27BF" w:rsidP="00B53DC1">
            <w:pPr>
              <w:rPr>
                <w:color w:val="auto"/>
              </w:rPr>
            </w:pPr>
            <w:r w:rsidRPr="002D33BC">
              <w:rPr>
                <w:color w:val="auto"/>
              </w:rPr>
              <w:lastRenderedPageBreak/>
              <w:t>Additional Reporting Obligations</w:t>
            </w:r>
          </w:p>
        </w:tc>
        <w:tc>
          <w:tcPr>
            <w:tcW w:w="1981" w:type="pct"/>
            <w:tcBorders>
              <w:left w:val="single" w:sz="4" w:space="0" w:color="962C8B" w:themeColor="accent2"/>
              <w:right w:val="single" w:sz="4" w:space="0" w:color="962C8B" w:themeColor="accent2"/>
            </w:tcBorders>
          </w:tcPr>
          <w:p w14:paraId="10CAB9F9" w14:textId="77777777" w:rsidR="005D72B6" w:rsidRPr="002D33BC" w:rsidRDefault="002F65AE" w:rsidP="005D72B6">
            <w:pPr>
              <w:tabs>
                <w:tab w:val="num" w:pos="2976"/>
              </w:tabs>
              <w:cnfStyle w:val="000000100000" w:firstRow="0" w:lastRow="0" w:firstColumn="0" w:lastColumn="0" w:oddVBand="0" w:evenVBand="0" w:oddHBand="1" w:evenHBand="0" w:firstRowFirstColumn="0" w:firstRowLastColumn="0" w:lastRowFirstColumn="0" w:lastRowLastColumn="0"/>
              <w:rPr>
                <w:color w:val="auto"/>
              </w:rPr>
            </w:pPr>
            <w:bookmarkStart w:id="1" w:name="_Ref481496437"/>
            <w:r w:rsidRPr="002D33BC">
              <w:rPr>
                <w:color w:val="auto"/>
              </w:rPr>
              <w:t xml:space="preserve">Additional </w:t>
            </w:r>
            <w:r w:rsidR="00B16018">
              <w:rPr>
                <w:color w:val="auto"/>
              </w:rPr>
              <w:t>matters</w:t>
            </w:r>
            <w:r w:rsidR="00573D2B">
              <w:rPr>
                <w:color w:val="auto"/>
              </w:rPr>
              <w:t xml:space="preserve"> to be </w:t>
            </w:r>
            <w:r w:rsidRPr="002D33BC">
              <w:rPr>
                <w:color w:val="auto"/>
              </w:rPr>
              <w:t>report</w:t>
            </w:r>
            <w:r w:rsidR="00B16018">
              <w:rPr>
                <w:color w:val="auto"/>
              </w:rPr>
              <w:t xml:space="preserve">ed to </w:t>
            </w:r>
            <w:r w:rsidR="00573D2B">
              <w:rPr>
                <w:color w:val="auto"/>
              </w:rPr>
              <w:t>the SA Department of Human Services</w:t>
            </w:r>
            <w:r w:rsidR="00A42747">
              <w:rPr>
                <w:color w:val="auto"/>
              </w:rPr>
              <w:t>:</w:t>
            </w:r>
          </w:p>
          <w:p w14:paraId="4C4D3F60" w14:textId="77777777" w:rsidR="005D72B6" w:rsidRPr="002D33BC" w:rsidRDefault="005D72B6" w:rsidP="00A42747">
            <w:pPr>
              <w:pStyle w:val="Bullet1"/>
              <w:cnfStyle w:val="000000100000" w:firstRow="0" w:lastRow="0" w:firstColumn="0" w:lastColumn="0" w:oddVBand="0" w:evenVBand="0" w:oddHBand="1" w:evenHBand="0" w:firstRowFirstColumn="0" w:firstRowLastColumn="0" w:lastRowFirstColumn="0" w:lastRowLastColumn="0"/>
              <w:rPr>
                <w:color w:val="auto"/>
              </w:rPr>
            </w:pPr>
            <w:r w:rsidRPr="002D33BC">
              <w:rPr>
                <w:color w:val="auto"/>
              </w:rPr>
              <w:t xml:space="preserve">the death of a </w:t>
            </w:r>
            <w:r w:rsidR="002F65AE" w:rsidRPr="002D33BC">
              <w:rPr>
                <w:color w:val="auto"/>
              </w:rPr>
              <w:t>customer/client</w:t>
            </w:r>
            <w:r w:rsidR="00A42747">
              <w:rPr>
                <w:color w:val="auto"/>
              </w:rPr>
              <w:t>;</w:t>
            </w:r>
          </w:p>
          <w:p w14:paraId="4A852F60" w14:textId="77777777" w:rsidR="005D72B6" w:rsidRPr="002D33BC" w:rsidRDefault="005D72B6" w:rsidP="00A42747">
            <w:pPr>
              <w:pStyle w:val="Bullet1"/>
              <w:cnfStyle w:val="000000100000" w:firstRow="0" w:lastRow="0" w:firstColumn="0" w:lastColumn="0" w:oddVBand="0" w:evenVBand="0" w:oddHBand="1" w:evenHBand="0" w:firstRowFirstColumn="0" w:firstRowLastColumn="0" w:lastRowFirstColumn="0" w:lastRowLastColumn="0"/>
              <w:rPr>
                <w:color w:val="auto"/>
              </w:rPr>
            </w:pPr>
            <w:r w:rsidRPr="002D33BC">
              <w:rPr>
                <w:color w:val="auto"/>
              </w:rPr>
              <w:t>any staff being convicted, charged or reported for a summary offence or an indictable offence</w:t>
            </w:r>
            <w:bookmarkEnd w:id="1"/>
            <w:r w:rsidR="00A42747">
              <w:rPr>
                <w:color w:val="auto"/>
              </w:rPr>
              <w:t>; and</w:t>
            </w:r>
          </w:p>
          <w:p w14:paraId="7277461F" w14:textId="77777777" w:rsidR="005D72B6" w:rsidRPr="002D33BC" w:rsidRDefault="005D72B6" w:rsidP="00A42747">
            <w:pPr>
              <w:pStyle w:val="Bullet1"/>
              <w:cnfStyle w:val="000000100000" w:firstRow="0" w:lastRow="0" w:firstColumn="0" w:lastColumn="0" w:oddVBand="0" w:evenVBand="0" w:oddHBand="1" w:evenHBand="0" w:firstRowFirstColumn="0" w:firstRowLastColumn="0" w:lastRowFirstColumn="0" w:lastRowLastColumn="0"/>
              <w:rPr>
                <w:color w:val="auto"/>
              </w:rPr>
            </w:pPr>
            <w:bookmarkStart w:id="2" w:name="_Ref481496446"/>
            <w:r w:rsidRPr="002D33BC">
              <w:rPr>
                <w:color w:val="auto"/>
              </w:rPr>
              <w:t>any alleged misconduct by staff in connection with the services, or concerns about a staff’s suitability to work with people who are vulnerable, have a disability or are children</w:t>
            </w:r>
            <w:bookmarkEnd w:id="2"/>
            <w:r w:rsidR="00A42747">
              <w:rPr>
                <w:color w:val="auto"/>
              </w:rPr>
              <w:t>.</w:t>
            </w:r>
          </w:p>
          <w:p w14:paraId="64CA01B4" w14:textId="77777777" w:rsidR="00CA6F0A" w:rsidRPr="00A42747" w:rsidRDefault="00B16018" w:rsidP="00CA6F0A">
            <w:pPr>
              <w:tabs>
                <w:tab w:val="num" w:pos="2976"/>
              </w:tabs>
              <w:cnfStyle w:val="000000100000" w:firstRow="0" w:lastRow="0" w:firstColumn="0" w:lastColumn="0" w:oddVBand="0" w:evenVBand="0" w:oddHBand="1" w:evenHBand="0" w:firstRowFirstColumn="0" w:firstRowLastColumn="0" w:lastRowFirstColumn="0" w:lastRowLastColumn="0"/>
              <w:rPr>
                <w:b/>
                <w:color w:val="auto"/>
              </w:rPr>
            </w:pPr>
            <w:r w:rsidRPr="007C6E57">
              <w:rPr>
                <w:color w:val="auto"/>
              </w:rPr>
              <w:t xml:space="preserve">Additional </w:t>
            </w:r>
            <w:r w:rsidR="00CA6F0A" w:rsidRPr="007C6E57">
              <w:rPr>
                <w:color w:val="auto"/>
              </w:rPr>
              <w:t xml:space="preserve">reporting </w:t>
            </w:r>
            <w:r w:rsidRPr="00B16018">
              <w:rPr>
                <w:color w:val="auto"/>
              </w:rPr>
              <w:t>to other SA g</w:t>
            </w:r>
            <w:r w:rsidRPr="007C6E57">
              <w:rPr>
                <w:color w:val="auto"/>
              </w:rPr>
              <w:t>overnment authorities:</w:t>
            </w:r>
          </w:p>
          <w:p w14:paraId="34B04CB4" w14:textId="77777777" w:rsidR="00CA6F0A" w:rsidRPr="00A42747" w:rsidRDefault="00A42747" w:rsidP="00A42747">
            <w:pPr>
              <w:pStyle w:val="Bullet1"/>
              <w:cnfStyle w:val="000000100000" w:firstRow="0" w:lastRow="0" w:firstColumn="0" w:lastColumn="0" w:oddVBand="0" w:evenVBand="0" w:oddHBand="1" w:evenHBand="0" w:firstRowFirstColumn="0" w:firstRowLastColumn="0" w:lastRowFirstColumn="0" w:lastRowLastColumn="0"/>
              <w:rPr>
                <w:color w:val="auto"/>
              </w:rPr>
            </w:pPr>
            <w:r>
              <w:rPr>
                <w:color w:val="auto"/>
              </w:rPr>
              <w:t>W</w:t>
            </w:r>
            <w:r w:rsidR="00CA6F0A" w:rsidRPr="002D33BC">
              <w:rPr>
                <w:color w:val="auto"/>
              </w:rPr>
              <w:t>here a critical client incident or serious care concern may constitute a criminal offence or if police attendance is necessary to ensure the safety of those involved in the incident or restore order, the incident must immediately be reported to the South Australia Police (SAPOL).</w:t>
            </w:r>
          </w:p>
          <w:p w14:paraId="6A7B67F6" w14:textId="77777777" w:rsidR="00CA6F0A" w:rsidRPr="00A42747" w:rsidRDefault="00A42747" w:rsidP="00A42747">
            <w:pPr>
              <w:pStyle w:val="Bullet1"/>
              <w:cnfStyle w:val="000000100000" w:firstRow="0" w:lastRow="0" w:firstColumn="0" w:lastColumn="0" w:oddVBand="0" w:evenVBand="0" w:oddHBand="1" w:evenHBand="0" w:firstRowFirstColumn="0" w:firstRowLastColumn="0" w:lastRowFirstColumn="0" w:lastRowLastColumn="0"/>
              <w:rPr>
                <w:color w:val="auto"/>
              </w:rPr>
            </w:pPr>
            <w:r>
              <w:rPr>
                <w:color w:val="auto"/>
              </w:rPr>
              <w:t>A</w:t>
            </w:r>
            <w:r w:rsidR="00CA6F0A" w:rsidRPr="00A42747">
              <w:rPr>
                <w:color w:val="auto"/>
              </w:rPr>
              <w:t xml:space="preserve">ll mandatory reporting requirements under the </w:t>
            </w:r>
            <w:r w:rsidR="00CA6F0A" w:rsidRPr="00A15DC5">
              <w:rPr>
                <w:i/>
                <w:color w:val="auto"/>
              </w:rPr>
              <w:t>Children’s Protection Act 1993</w:t>
            </w:r>
            <w:r w:rsidR="00CA6F0A" w:rsidRPr="00A42747">
              <w:rPr>
                <w:color w:val="auto"/>
              </w:rPr>
              <w:t xml:space="preserve"> (SA)</w:t>
            </w:r>
            <w:r w:rsidR="00B16018">
              <w:rPr>
                <w:color w:val="auto"/>
              </w:rPr>
              <w:t xml:space="preserve"> must be met</w:t>
            </w:r>
            <w:r w:rsidR="00CA6F0A" w:rsidRPr="00A42747">
              <w:rPr>
                <w:color w:val="auto"/>
              </w:rPr>
              <w:t>, including those identified in the Child-Safe Environments Reporting Child Abuse and Neglect: Guidelines</w:t>
            </w:r>
            <w:r w:rsidR="00CA6F0A" w:rsidRPr="002D33BC">
              <w:rPr>
                <w:color w:val="auto"/>
              </w:rPr>
              <w:t xml:space="preserve"> </w:t>
            </w:r>
            <w:r w:rsidR="00CA6F0A" w:rsidRPr="00A42747">
              <w:rPr>
                <w:color w:val="auto"/>
              </w:rPr>
              <w:t xml:space="preserve">for Mandated Notifiers, and any other such requirements </w:t>
            </w:r>
          </w:p>
          <w:p w14:paraId="1B5028A7" w14:textId="77777777" w:rsidR="002F27BF" w:rsidRPr="002D33BC" w:rsidRDefault="00A42747" w:rsidP="00A42747">
            <w:pPr>
              <w:pStyle w:val="Bullet1"/>
              <w:cnfStyle w:val="000000100000" w:firstRow="0" w:lastRow="0" w:firstColumn="0" w:lastColumn="0" w:oddVBand="0" w:evenVBand="0" w:oddHBand="1" w:evenHBand="0" w:firstRowFirstColumn="0" w:firstRowLastColumn="0" w:lastRowFirstColumn="0" w:lastRowLastColumn="0"/>
              <w:rPr>
                <w:bCs/>
                <w:color w:val="auto"/>
              </w:rPr>
            </w:pPr>
            <w:r>
              <w:rPr>
                <w:color w:val="auto"/>
              </w:rPr>
              <w:t>I</w:t>
            </w:r>
            <w:r w:rsidR="002F65AE" w:rsidRPr="00A42747">
              <w:rPr>
                <w:color w:val="auto"/>
              </w:rPr>
              <w:t xml:space="preserve">n accordance with </w:t>
            </w:r>
            <w:r w:rsidR="002F65AE" w:rsidRPr="00A15DC5">
              <w:rPr>
                <w:color w:val="auto"/>
              </w:rPr>
              <w:t>the</w:t>
            </w:r>
            <w:r w:rsidR="002F65AE" w:rsidRPr="00A42747">
              <w:rPr>
                <w:i/>
                <w:color w:val="auto"/>
              </w:rPr>
              <w:t xml:space="preserve"> Coroners Act 2003</w:t>
            </w:r>
            <w:r w:rsidR="00B16018" w:rsidRPr="00A15DC5">
              <w:rPr>
                <w:color w:val="auto"/>
              </w:rPr>
              <w:t xml:space="preserve"> (SA)</w:t>
            </w:r>
            <w:r w:rsidR="002F65AE" w:rsidRPr="00A42747">
              <w:rPr>
                <w:color w:val="auto"/>
              </w:rPr>
              <w:t xml:space="preserve">, </w:t>
            </w:r>
            <w:r w:rsidR="00B16018">
              <w:rPr>
                <w:color w:val="auto"/>
              </w:rPr>
              <w:t xml:space="preserve">there must be </w:t>
            </w:r>
            <w:r w:rsidR="002F65AE" w:rsidRPr="00A42747">
              <w:rPr>
                <w:color w:val="auto"/>
              </w:rPr>
              <w:t>immediate notif</w:t>
            </w:r>
            <w:r w:rsidR="00B16018">
              <w:rPr>
                <w:color w:val="auto"/>
              </w:rPr>
              <w:t>ication of</w:t>
            </w:r>
            <w:r w:rsidR="002F65AE" w:rsidRPr="00A42747">
              <w:rPr>
                <w:color w:val="auto"/>
              </w:rPr>
              <w:t xml:space="preserve"> </w:t>
            </w:r>
            <w:r w:rsidR="00CA6F0A" w:rsidRPr="00A42747">
              <w:rPr>
                <w:color w:val="auto"/>
              </w:rPr>
              <w:t xml:space="preserve">SAPOL or the State Coroner of the death of a </w:t>
            </w:r>
            <w:r w:rsidR="002F65AE" w:rsidRPr="00A42747">
              <w:rPr>
                <w:color w:val="auto"/>
              </w:rPr>
              <w:t>customer/client,</w:t>
            </w:r>
            <w:r w:rsidR="00CA6F0A" w:rsidRPr="00A42747">
              <w:rPr>
                <w:color w:val="auto"/>
              </w:rPr>
              <w:t xml:space="preserve"> after </w:t>
            </w:r>
            <w:r w:rsidR="002F65AE" w:rsidRPr="00A42747">
              <w:rPr>
                <w:color w:val="auto"/>
              </w:rPr>
              <w:t>becoming aware</w:t>
            </w:r>
            <w:r w:rsidR="00CA6F0A" w:rsidRPr="00A42747">
              <w:rPr>
                <w:color w:val="auto"/>
              </w:rPr>
              <w:t xml:space="preserve"> that it is, or may be, a reportable death. This </w:t>
            </w:r>
            <w:r w:rsidR="00CA6F0A" w:rsidRPr="00A42747">
              <w:rPr>
                <w:color w:val="auto"/>
              </w:rPr>
              <w:lastRenderedPageBreak/>
              <w:t>notification is not necessary if the person believes on reasonable grounds that the death has already been reported.</w:t>
            </w:r>
            <w:r w:rsidR="00CA6F0A" w:rsidRPr="002D33BC">
              <w:rPr>
                <w:color w:val="auto"/>
                <w:lang w:val="en"/>
              </w:rPr>
              <w:t xml:space="preserve"> </w:t>
            </w:r>
          </w:p>
        </w:tc>
        <w:tc>
          <w:tcPr>
            <w:tcW w:w="2156" w:type="pct"/>
            <w:tcBorders>
              <w:left w:val="single" w:sz="4" w:space="0" w:color="962C8B" w:themeColor="accent2"/>
            </w:tcBorders>
          </w:tcPr>
          <w:p w14:paraId="6D3451CD" w14:textId="77777777" w:rsidR="00A933E9" w:rsidRPr="00A42747" w:rsidRDefault="002F27BF" w:rsidP="00A42747">
            <w:pPr>
              <w:suppressAutoHyphens w:val="0"/>
              <w:spacing w:line="276" w:lineRule="auto"/>
              <w:cnfStyle w:val="000000100000" w:firstRow="0" w:lastRow="0" w:firstColumn="0" w:lastColumn="0" w:oddVBand="0" w:evenVBand="0" w:oddHBand="1" w:evenHBand="0" w:firstRowFirstColumn="0" w:firstRowLastColumn="0" w:lastRowFirstColumn="0" w:lastRowLastColumn="0"/>
              <w:rPr>
                <w:color w:val="auto"/>
              </w:rPr>
            </w:pPr>
            <w:r w:rsidRPr="002D33BC">
              <w:rPr>
                <w:color w:val="auto"/>
              </w:rPr>
              <w:lastRenderedPageBreak/>
              <w:t xml:space="preserve">Where a </w:t>
            </w:r>
            <w:r w:rsidR="00965A95" w:rsidRPr="002D33BC">
              <w:rPr>
                <w:color w:val="auto"/>
              </w:rPr>
              <w:t xml:space="preserve">reportable incident </w:t>
            </w:r>
            <w:r w:rsidRPr="002D33BC">
              <w:rPr>
                <w:color w:val="auto"/>
              </w:rPr>
              <w:t xml:space="preserve">may constitute a criminal offence or if police attendance is necessary to ensure the safety of those involved in the incident, the incident must immediately be reported to the South Australia Police (SAPOL). </w:t>
            </w:r>
          </w:p>
        </w:tc>
      </w:tr>
      <w:tr w:rsidR="00521B70" w14:paraId="0C80F199" w14:textId="77777777" w:rsidTr="0061765A">
        <w:trPr>
          <w:trHeight w:val="4536"/>
        </w:trPr>
        <w:tc>
          <w:tcPr>
            <w:cnfStyle w:val="001000000000" w:firstRow="0" w:lastRow="0" w:firstColumn="1" w:lastColumn="0" w:oddVBand="0" w:evenVBand="0" w:oddHBand="0" w:evenHBand="0" w:firstRowFirstColumn="0" w:firstRowLastColumn="0" w:lastRowFirstColumn="0" w:lastRowLastColumn="0"/>
            <w:tcW w:w="862" w:type="pct"/>
            <w:tcBorders>
              <w:right w:val="single" w:sz="4" w:space="0" w:color="962C8B" w:themeColor="accent2"/>
            </w:tcBorders>
          </w:tcPr>
          <w:p w14:paraId="42C94026" w14:textId="77777777" w:rsidR="00521B70" w:rsidRPr="002D33BC" w:rsidRDefault="00521B70" w:rsidP="00B53DC1">
            <w:pPr>
              <w:rPr>
                <w:color w:val="auto"/>
              </w:rPr>
            </w:pPr>
            <w:r w:rsidRPr="002D33BC">
              <w:rPr>
                <w:color w:val="auto"/>
              </w:rPr>
              <w:t>Record Keeping</w:t>
            </w:r>
          </w:p>
        </w:tc>
        <w:tc>
          <w:tcPr>
            <w:tcW w:w="1981" w:type="pct"/>
            <w:tcBorders>
              <w:left w:val="single" w:sz="4" w:space="0" w:color="962C8B" w:themeColor="accent2"/>
              <w:right w:val="single" w:sz="4" w:space="0" w:color="962C8B" w:themeColor="accent2"/>
            </w:tcBorders>
          </w:tcPr>
          <w:p w14:paraId="3DAEC892" w14:textId="77777777" w:rsidR="008878E3" w:rsidRPr="002D33BC" w:rsidRDefault="008878E3" w:rsidP="008878E3">
            <w:pPr>
              <w:tabs>
                <w:tab w:val="num" w:pos="2976"/>
              </w:tabs>
              <w:cnfStyle w:val="000000000000" w:firstRow="0" w:lastRow="0" w:firstColumn="0" w:lastColumn="0" w:oddVBand="0" w:evenVBand="0" w:oddHBand="0" w:evenHBand="0" w:firstRowFirstColumn="0" w:firstRowLastColumn="0" w:lastRowFirstColumn="0" w:lastRowLastColumn="0"/>
              <w:rPr>
                <w:color w:val="auto"/>
              </w:rPr>
            </w:pPr>
            <w:bookmarkStart w:id="3" w:name="_Ref481496620"/>
            <w:r w:rsidRPr="002D33BC">
              <w:rPr>
                <w:color w:val="auto"/>
              </w:rPr>
              <w:t>A DSPP provider is required to</w:t>
            </w:r>
            <w:r w:rsidR="00A42747">
              <w:rPr>
                <w:color w:val="auto"/>
              </w:rPr>
              <w:t>:</w:t>
            </w:r>
            <w:r w:rsidRPr="002D33BC">
              <w:rPr>
                <w:color w:val="auto"/>
              </w:rPr>
              <w:t xml:space="preserve"> </w:t>
            </w:r>
          </w:p>
          <w:p w14:paraId="75516FEA" w14:textId="77777777" w:rsidR="008878E3" w:rsidRPr="002D33BC" w:rsidRDefault="008878E3" w:rsidP="00A42747">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accurately record, update and maintain a register or registers, recording the occurrence and details of all customer/client deaths, critical client incidents, serious care concerns, incidents and complaints</w:t>
            </w:r>
            <w:bookmarkEnd w:id="3"/>
            <w:r w:rsidR="00A42747">
              <w:rPr>
                <w:color w:val="auto"/>
              </w:rPr>
              <w:t>; and</w:t>
            </w:r>
          </w:p>
          <w:p w14:paraId="503F4CE8" w14:textId="77777777" w:rsidR="008878E3" w:rsidRPr="002D33BC" w:rsidRDefault="008878E3" w:rsidP="00A42747">
            <w:pPr>
              <w:pStyle w:val="Bullet1"/>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ensure that copies of all correspondence and other information received or created by the service provider and staff are kept for at least 7 years (or as otherwise required by Law) and in a form reasonably accessible</w:t>
            </w:r>
            <w:r w:rsidR="00A42747">
              <w:rPr>
                <w:color w:val="auto"/>
              </w:rPr>
              <w:t>.</w:t>
            </w:r>
            <w:r w:rsidRPr="002D33BC">
              <w:rPr>
                <w:color w:val="auto"/>
              </w:rPr>
              <w:t xml:space="preserve">  </w:t>
            </w:r>
          </w:p>
          <w:p w14:paraId="27764583" w14:textId="77777777" w:rsidR="00521B70" w:rsidRPr="002D33BC" w:rsidRDefault="00521B70" w:rsidP="006C18BE">
            <w:pPr>
              <w:cnfStyle w:val="000000000000" w:firstRow="0" w:lastRow="0" w:firstColumn="0" w:lastColumn="0" w:oddVBand="0" w:evenVBand="0" w:oddHBand="0" w:evenHBand="0" w:firstRowFirstColumn="0" w:firstRowLastColumn="0" w:lastRowFirstColumn="0" w:lastRowLastColumn="0"/>
              <w:rPr>
                <w:color w:val="auto"/>
              </w:rPr>
            </w:pPr>
          </w:p>
        </w:tc>
        <w:tc>
          <w:tcPr>
            <w:tcW w:w="2156" w:type="pct"/>
            <w:tcBorders>
              <w:left w:val="single" w:sz="4" w:space="0" w:color="962C8B" w:themeColor="accent2"/>
            </w:tcBorders>
          </w:tcPr>
          <w:p w14:paraId="7F557546" w14:textId="77777777" w:rsidR="00521B70" w:rsidRPr="002D33BC" w:rsidRDefault="00521B70" w:rsidP="003944F4">
            <w:pPr>
              <w:cnfStyle w:val="000000000000" w:firstRow="0" w:lastRow="0" w:firstColumn="0" w:lastColumn="0" w:oddVBand="0" w:evenVBand="0" w:oddHBand="0" w:evenHBand="0" w:firstRowFirstColumn="0" w:firstRowLastColumn="0" w:lastRowFirstColumn="0" w:lastRowLastColumn="0"/>
              <w:rPr>
                <w:color w:val="auto"/>
              </w:rPr>
            </w:pPr>
            <w:r w:rsidRPr="002D33BC">
              <w:rPr>
                <w:color w:val="auto"/>
              </w:rPr>
              <w:t xml:space="preserve">Registered NDIS providers must keep records of </w:t>
            </w:r>
            <w:r w:rsidR="003944F4">
              <w:rPr>
                <w:color w:val="auto"/>
              </w:rPr>
              <w:t>each</w:t>
            </w:r>
            <w:r w:rsidR="003944F4" w:rsidRPr="002D33BC">
              <w:rPr>
                <w:color w:val="auto"/>
              </w:rPr>
              <w:t xml:space="preserve"> </w:t>
            </w:r>
            <w:r w:rsidRPr="002D33BC">
              <w:rPr>
                <w:color w:val="auto"/>
              </w:rPr>
              <w:t>reportable incident that occur</w:t>
            </w:r>
            <w:r w:rsidR="003944F4">
              <w:rPr>
                <w:color w:val="auto"/>
              </w:rPr>
              <w:t>s</w:t>
            </w:r>
            <w:r w:rsidR="00B16018">
              <w:rPr>
                <w:color w:val="auto"/>
              </w:rPr>
              <w:t>,</w:t>
            </w:r>
            <w:r w:rsidRPr="002D33BC">
              <w:rPr>
                <w:color w:val="auto"/>
              </w:rPr>
              <w:t xml:space="preserve"> or </w:t>
            </w:r>
            <w:r w:rsidR="003944F4">
              <w:rPr>
                <w:color w:val="auto"/>
              </w:rPr>
              <w:t>is</w:t>
            </w:r>
            <w:r w:rsidR="003944F4" w:rsidRPr="002D33BC">
              <w:rPr>
                <w:color w:val="auto"/>
              </w:rPr>
              <w:t xml:space="preserve"> </w:t>
            </w:r>
            <w:r w:rsidRPr="002D33BC">
              <w:rPr>
                <w:color w:val="auto"/>
              </w:rPr>
              <w:t>alleged to have occurred</w:t>
            </w:r>
            <w:r w:rsidR="00B16018">
              <w:rPr>
                <w:color w:val="auto"/>
              </w:rPr>
              <w:t>,</w:t>
            </w:r>
            <w:r w:rsidRPr="002D33BC">
              <w:rPr>
                <w:color w:val="auto"/>
              </w:rPr>
              <w:t xml:space="preserve"> for a period of seven years from the date of notifying the NDIS Commission</w:t>
            </w:r>
            <w:r w:rsidR="003944F4">
              <w:rPr>
                <w:color w:val="auto"/>
              </w:rPr>
              <w:t xml:space="preserve"> of the incident</w:t>
            </w:r>
            <w:r w:rsidRPr="002D33BC">
              <w:rPr>
                <w:color w:val="auto"/>
              </w:rPr>
              <w:t>.</w:t>
            </w:r>
          </w:p>
        </w:tc>
      </w:tr>
    </w:tbl>
    <w:p w14:paraId="49C1351A" w14:textId="77777777" w:rsidR="00A933E9" w:rsidRDefault="006C18BE" w:rsidP="006C18BE">
      <w:r w:rsidRPr="006C18BE">
        <w:t xml:space="preserve">Where transition arrangements apply after 1 July 2018, the NDIS Commission </w:t>
      </w:r>
      <w:r w:rsidR="00FD32FA">
        <w:t xml:space="preserve">is </w:t>
      </w:r>
      <w:r w:rsidRPr="006C18BE">
        <w:t>work</w:t>
      </w:r>
      <w:r w:rsidR="00FD32FA">
        <w:t>ing</w:t>
      </w:r>
      <w:r w:rsidRPr="006C18BE">
        <w:t xml:space="preserve"> with </w:t>
      </w:r>
      <w:r w:rsidR="00FD32FA">
        <w:t xml:space="preserve">South Australia Government </w:t>
      </w:r>
      <w:r>
        <w:t xml:space="preserve">based agencies </w:t>
      </w:r>
      <w:r w:rsidRPr="006C18BE">
        <w:t>and regulatory bodies to manage reportable incidents</w:t>
      </w:r>
      <w:r w:rsidR="00FD32FA">
        <w:t>.</w:t>
      </w:r>
    </w:p>
    <w:p w14:paraId="141EFAF8" w14:textId="77777777" w:rsidR="007C72D6" w:rsidRPr="002D33BC" w:rsidRDefault="008878E3" w:rsidP="002D33BC">
      <w:r w:rsidRPr="002D33BC">
        <w:t>Department of Human Services state-based reporting requirements still apply for state customers/clients who are yet to receive services through the NDIS and while they continue to receive state funded services.</w:t>
      </w:r>
      <w:r w:rsidR="002D33BC">
        <w:t xml:space="preserve"> </w:t>
      </w:r>
      <w:r w:rsidR="00032F7D">
        <w:t xml:space="preserve"> </w:t>
      </w:r>
      <w:r w:rsidR="007C72D6" w:rsidRPr="002D33BC">
        <w:t xml:space="preserve">South Australia Government mandatory reporting requirements </w:t>
      </w:r>
      <w:r w:rsidR="002D33BC">
        <w:t>continue to apply</w:t>
      </w:r>
      <w:r w:rsidR="007C72D6" w:rsidRPr="002D33BC">
        <w:t xml:space="preserve">. </w:t>
      </w:r>
      <w:r w:rsidR="00032F7D">
        <w:t xml:space="preserve"> </w:t>
      </w:r>
      <w:r w:rsidR="007C72D6" w:rsidRPr="002D33BC">
        <w:t xml:space="preserve">This includes </w:t>
      </w:r>
      <w:r w:rsidR="007C72D6" w:rsidRPr="002D33BC">
        <w:rPr>
          <w:bCs/>
        </w:rPr>
        <w:t>reporting requirements under</w:t>
      </w:r>
      <w:r w:rsidR="002D33BC">
        <w:rPr>
          <w:bCs/>
        </w:rPr>
        <w:t>:</w:t>
      </w:r>
      <w:r w:rsidR="007C72D6" w:rsidRPr="002D33BC">
        <w:rPr>
          <w:bCs/>
        </w:rPr>
        <w:t xml:space="preserve"> </w:t>
      </w:r>
    </w:p>
    <w:p w14:paraId="038EAB61" w14:textId="77777777" w:rsidR="002D33BC" w:rsidRPr="002D33BC" w:rsidRDefault="007C72D6" w:rsidP="005A4CEE">
      <w:pPr>
        <w:pStyle w:val="Bullet1"/>
        <w:ind w:left="709"/>
        <w:rPr>
          <w:bCs/>
        </w:rPr>
      </w:pPr>
      <w:r w:rsidRPr="002D33BC">
        <w:rPr>
          <w:bCs/>
          <w:i/>
        </w:rPr>
        <w:t xml:space="preserve">Children’s Protection Act 1993 </w:t>
      </w:r>
      <w:r w:rsidRPr="002D33BC">
        <w:rPr>
          <w:bCs/>
        </w:rPr>
        <w:t>(SA)</w:t>
      </w:r>
      <w:r w:rsidR="002D33BC">
        <w:rPr>
          <w:bCs/>
        </w:rPr>
        <w:t>; and</w:t>
      </w:r>
    </w:p>
    <w:p w14:paraId="13514CF5" w14:textId="77777777" w:rsidR="007C72D6" w:rsidRPr="00032F7D" w:rsidRDefault="007C72D6" w:rsidP="005A4CEE">
      <w:pPr>
        <w:pStyle w:val="Bullet1"/>
        <w:ind w:left="709"/>
        <w:rPr>
          <w:bCs/>
        </w:rPr>
      </w:pPr>
      <w:r w:rsidRPr="005A4CEE">
        <w:rPr>
          <w:bCs/>
          <w:i/>
        </w:rPr>
        <w:t>Coroners</w:t>
      </w:r>
      <w:r w:rsidRPr="002D33BC">
        <w:rPr>
          <w:i/>
          <w:lang w:val="en"/>
        </w:rPr>
        <w:t xml:space="preserve"> Act 2003</w:t>
      </w:r>
      <w:r w:rsidR="002D33BC">
        <w:rPr>
          <w:i/>
          <w:lang w:val="en"/>
        </w:rPr>
        <w:t xml:space="preserve"> </w:t>
      </w:r>
      <w:r w:rsidR="002D33BC">
        <w:rPr>
          <w:lang w:val="en"/>
        </w:rPr>
        <w:t>(SA).</w:t>
      </w:r>
    </w:p>
    <w:p w14:paraId="310206A1" w14:textId="77777777" w:rsidR="00F24C80" w:rsidRDefault="00F24C80" w:rsidP="006C18BE">
      <w:pPr>
        <w:rPr>
          <w:rFonts w:asciiTheme="majorHAnsi" w:eastAsiaTheme="majorEastAsia" w:hAnsiTheme="majorHAnsi" w:cstheme="majorBidi"/>
          <w:b/>
          <w:color w:val="612C69"/>
          <w:sz w:val="40"/>
          <w:szCs w:val="40"/>
        </w:rPr>
      </w:pPr>
    </w:p>
    <w:p w14:paraId="35C52E19" w14:textId="77777777" w:rsidR="00700CBA" w:rsidRPr="006C18BE" w:rsidRDefault="00195660" w:rsidP="006C18BE">
      <w:pPr>
        <w:rPr>
          <w:rFonts w:asciiTheme="majorHAnsi" w:eastAsiaTheme="majorEastAsia" w:hAnsiTheme="majorHAnsi" w:cstheme="majorBidi"/>
          <w:b/>
          <w:color w:val="612C69"/>
          <w:sz w:val="40"/>
          <w:szCs w:val="40"/>
        </w:rPr>
      </w:pPr>
      <w:r w:rsidRPr="006C18BE">
        <w:rPr>
          <w:rFonts w:asciiTheme="majorHAnsi" w:eastAsiaTheme="majorEastAsia" w:hAnsiTheme="majorHAnsi" w:cstheme="majorBidi"/>
          <w:b/>
          <w:color w:val="612C69"/>
          <w:sz w:val="40"/>
          <w:szCs w:val="40"/>
        </w:rPr>
        <w:t>Find out more</w:t>
      </w:r>
    </w:p>
    <w:p w14:paraId="6886463A" w14:textId="77777777" w:rsidR="0098386A" w:rsidRDefault="006C18BE" w:rsidP="006C18BE">
      <w:r>
        <w:t>You can find more information and resources</w:t>
      </w:r>
      <w:r w:rsidR="00B7420B">
        <w:t xml:space="preserve"> </w:t>
      </w:r>
      <w:r>
        <w:t xml:space="preserve">on the NDIS Quality and Safeguards Commission website at </w:t>
      </w:r>
      <w:hyperlink r:id="rId10" w:tooltip="NDIS Commission Website " w:history="1">
        <w:r w:rsidRPr="00443DA7">
          <w:rPr>
            <w:rStyle w:val="Hyperlink"/>
          </w:rPr>
          <w:t>www.ndiscommission.gov.au</w:t>
        </w:r>
      </w:hyperlink>
      <w:r>
        <w:t xml:space="preserve"> </w:t>
      </w:r>
    </w:p>
    <w:p w14:paraId="02411469" w14:textId="77777777" w:rsidR="00EB735A" w:rsidRDefault="006C18BE" w:rsidP="006C18BE">
      <w:r>
        <w:t xml:space="preserve">You can contact the NDIS Commission at </w:t>
      </w:r>
      <w:hyperlink r:id="rId11" w:history="1">
        <w:r w:rsidR="0098386A" w:rsidRPr="0098386A">
          <w:rPr>
            <w:rStyle w:val="Hyperlink"/>
          </w:rPr>
          <w:t>feedback@ndiscommission.gov.au</w:t>
        </w:r>
      </w:hyperlink>
      <w:r>
        <w:t xml:space="preserve"> or on 1800 035 544.</w:t>
      </w:r>
    </w:p>
    <w:p w14:paraId="15B8C4DB" w14:textId="77777777" w:rsidR="001B30C0" w:rsidRPr="00EB735A" w:rsidRDefault="001B30C0" w:rsidP="006C18BE"/>
    <w:sectPr w:rsidR="001B30C0" w:rsidRPr="00EB735A" w:rsidSect="00362AB6">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6B3CE" w14:textId="77777777" w:rsidR="00F805FF" w:rsidRDefault="00F805FF" w:rsidP="008E21DE">
      <w:pPr>
        <w:spacing w:before="0" w:after="0"/>
      </w:pPr>
      <w:r>
        <w:separator/>
      </w:r>
    </w:p>
  </w:endnote>
  <w:endnote w:type="continuationSeparator" w:id="0">
    <w:p w14:paraId="23545540" w14:textId="77777777" w:rsidR="00F805FF" w:rsidRDefault="00F805F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DC864" w14:textId="77777777" w:rsidR="0097352F" w:rsidRDefault="009735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A5DB" w14:textId="5963E25D" w:rsidR="00FD66D7" w:rsidRPr="00080615" w:rsidRDefault="00FD66D7" w:rsidP="00362AB6">
    <w:pPr>
      <w:pStyle w:val="Footer"/>
    </w:pPr>
    <w:r>
      <w:rPr>
        <w:b/>
        <w:bCs/>
        <w:noProof/>
        <w:lang w:eastAsia="en-AU"/>
      </w:rPr>
      <mc:AlternateContent>
        <mc:Choice Requires="wps">
          <w:drawing>
            <wp:inline distT="0" distB="0" distL="0" distR="0" wp14:anchorId="2A7851E5" wp14:editId="64EA7F9A">
              <wp:extent cx="5706737" cy="67501"/>
              <wp:effectExtent l="0" t="0" r="8890" b="8890"/>
              <wp:docPr id="8" name="Rectangle 8" descr="background" title="background"/>
              <wp:cNvGraphicFramePr/>
              <a:graphic xmlns:a="http://schemas.openxmlformats.org/drawingml/2006/main">
                <a:graphicData uri="http://schemas.microsoft.com/office/word/2010/wordprocessingShape">
                  <wps:wsp>
                    <wps:cNvSpPr/>
                    <wps:spPr>
                      <a:xfrm>
                        <a:off x="0" y="0"/>
                        <a:ext cx="5706737" cy="67501"/>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EE1E6D9" id="Rectangle 8" o:spid="_x0000_s1026" alt="Title: background - Description: background" style="width:449.35pt;height:5.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r w:rsidR="00A60009">
      <w:tab/>
    </w:r>
    <w:r w:rsidR="00A60009"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B6711B">
      <w:rPr>
        <w:noProof/>
      </w:rPr>
      <w:t>2</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55D38" w14:textId="7BB98CB7" w:rsidR="008E21DE" w:rsidRPr="00080615" w:rsidRDefault="00AA094B" w:rsidP="00080615">
    <w:pPr>
      <w:pStyle w:val="Footer"/>
    </w:pPr>
    <w:r>
      <w:rPr>
        <w:b/>
        <w:bCs/>
        <w:noProof/>
        <w:lang w:eastAsia="en-AU"/>
      </w:rPr>
      <mc:AlternateContent>
        <mc:Choice Requires="wps">
          <w:drawing>
            <wp:inline distT="0" distB="0" distL="0" distR="0" wp14:anchorId="10F251A8" wp14:editId="3B336316">
              <wp:extent cx="5706737" cy="89640"/>
              <wp:effectExtent l="0" t="0" r="8890" b="5715"/>
              <wp:docPr id="7" name="Rectangle 7" descr="background" title="background"/>
              <wp:cNvGraphicFramePr/>
              <a:graphic xmlns:a="http://schemas.openxmlformats.org/drawingml/2006/main">
                <a:graphicData uri="http://schemas.microsoft.com/office/word/2010/wordprocessingShape">
                  <wps:wsp>
                    <wps:cNvSpPr/>
                    <wps:spPr>
                      <a:xfrm>
                        <a:off x="0" y="0"/>
                        <a:ext cx="5706737"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8E13F13" id="Rectangle 7" o:spid="_x0000_s1026" alt="Title: background - Description: background" style="width:449.35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" fillcolor="#539250 [3207]" stroked="f" strokeweight="1pt">
              <v:fill color2="#83b14c [3208]" angle="90" colors="0 #539250;.5 #83b14c" focus="100%" type="gradient">
                <o:fill v:ext="view" type="gradientUnscaled"/>
              </v:fill>
              <w10:anchorlock/>
            </v:rect>
          </w:pict>
        </mc:Fallback>
      </mc:AlternateContent>
    </w:r>
    <w:r w:rsidR="004D4273">
      <w:rPr>
        <w:sz w:val="18"/>
        <w:szCs w:val="18"/>
      </w:rPr>
      <w:tab/>
    </w:r>
    <w:r w:rsidR="004D4273" w:rsidRPr="00362AB6">
      <w:rPr>
        <w:sz w:val="18"/>
        <w:szCs w:val="18"/>
      </w:rPr>
      <w:t>NDIS Quality and Safeguards Commission</w:t>
    </w:r>
    <w:r w:rsidR="004D4273">
      <w:tab/>
    </w:r>
    <w:r w:rsidR="004D4273">
      <w:fldChar w:fldCharType="begin"/>
    </w:r>
    <w:r w:rsidR="004D4273">
      <w:instrText xml:space="preserve"> PAGE   \* MERGEFORMAT </w:instrText>
    </w:r>
    <w:r w:rsidR="004D4273">
      <w:fldChar w:fldCharType="separate"/>
    </w:r>
    <w:r w:rsidR="00B6711B">
      <w:rPr>
        <w:noProof/>
      </w:rPr>
      <w:t>1</w:t>
    </w:r>
    <w:r w:rsidR="004D42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170093" w14:textId="77777777" w:rsidR="00F805FF" w:rsidRDefault="00F805FF" w:rsidP="008E21DE">
      <w:pPr>
        <w:spacing w:before="0" w:after="0"/>
      </w:pPr>
      <w:r>
        <w:separator/>
      </w:r>
    </w:p>
  </w:footnote>
  <w:footnote w:type="continuationSeparator" w:id="0">
    <w:p w14:paraId="4B8D6C56" w14:textId="77777777" w:rsidR="00F805FF" w:rsidRDefault="00F805FF"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5AA3E" w14:textId="77777777" w:rsidR="0097352F" w:rsidRDefault="00973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6E087" w14:textId="77777777" w:rsidR="00680A20" w:rsidRDefault="00362AB6">
    <w:pPr>
      <w:pStyle w:val="Header"/>
    </w:pPr>
    <w:r>
      <w:rPr>
        <w:b w:val="0"/>
        <w:bCs/>
        <w:noProof/>
        <w:lang w:eastAsia="en-AU"/>
      </w:rPr>
      <mc:AlternateContent>
        <mc:Choice Requires="wps">
          <w:drawing>
            <wp:inline distT="0" distB="0" distL="0" distR="0" wp14:anchorId="160B3D63" wp14:editId="483EC0D4">
              <wp:extent cx="5662670" cy="77118"/>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662670" cy="77118"/>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7E71AC" id="Rectangle 2" o:spid="_x0000_s1026" alt="Title: background - Description: background" style="width:445.9pt;height:6.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12212" w14:textId="77777777" w:rsidR="00FD66D7" w:rsidRDefault="00EE737C">
    <w:pPr>
      <w:pStyle w:val="Header"/>
    </w:pPr>
    <w:r>
      <w:rPr>
        <w:noProof/>
        <w:lang w:eastAsia="en-AU"/>
      </w:rPr>
      <w:drawing>
        <wp:inline distT="0" distB="0" distL="0" distR="0" wp14:anchorId="132E26BE" wp14:editId="6C90FACC">
          <wp:extent cx="3574415" cy="1404620"/>
          <wp:effectExtent l="0" t="0" r="6985" b="5080"/>
          <wp:docPr id="1" name="Picture 1" title="NDIS Quality and Safeguards Commission Logo with Commonwealth coat of Arm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7223F3C"/>
    <w:multiLevelType w:val="hybridMultilevel"/>
    <w:tmpl w:val="C2247A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C21063"/>
    <w:multiLevelType w:val="hybridMultilevel"/>
    <w:tmpl w:val="DF80B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8615703"/>
    <w:multiLevelType w:val="multilevel"/>
    <w:tmpl w:val="803CF862"/>
    <w:numStyleLink w:val="List1Numbered"/>
  </w:abstractNum>
  <w:abstractNum w:abstractNumId="10" w15:restartNumberingAfterBreak="0">
    <w:nsid w:val="6D4F423B"/>
    <w:multiLevelType w:val="multilevel"/>
    <w:tmpl w:val="4A7CCC2C"/>
    <w:numStyleLink w:val="DefaultBullets"/>
  </w:abstractNum>
  <w:abstractNum w:abstractNumId="11" w15:restartNumberingAfterBreak="0">
    <w:nsid w:val="6F555471"/>
    <w:multiLevelType w:val="hybridMultilevel"/>
    <w:tmpl w:val="96443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90B67C4"/>
    <w:multiLevelType w:val="multilevel"/>
    <w:tmpl w:val="FE688822"/>
    <w:numStyleLink w:val="BoxedBullets"/>
  </w:abstractNum>
  <w:num w:numId="1">
    <w:abstractNumId w:val="0"/>
  </w:num>
  <w:num w:numId="2">
    <w:abstractNumId w:val="7"/>
  </w:num>
  <w:num w:numId="3">
    <w:abstractNumId w:val="13"/>
  </w:num>
  <w:num w:numId="4">
    <w:abstractNumId w:val="6"/>
  </w:num>
  <w:num w:numId="5">
    <w:abstractNumId w:val="2"/>
  </w:num>
  <w:num w:numId="6">
    <w:abstractNumId w:val="1"/>
  </w:num>
  <w:num w:numId="7">
    <w:abstractNumId w:val="9"/>
  </w:num>
  <w:num w:numId="8">
    <w:abstractNumId w:val="8"/>
  </w:num>
  <w:num w:numId="9">
    <w:abstractNumId w:val="3"/>
  </w:num>
  <w:num w:numId="10">
    <w:abstractNumId w:val="12"/>
  </w:num>
  <w:num w:numId="11">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4"/>
  </w:num>
  <w:num w:numId="13">
    <w:abstractNumId w:val="11"/>
  </w:num>
  <w:num w:numId="14">
    <w:abstractNumId w:val="5"/>
  </w:num>
  <w:num w:numId="15">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6">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7">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8">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9">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0">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1">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2">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3">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24">
    <w:abstractNumId w:val="1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5A"/>
    <w:rsid w:val="00032F7D"/>
    <w:rsid w:val="00037E90"/>
    <w:rsid w:val="000423D1"/>
    <w:rsid w:val="000434F8"/>
    <w:rsid w:val="00070757"/>
    <w:rsid w:val="00080615"/>
    <w:rsid w:val="000942F0"/>
    <w:rsid w:val="000A30E0"/>
    <w:rsid w:val="000B6A4F"/>
    <w:rsid w:val="000C252F"/>
    <w:rsid w:val="000C6B46"/>
    <w:rsid w:val="000D2A4F"/>
    <w:rsid w:val="000D6CE5"/>
    <w:rsid w:val="000E1FAA"/>
    <w:rsid w:val="000E535C"/>
    <w:rsid w:val="000F3A54"/>
    <w:rsid w:val="000F48FC"/>
    <w:rsid w:val="00114F6F"/>
    <w:rsid w:val="0011767A"/>
    <w:rsid w:val="001214A7"/>
    <w:rsid w:val="001474E5"/>
    <w:rsid w:val="00157EFD"/>
    <w:rsid w:val="001752E9"/>
    <w:rsid w:val="00195660"/>
    <w:rsid w:val="001A24DD"/>
    <w:rsid w:val="001B30C0"/>
    <w:rsid w:val="001C6FAC"/>
    <w:rsid w:val="001D4438"/>
    <w:rsid w:val="001F5657"/>
    <w:rsid w:val="001F6C40"/>
    <w:rsid w:val="00201052"/>
    <w:rsid w:val="00201DFE"/>
    <w:rsid w:val="0020557A"/>
    <w:rsid w:val="00215D3F"/>
    <w:rsid w:val="002177A8"/>
    <w:rsid w:val="00223B2E"/>
    <w:rsid w:val="00224744"/>
    <w:rsid w:val="00226BB1"/>
    <w:rsid w:val="00226BCC"/>
    <w:rsid w:val="00231AAC"/>
    <w:rsid w:val="002348A7"/>
    <w:rsid w:val="00237CF6"/>
    <w:rsid w:val="0024552B"/>
    <w:rsid w:val="002469A7"/>
    <w:rsid w:val="00253E25"/>
    <w:rsid w:val="002554E3"/>
    <w:rsid w:val="00263525"/>
    <w:rsid w:val="00266DB9"/>
    <w:rsid w:val="00273C30"/>
    <w:rsid w:val="002804D3"/>
    <w:rsid w:val="002A1A14"/>
    <w:rsid w:val="002B307A"/>
    <w:rsid w:val="002B70AB"/>
    <w:rsid w:val="002C28BB"/>
    <w:rsid w:val="002C3308"/>
    <w:rsid w:val="002D0727"/>
    <w:rsid w:val="002D33BC"/>
    <w:rsid w:val="002D4AF5"/>
    <w:rsid w:val="002E2036"/>
    <w:rsid w:val="002F27BF"/>
    <w:rsid w:val="002F65AE"/>
    <w:rsid w:val="002F7209"/>
    <w:rsid w:val="00300DF2"/>
    <w:rsid w:val="003209EE"/>
    <w:rsid w:val="003449A0"/>
    <w:rsid w:val="003531D1"/>
    <w:rsid w:val="0035568E"/>
    <w:rsid w:val="00362AB6"/>
    <w:rsid w:val="0038000F"/>
    <w:rsid w:val="00381583"/>
    <w:rsid w:val="00385679"/>
    <w:rsid w:val="003944F4"/>
    <w:rsid w:val="003A1184"/>
    <w:rsid w:val="003A3630"/>
    <w:rsid w:val="003A7E5A"/>
    <w:rsid w:val="003B585B"/>
    <w:rsid w:val="003B5EC9"/>
    <w:rsid w:val="003D6956"/>
    <w:rsid w:val="003F29B8"/>
    <w:rsid w:val="00412465"/>
    <w:rsid w:val="004154E2"/>
    <w:rsid w:val="004175E0"/>
    <w:rsid w:val="004219D2"/>
    <w:rsid w:val="00433BC3"/>
    <w:rsid w:val="00440572"/>
    <w:rsid w:val="004413E3"/>
    <w:rsid w:val="00453926"/>
    <w:rsid w:val="00467E61"/>
    <w:rsid w:val="00480B41"/>
    <w:rsid w:val="0048162F"/>
    <w:rsid w:val="004840C8"/>
    <w:rsid w:val="00493619"/>
    <w:rsid w:val="004959C1"/>
    <w:rsid w:val="004A5454"/>
    <w:rsid w:val="004B02F0"/>
    <w:rsid w:val="004C0310"/>
    <w:rsid w:val="004C2393"/>
    <w:rsid w:val="004C32CD"/>
    <w:rsid w:val="004D0DAA"/>
    <w:rsid w:val="004D4273"/>
    <w:rsid w:val="004D457B"/>
    <w:rsid w:val="004E6603"/>
    <w:rsid w:val="004E790E"/>
    <w:rsid w:val="004F06D6"/>
    <w:rsid w:val="005063FE"/>
    <w:rsid w:val="00521A62"/>
    <w:rsid w:val="00521B70"/>
    <w:rsid w:val="00534D53"/>
    <w:rsid w:val="005438EA"/>
    <w:rsid w:val="00546872"/>
    <w:rsid w:val="005550D3"/>
    <w:rsid w:val="00573D2B"/>
    <w:rsid w:val="0058257A"/>
    <w:rsid w:val="00583305"/>
    <w:rsid w:val="005971A3"/>
    <w:rsid w:val="005A4CEE"/>
    <w:rsid w:val="005B1357"/>
    <w:rsid w:val="005B2681"/>
    <w:rsid w:val="005B38CE"/>
    <w:rsid w:val="005B6568"/>
    <w:rsid w:val="005B6A9B"/>
    <w:rsid w:val="005B70B3"/>
    <w:rsid w:val="005C45E7"/>
    <w:rsid w:val="005C4A27"/>
    <w:rsid w:val="005D3428"/>
    <w:rsid w:val="005D72B6"/>
    <w:rsid w:val="005E12FF"/>
    <w:rsid w:val="005F0677"/>
    <w:rsid w:val="00600CFB"/>
    <w:rsid w:val="00604540"/>
    <w:rsid w:val="00605A1E"/>
    <w:rsid w:val="0061765A"/>
    <w:rsid w:val="00623E95"/>
    <w:rsid w:val="00631185"/>
    <w:rsid w:val="006517C7"/>
    <w:rsid w:val="00672A69"/>
    <w:rsid w:val="0068077D"/>
    <w:rsid w:val="00680A20"/>
    <w:rsid w:val="00680F04"/>
    <w:rsid w:val="006B605B"/>
    <w:rsid w:val="006B69F4"/>
    <w:rsid w:val="006C18BE"/>
    <w:rsid w:val="006E0958"/>
    <w:rsid w:val="006F4004"/>
    <w:rsid w:val="006F690E"/>
    <w:rsid w:val="00700CBA"/>
    <w:rsid w:val="007145A6"/>
    <w:rsid w:val="007358F8"/>
    <w:rsid w:val="00742B2C"/>
    <w:rsid w:val="00747F6D"/>
    <w:rsid w:val="00762913"/>
    <w:rsid w:val="00767511"/>
    <w:rsid w:val="0077028C"/>
    <w:rsid w:val="00777D3D"/>
    <w:rsid w:val="0078247A"/>
    <w:rsid w:val="00784694"/>
    <w:rsid w:val="007A1124"/>
    <w:rsid w:val="007B65D9"/>
    <w:rsid w:val="007C5000"/>
    <w:rsid w:val="007C6E57"/>
    <w:rsid w:val="007C72D6"/>
    <w:rsid w:val="007D667B"/>
    <w:rsid w:val="007F01A2"/>
    <w:rsid w:val="007F3684"/>
    <w:rsid w:val="007F387B"/>
    <w:rsid w:val="00820BA8"/>
    <w:rsid w:val="00820EFA"/>
    <w:rsid w:val="008460E3"/>
    <w:rsid w:val="00852D7D"/>
    <w:rsid w:val="00854E20"/>
    <w:rsid w:val="00885862"/>
    <w:rsid w:val="008878E3"/>
    <w:rsid w:val="0089582E"/>
    <w:rsid w:val="008A40D0"/>
    <w:rsid w:val="008A649A"/>
    <w:rsid w:val="008C0865"/>
    <w:rsid w:val="008C18CD"/>
    <w:rsid w:val="008C4A6D"/>
    <w:rsid w:val="008E1651"/>
    <w:rsid w:val="008E21DE"/>
    <w:rsid w:val="008E329A"/>
    <w:rsid w:val="008F083E"/>
    <w:rsid w:val="008F196B"/>
    <w:rsid w:val="008F775A"/>
    <w:rsid w:val="00901F30"/>
    <w:rsid w:val="0091007D"/>
    <w:rsid w:val="009102D2"/>
    <w:rsid w:val="009161BD"/>
    <w:rsid w:val="00925D1C"/>
    <w:rsid w:val="0092679E"/>
    <w:rsid w:val="00935777"/>
    <w:rsid w:val="00936311"/>
    <w:rsid w:val="00940B70"/>
    <w:rsid w:val="00965A95"/>
    <w:rsid w:val="009710F2"/>
    <w:rsid w:val="0097352F"/>
    <w:rsid w:val="00973A58"/>
    <w:rsid w:val="00981F0E"/>
    <w:rsid w:val="0098386A"/>
    <w:rsid w:val="009947D7"/>
    <w:rsid w:val="009C5A80"/>
    <w:rsid w:val="009D6783"/>
    <w:rsid w:val="009F291E"/>
    <w:rsid w:val="00A07E4A"/>
    <w:rsid w:val="00A1146F"/>
    <w:rsid w:val="00A11789"/>
    <w:rsid w:val="00A149A0"/>
    <w:rsid w:val="00A15DC5"/>
    <w:rsid w:val="00A26A58"/>
    <w:rsid w:val="00A27E34"/>
    <w:rsid w:val="00A42747"/>
    <w:rsid w:val="00A5649B"/>
    <w:rsid w:val="00A60009"/>
    <w:rsid w:val="00A87007"/>
    <w:rsid w:val="00A933E9"/>
    <w:rsid w:val="00A96249"/>
    <w:rsid w:val="00AA094B"/>
    <w:rsid w:val="00AA0CCA"/>
    <w:rsid w:val="00AB12D5"/>
    <w:rsid w:val="00AB772C"/>
    <w:rsid w:val="00AD48B9"/>
    <w:rsid w:val="00AD735D"/>
    <w:rsid w:val="00AF0899"/>
    <w:rsid w:val="00B12C7B"/>
    <w:rsid w:val="00B1313B"/>
    <w:rsid w:val="00B14A7E"/>
    <w:rsid w:val="00B16018"/>
    <w:rsid w:val="00B227C5"/>
    <w:rsid w:val="00B22851"/>
    <w:rsid w:val="00B228F5"/>
    <w:rsid w:val="00B23D68"/>
    <w:rsid w:val="00B26BDE"/>
    <w:rsid w:val="00B4130D"/>
    <w:rsid w:val="00B53DC1"/>
    <w:rsid w:val="00B603C0"/>
    <w:rsid w:val="00B6711B"/>
    <w:rsid w:val="00B72794"/>
    <w:rsid w:val="00B7420B"/>
    <w:rsid w:val="00B83AB4"/>
    <w:rsid w:val="00BA3416"/>
    <w:rsid w:val="00BA6C5B"/>
    <w:rsid w:val="00BC2D67"/>
    <w:rsid w:val="00BC4C29"/>
    <w:rsid w:val="00BD3B60"/>
    <w:rsid w:val="00BE1D59"/>
    <w:rsid w:val="00BF1217"/>
    <w:rsid w:val="00BF3C6D"/>
    <w:rsid w:val="00BF77FB"/>
    <w:rsid w:val="00C0421C"/>
    <w:rsid w:val="00C10202"/>
    <w:rsid w:val="00C127D1"/>
    <w:rsid w:val="00C21944"/>
    <w:rsid w:val="00C2440A"/>
    <w:rsid w:val="00C24535"/>
    <w:rsid w:val="00C27B3D"/>
    <w:rsid w:val="00C44C9D"/>
    <w:rsid w:val="00C52C59"/>
    <w:rsid w:val="00C6531F"/>
    <w:rsid w:val="00C74135"/>
    <w:rsid w:val="00C77057"/>
    <w:rsid w:val="00C90DF2"/>
    <w:rsid w:val="00C92F66"/>
    <w:rsid w:val="00CA4FC6"/>
    <w:rsid w:val="00CA6F0A"/>
    <w:rsid w:val="00CB5855"/>
    <w:rsid w:val="00CC1C73"/>
    <w:rsid w:val="00CD0037"/>
    <w:rsid w:val="00CF1E1D"/>
    <w:rsid w:val="00D10A7B"/>
    <w:rsid w:val="00D20962"/>
    <w:rsid w:val="00D212D8"/>
    <w:rsid w:val="00D244B1"/>
    <w:rsid w:val="00D26259"/>
    <w:rsid w:val="00D27C50"/>
    <w:rsid w:val="00D30949"/>
    <w:rsid w:val="00D317F6"/>
    <w:rsid w:val="00D32AB1"/>
    <w:rsid w:val="00D612E1"/>
    <w:rsid w:val="00D7484A"/>
    <w:rsid w:val="00D74E8D"/>
    <w:rsid w:val="00D8421D"/>
    <w:rsid w:val="00D856C7"/>
    <w:rsid w:val="00D92C56"/>
    <w:rsid w:val="00D96A1A"/>
    <w:rsid w:val="00DB4320"/>
    <w:rsid w:val="00DC55D6"/>
    <w:rsid w:val="00DD068E"/>
    <w:rsid w:val="00DE1E8E"/>
    <w:rsid w:val="00DE2948"/>
    <w:rsid w:val="00DF74BA"/>
    <w:rsid w:val="00E02D43"/>
    <w:rsid w:val="00E15F50"/>
    <w:rsid w:val="00E20190"/>
    <w:rsid w:val="00E256FB"/>
    <w:rsid w:val="00E260AC"/>
    <w:rsid w:val="00E36FFD"/>
    <w:rsid w:val="00E4755C"/>
    <w:rsid w:val="00EA520B"/>
    <w:rsid w:val="00EB407F"/>
    <w:rsid w:val="00EB735A"/>
    <w:rsid w:val="00ED0A81"/>
    <w:rsid w:val="00ED4987"/>
    <w:rsid w:val="00EE5A26"/>
    <w:rsid w:val="00EE737C"/>
    <w:rsid w:val="00EE75C5"/>
    <w:rsid w:val="00EF617C"/>
    <w:rsid w:val="00F109F8"/>
    <w:rsid w:val="00F13578"/>
    <w:rsid w:val="00F15A1F"/>
    <w:rsid w:val="00F22170"/>
    <w:rsid w:val="00F24C80"/>
    <w:rsid w:val="00F431D8"/>
    <w:rsid w:val="00F43A9E"/>
    <w:rsid w:val="00F475D9"/>
    <w:rsid w:val="00F64898"/>
    <w:rsid w:val="00F805FF"/>
    <w:rsid w:val="00F86380"/>
    <w:rsid w:val="00F929E9"/>
    <w:rsid w:val="00F9318C"/>
    <w:rsid w:val="00F933A8"/>
    <w:rsid w:val="00F9504B"/>
    <w:rsid w:val="00FA34FA"/>
    <w:rsid w:val="00FA3796"/>
    <w:rsid w:val="00FA6BB0"/>
    <w:rsid w:val="00FA72C7"/>
    <w:rsid w:val="00FC5EC4"/>
    <w:rsid w:val="00FD32FA"/>
    <w:rsid w:val="00FD66D7"/>
    <w:rsid w:val="00FE0496"/>
    <w:rsid w:val="00FE707C"/>
    <w:rsid w:val="00FF0C2D"/>
    <w:rsid w:val="00FF31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B33100"/>
  <w15:docId w15:val="{BEF514AB-6E4D-4E3D-9C8B-8472690F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3"/>
    <w:lsdException w:name="Subtle Reference" w:uiPriority="33" w:qFormat="1"/>
    <w:lsdException w:name="Intense Reference"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4"/>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DF74BA"/>
    <w:pPr>
      <w:numPr>
        <w:numId w:val="10"/>
      </w:numPr>
    </w:pPr>
  </w:style>
  <w:style w:type="table" w:customStyle="1" w:styleId="ListTable3-Accent21">
    <w:name w:val="List Table 3 - Accent 21"/>
    <w:basedOn w:val="TableNormal"/>
    <w:uiPriority w:val="48"/>
    <w:rsid w:val="00EB735A"/>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ListTable4-Accent21">
    <w:name w:val="List Table 4 - Accent 21"/>
    <w:basedOn w:val="TableNormal"/>
    <w:uiPriority w:val="49"/>
    <w:rsid w:val="00EB735A"/>
    <w:pPr>
      <w:spacing w:after="0"/>
    </w:pPr>
    <w:tblPr>
      <w:tblStyleRowBandSize w:val="1"/>
      <w:tblStyleColBandSize w:val="1"/>
      <w:tblBorders>
        <w:top w:val="single" w:sz="4" w:space="0" w:color="D46CC9" w:themeColor="accent2" w:themeTint="99"/>
        <w:left w:val="single" w:sz="4" w:space="0" w:color="D46CC9" w:themeColor="accent2" w:themeTint="99"/>
        <w:bottom w:val="single" w:sz="4" w:space="0" w:color="D46CC9" w:themeColor="accent2" w:themeTint="99"/>
        <w:right w:val="single" w:sz="4" w:space="0" w:color="D46CC9" w:themeColor="accent2" w:themeTint="99"/>
        <w:insideH w:val="single" w:sz="4" w:space="0" w:color="D46CC9" w:themeColor="accent2" w:themeTint="99"/>
      </w:tblBorders>
    </w:tblPr>
    <w:tblStylePr w:type="firstRow">
      <w:rPr>
        <w:b/>
        <w:bCs/>
        <w:color w:val="FFFFFF" w:themeColor="background1"/>
      </w:rPr>
      <w:tblPr/>
      <w:tcPr>
        <w:tcBorders>
          <w:top w:val="single" w:sz="4" w:space="0" w:color="962C8B" w:themeColor="accent2"/>
          <w:left w:val="single" w:sz="4" w:space="0" w:color="962C8B" w:themeColor="accent2"/>
          <w:bottom w:val="single" w:sz="4" w:space="0" w:color="962C8B" w:themeColor="accent2"/>
          <w:right w:val="single" w:sz="4" w:space="0" w:color="962C8B" w:themeColor="accent2"/>
          <w:insideH w:val="nil"/>
        </w:tcBorders>
        <w:shd w:val="clear" w:color="auto" w:fill="962C8B" w:themeFill="accent2"/>
      </w:tcPr>
    </w:tblStylePr>
    <w:tblStylePr w:type="lastRow">
      <w:rPr>
        <w:b/>
        <w:bCs/>
      </w:rPr>
      <w:tblPr/>
      <w:tcPr>
        <w:tcBorders>
          <w:top w:val="double" w:sz="4" w:space="0" w:color="D46CC9" w:themeColor="accent2" w:themeTint="99"/>
        </w:tcBorders>
      </w:tcPr>
    </w:tblStylePr>
    <w:tblStylePr w:type="firstCol">
      <w:rPr>
        <w:b/>
        <w:bCs/>
      </w:rPr>
    </w:tblStylePr>
    <w:tblStylePr w:type="lastCol">
      <w:rPr>
        <w:b/>
        <w:bCs/>
      </w:rPr>
    </w:tblStylePr>
    <w:tblStylePr w:type="band1Vert">
      <w:tblPr/>
      <w:tcPr>
        <w:shd w:val="clear" w:color="auto" w:fill="F0CEEC" w:themeFill="accent2" w:themeFillTint="33"/>
      </w:tcPr>
    </w:tblStylePr>
    <w:tblStylePr w:type="band1Horz">
      <w:tblPr/>
      <w:tcPr>
        <w:shd w:val="clear" w:color="auto" w:fill="F0CEEC" w:themeFill="accent2" w:themeFillTint="33"/>
      </w:tcPr>
    </w:tblStylePr>
  </w:style>
  <w:style w:type="character" w:styleId="CommentReference">
    <w:name w:val="annotation reference"/>
    <w:basedOn w:val="DefaultParagraphFont"/>
    <w:uiPriority w:val="99"/>
    <w:semiHidden/>
    <w:unhideWhenUsed/>
    <w:rsid w:val="008C18CD"/>
    <w:rPr>
      <w:sz w:val="16"/>
      <w:szCs w:val="16"/>
    </w:rPr>
  </w:style>
  <w:style w:type="paragraph" w:styleId="CommentText">
    <w:name w:val="annotation text"/>
    <w:basedOn w:val="Normal"/>
    <w:link w:val="CommentTextChar"/>
    <w:uiPriority w:val="99"/>
    <w:semiHidden/>
    <w:unhideWhenUsed/>
    <w:rsid w:val="008C18CD"/>
    <w:pPr>
      <w:spacing w:line="240" w:lineRule="auto"/>
    </w:pPr>
    <w:rPr>
      <w:sz w:val="20"/>
    </w:rPr>
  </w:style>
  <w:style w:type="character" w:customStyle="1" w:styleId="CommentTextChar">
    <w:name w:val="Comment Text Char"/>
    <w:basedOn w:val="DefaultParagraphFont"/>
    <w:link w:val="CommentText"/>
    <w:uiPriority w:val="99"/>
    <w:semiHidden/>
    <w:rsid w:val="008C18CD"/>
  </w:style>
  <w:style w:type="paragraph" w:styleId="CommentSubject">
    <w:name w:val="annotation subject"/>
    <w:basedOn w:val="CommentText"/>
    <w:next w:val="CommentText"/>
    <w:link w:val="CommentSubjectChar"/>
    <w:uiPriority w:val="99"/>
    <w:semiHidden/>
    <w:unhideWhenUsed/>
    <w:rsid w:val="008C18CD"/>
    <w:rPr>
      <w:b/>
      <w:bCs/>
    </w:rPr>
  </w:style>
  <w:style w:type="character" w:customStyle="1" w:styleId="CommentSubjectChar">
    <w:name w:val="Comment Subject Char"/>
    <w:basedOn w:val="CommentTextChar"/>
    <w:link w:val="CommentSubject"/>
    <w:uiPriority w:val="99"/>
    <w:semiHidden/>
    <w:rsid w:val="008C18CD"/>
    <w:rPr>
      <w:b/>
      <w:bCs/>
    </w:rPr>
  </w:style>
  <w:style w:type="paragraph" w:styleId="BalloonText">
    <w:name w:val="Balloon Text"/>
    <w:basedOn w:val="Normal"/>
    <w:link w:val="BalloonTextChar"/>
    <w:uiPriority w:val="99"/>
    <w:semiHidden/>
    <w:unhideWhenUsed/>
    <w:rsid w:val="008C18C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8CD"/>
    <w:rPr>
      <w:rFonts w:ascii="Segoe UI" w:hAnsi="Segoe UI" w:cs="Segoe UI"/>
      <w:sz w:val="18"/>
      <w:szCs w:val="18"/>
    </w:rPr>
  </w:style>
  <w:style w:type="paragraph" w:customStyle="1" w:styleId="Response">
    <w:name w:val="Response"/>
    <w:basedOn w:val="Normal"/>
    <w:link w:val="ResponseChar"/>
    <w:qFormat/>
    <w:rsid w:val="00D96A1A"/>
    <w:pPr>
      <w:ind w:left="567"/>
    </w:pPr>
  </w:style>
  <w:style w:type="character" w:customStyle="1" w:styleId="ResponseChar">
    <w:name w:val="Response Char"/>
    <w:basedOn w:val="DefaultParagraphFont"/>
    <w:link w:val="Response"/>
    <w:rsid w:val="00D96A1A"/>
    <w:rPr>
      <w:sz w:val="22"/>
    </w:rPr>
  </w:style>
  <w:style w:type="paragraph" w:styleId="NormalWeb">
    <w:name w:val="Normal (Web)"/>
    <w:basedOn w:val="Normal"/>
    <w:uiPriority w:val="99"/>
    <w:semiHidden/>
    <w:unhideWhenUsed/>
    <w:rsid w:val="00EF617C"/>
    <w:rPr>
      <w:rFonts w:ascii="Times New Roman" w:hAnsi="Times New Roman" w:cs="Times New Roman"/>
      <w:sz w:val="24"/>
      <w:szCs w:val="24"/>
    </w:rPr>
  </w:style>
  <w:style w:type="paragraph" w:styleId="ListParagraph">
    <w:name w:val="List Paragraph"/>
    <w:basedOn w:val="Normal"/>
    <w:uiPriority w:val="34"/>
    <w:unhideWhenUsed/>
    <w:qFormat/>
    <w:rsid w:val="008C4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7584">
      <w:bodyDiv w:val="1"/>
      <w:marLeft w:val="0"/>
      <w:marRight w:val="0"/>
      <w:marTop w:val="0"/>
      <w:marBottom w:val="0"/>
      <w:divBdr>
        <w:top w:val="none" w:sz="0" w:space="0" w:color="auto"/>
        <w:left w:val="none" w:sz="0" w:space="0" w:color="auto"/>
        <w:bottom w:val="none" w:sz="0" w:space="0" w:color="auto"/>
        <w:right w:val="none" w:sz="0" w:space="0" w:color="auto"/>
      </w:divBdr>
    </w:div>
    <w:div w:id="739788036">
      <w:bodyDiv w:val="1"/>
      <w:marLeft w:val="0"/>
      <w:marRight w:val="0"/>
      <w:marTop w:val="0"/>
      <w:marBottom w:val="0"/>
      <w:divBdr>
        <w:top w:val="none" w:sz="0" w:space="0" w:color="auto"/>
        <w:left w:val="none" w:sz="0" w:space="0" w:color="auto"/>
        <w:bottom w:val="none" w:sz="0" w:space="0" w:color="auto"/>
        <w:right w:val="none" w:sz="0" w:space="0" w:color="auto"/>
      </w:divBdr>
      <w:divsChild>
        <w:div w:id="1471292183">
          <w:marLeft w:val="0"/>
          <w:marRight w:val="0"/>
          <w:marTop w:val="0"/>
          <w:marBottom w:val="0"/>
          <w:divBdr>
            <w:top w:val="none" w:sz="0" w:space="0" w:color="auto"/>
            <w:left w:val="none" w:sz="0" w:space="0" w:color="auto"/>
            <w:bottom w:val="none" w:sz="0" w:space="0" w:color="auto"/>
            <w:right w:val="none" w:sz="0" w:space="0" w:color="auto"/>
          </w:divBdr>
          <w:divsChild>
            <w:div w:id="1076827486">
              <w:marLeft w:val="0"/>
              <w:marRight w:val="0"/>
              <w:marTop w:val="0"/>
              <w:marBottom w:val="0"/>
              <w:divBdr>
                <w:top w:val="none" w:sz="0" w:space="0" w:color="auto"/>
                <w:left w:val="none" w:sz="0" w:space="0" w:color="auto"/>
                <w:bottom w:val="none" w:sz="0" w:space="0" w:color="auto"/>
                <w:right w:val="none" w:sz="0" w:space="0" w:color="auto"/>
              </w:divBdr>
              <w:divsChild>
                <w:div w:id="676464939">
                  <w:marLeft w:val="0"/>
                  <w:marRight w:val="0"/>
                  <w:marTop w:val="0"/>
                  <w:marBottom w:val="0"/>
                  <w:divBdr>
                    <w:top w:val="none" w:sz="0" w:space="0" w:color="auto"/>
                    <w:left w:val="none" w:sz="0" w:space="0" w:color="auto"/>
                    <w:bottom w:val="none" w:sz="0" w:space="0" w:color="auto"/>
                    <w:right w:val="none" w:sz="0" w:space="0" w:color="auto"/>
                  </w:divBdr>
                  <w:divsChild>
                    <w:div w:id="760836722">
                      <w:marLeft w:val="0"/>
                      <w:marRight w:val="300"/>
                      <w:marTop w:val="150"/>
                      <w:marBottom w:val="0"/>
                      <w:divBdr>
                        <w:top w:val="none" w:sz="0" w:space="0" w:color="auto"/>
                        <w:left w:val="single" w:sz="18" w:space="19" w:color="0E8341"/>
                        <w:bottom w:val="none" w:sz="0" w:space="0" w:color="auto"/>
                        <w:right w:val="none" w:sz="0" w:space="0" w:color="auto"/>
                      </w:divBdr>
                    </w:div>
                    <w:div w:id="64207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IncidentManagementFeedbackandIncidentReview@sa.gov.a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edback@ndiscommission.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discommission.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iscommission.gov.au/RI"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0151\Desktop\Template\UPDATED%20-%20Template%20-%20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3941-5682-4950-ABEC-06F09D77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UPDATED - Template - Document</Template>
  <TotalTime>0</TotalTime>
  <Pages>6</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BUTZ, Sally</dc:creator>
  <cp:keywords/>
  <dc:description/>
  <cp:lastModifiedBy>STANTON, Kelly</cp:lastModifiedBy>
  <cp:revision>2</cp:revision>
  <cp:lastPrinted>2018-11-22T02:41:00Z</cp:lastPrinted>
  <dcterms:created xsi:type="dcterms:W3CDTF">2019-03-20T02:33:00Z</dcterms:created>
  <dcterms:modified xsi:type="dcterms:W3CDTF">2019-03-20T02:33:00Z</dcterms:modified>
</cp:coreProperties>
</file>