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AA4" w:rsidRPr="009E5A85" w:rsidRDefault="00407AA4" w:rsidP="00FA5D19">
      <w:pPr>
        <w:spacing w:after="60"/>
        <w:rPr>
          <w:b/>
          <w:sz w:val="28"/>
          <w:szCs w:val="28"/>
        </w:rPr>
      </w:pPr>
      <w:bookmarkStart w:id="0" w:name="_GoBack"/>
      <w:bookmarkEnd w:id="0"/>
      <w:r w:rsidRPr="009E5A85">
        <w:rPr>
          <w:b/>
          <w:sz w:val="28"/>
          <w:szCs w:val="28"/>
        </w:rPr>
        <w:t xml:space="preserve">National Disability Insurance Scheme (Quality and Safeguards Commission) </w:t>
      </w:r>
      <w:r>
        <w:rPr>
          <w:b/>
          <w:sz w:val="28"/>
          <w:szCs w:val="28"/>
        </w:rPr>
        <w:t>Rules</w:t>
      </w:r>
    </w:p>
    <w:tbl>
      <w:tblPr>
        <w:tblStyle w:val="TableGrid"/>
        <w:tblW w:w="21405" w:type="dxa"/>
        <w:tblInd w:w="-5" w:type="dxa"/>
        <w:tblLook w:val="04A0" w:firstRow="1" w:lastRow="0" w:firstColumn="1" w:lastColumn="0" w:noHBand="0" w:noVBand="1"/>
        <w:tblDescription w:val="National Disability Insurance Scheme (Quality and Safeguards Commission) Rules"/>
      </w:tblPr>
      <w:tblGrid>
        <w:gridCol w:w="582"/>
        <w:gridCol w:w="20823"/>
      </w:tblGrid>
      <w:tr w:rsidR="00407AA4" w:rsidRPr="00407AA4" w:rsidTr="008D43B7">
        <w:trPr>
          <w:tblHeader/>
        </w:trPr>
        <w:tc>
          <w:tcPr>
            <w:tcW w:w="21405" w:type="dxa"/>
            <w:gridSpan w:val="2"/>
            <w:shd w:val="clear" w:color="auto" w:fill="612C69"/>
          </w:tcPr>
          <w:p w:rsidR="00407AA4" w:rsidRPr="00407AA4" w:rsidRDefault="00407AA4" w:rsidP="00BC1E19">
            <w:pPr>
              <w:spacing w:before="60" w:after="60"/>
              <w:rPr>
                <w:b/>
                <w:color w:val="FFFFFF" w:themeColor="background1"/>
                <w:sz w:val="20"/>
                <w:szCs w:val="20"/>
              </w:rPr>
            </w:pPr>
            <w:r w:rsidRPr="00407AA4">
              <w:rPr>
                <w:b/>
                <w:color w:val="FFFFFF" w:themeColor="background1"/>
                <w:sz w:val="24"/>
                <w:szCs w:val="20"/>
              </w:rPr>
              <w:t>Rules Directly Affecting Providers</w:t>
            </w:r>
          </w:p>
        </w:tc>
      </w:tr>
      <w:tr w:rsidR="00407AA4" w:rsidRPr="00407AA4" w:rsidTr="008D43B7">
        <w:tc>
          <w:tcPr>
            <w:tcW w:w="582" w:type="dxa"/>
            <w:shd w:val="clear" w:color="auto" w:fill="98C11D"/>
          </w:tcPr>
          <w:p w:rsidR="00407AA4" w:rsidRPr="00407AA4" w:rsidRDefault="00407AA4" w:rsidP="00BC1E19">
            <w:pPr>
              <w:spacing w:before="60" w:after="60"/>
              <w:rPr>
                <w:b/>
                <w:sz w:val="20"/>
                <w:szCs w:val="20"/>
              </w:rPr>
            </w:pPr>
            <w:r w:rsidRPr="00407AA4">
              <w:rPr>
                <w:b/>
                <w:sz w:val="20"/>
                <w:szCs w:val="20"/>
              </w:rPr>
              <w:t>1</w:t>
            </w:r>
          </w:p>
        </w:tc>
        <w:tc>
          <w:tcPr>
            <w:tcW w:w="20823" w:type="dxa"/>
            <w:shd w:val="clear" w:color="auto" w:fill="FFFFFF"/>
          </w:tcPr>
          <w:p w:rsidR="00407AA4" w:rsidRPr="00407AA4" w:rsidRDefault="00407AA4" w:rsidP="00FA5D19">
            <w:pPr>
              <w:spacing w:before="60" w:after="60" w:line="240" w:lineRule="auto"/>
              <w:rPr>
                <w:b/>
                <w:sz w:val="20"/>
                <w:szCs w:val="20"/>
              </w:rPr>
            </w:pPr>
            <w:r w:rsidRPr="00407AA4">
              <w:rPr>
                <w:b/>
                <w:sz w:val="20"/>
                <w:szCs w:val="20"/>
              </w:rPr>
              <w:t>NDIS Code of Conduct and Guidelines for NDIS providers and workers</w:t>
            </w:r>
          </w:p>
          <w:p w:rsidR="00407AA4" w:rsidRPr="00407AA4" w:rsidRDefault="00407AA4" w:rsidP="00FA5D19">
            <w:pPr>
              <w:pStyle w:val="ListParagraph"/>
              <w:numPr>
                <w:ilvl w:val="0"/>
                <w:numId w:val="39"/>
              </w:numPr>
              <w:spacing w:after="60" w:line="240" w:lineRule="auto"/>
              <w:rPr>
                <w:b/>
                <w:sz w:val="20"/>
                <w:szCs w:val="20"/>
              </w:rPr>
            </w:pPr>
            <w:r w:rsidRPr="00407AA4">
              <w:rPr>
                <w:sz w:val="20"/>
                <w:szCs w:val="20"/>
              </w:rPr>
              <w:t xml:space="preserve">Sets out the NDIS Code of Conduct which applies to all NDIS providers and persons employed or otherwise engaged by them, regardless of whether they are registered.  </w:t>
            </w:r>
          </w:p>
          <w:p w:rsidR="00407AA4" w:rsidRPr="00407AA4" w:rsidRDefault="00BD09D1" w:rsidP="00BD09D1">
            <w:pPr>
              <w:pStyle w:val="ListParagraph"/>
              <w:numPr>
                <w:ilvl w:val="0"/>
                <w:numId w:val="39"/>
              </w:numPr>
              <w:spacing w:before="60" w:after="60" w:line="240" w:lineRule="auto"/>
              <w:rPr>
                <w:b/>
                <w:sz w:val="20"/>
                <w:szCs w:val="20"/>
              </w:rPr>
            </w:pPr>
            <w:r>
              <w:rPr>
                <w:sz w:val="20"/>
                <w:szCs w:val="20"/>
              </w:rPr>
              <w:t xml:space="preserve">Guidance will be circulated which will </w:t>
            </w:r>
            <w:r w:rsidR="00407AA4" w:rsidRPr="00407AA4">
              <w:rPr>
                <w:sz w:val="20"/>
                <w:szCs w:val="20"/>
              </w:rPr>
              <w:t>explain the expectations of NDIS providers and workers in complying with the NDIS Code of Conduct.</w:t>
            </w:r>
          </w:p>
        </w:tc>
      </w:tr>
      <w:tr w:rsidR="00407AA4" w:rsidRPr="00407AA4" w:rsidTr="00407AA4">
        <w:trPr>
          <w:trHeight w:val="1072"/>
        </w:trPr>
        <w:tc>
          <w:tcPr>
            <w:tcW w:w="582" w:type="dxa"/>
            <w:shd w:val="clear" w:color="auto" w:fill="98C11D"/>
          </w:tcPr>
          <w:p w:rsidR="00407AA4" w:rsidRPr="00407AA4" w:rsidRDefault="00407AA4" w:rsidP="00BC1E19">
            <w:pPr>
              <w:spacing w:before="60" w:after="60"/>
              <w:rPr>
                <w:b/>
                <w:sz w:val="20"/>
                <w:szCs w:val="20"/>
              </w:rPr>
            </w:pPr>
            <w:r w:rsidRPr="00407AA4">
              <w:rPr>
                <w:b/>
                <w:sz w:val="20"/>
                <w:szCs w:val="20"/>
              </w:rPr>
              <w:t>2</w:t>
            </w:r>
          </w:p>
        </w:tc>
        <w:tc>
          <w:tcPr>
            <w:tcW w:w="20823" w:type="dxa"/>
            <w:shd w:val="clear" w:color="auto" w:fill="FFFFFF"/>
          </w:tcPr>
          <w:p w:rsidR="00407AA4" w:rsidRPr="00407AA4" w:rsidRDefault="00407AA4" w:rsidP="007E55A7">
            <w:pPr>
              <w:spacing w:before="60" w:after="60" w:line="240" w:lineRule="auto"/>
              <w:rPr>
                <w:b/>
                <w:sz w:val="20"/>
                <w:szCs w:val="20"/>
              </w:rPr>
            </w:pPr>
            <w:r w:rsidRPr="00407AA4">
              <w:rPr>
                <w:b/>
                <w:sz w:val="20"/>
                <w:szCs w:val="20"/>
              </w:rPr>
              <w:t>Incident Management and Reportable Incidents</w:t>
            </w:r>
          </w:p>
          <w:p w:rsidR="00407AA4" w:rsidRPr="00407AA4" w:rsidRDefault="00407AA4" w:rsidP="00407AA4">
            <w:pPr>
              <w:pStyle w:val="ListParagraph"/>
              <w:numPr>
                <w:ilvl w:val="0"/>
                <w:numId w:val="38"/>
              </w:numPr>
              <w:spacing w:before="60" w:after="60" w:line="240" w:lineRule="auto"/>
              <w:rPr>
                <w:sz w:val="20"/>
                <w:szCs w:val="20"/>
              </w:rPr>
            </w:pPr>
            <w:r w:rsidRPr="00407AA4">
              <w:rPr>
                <w:sz w:val="20"/>
                <w:szCs w:val="20"/>
              </w:rPr>
              <w:t>Requires all registered NDIS providers to manage certain incidents that happen in connection with providing supports or services to people with disability.</w:t>
            </w:r>
          </w:p>
          <w:p w:rsidR="00407AA4" w:rsidRPr="00407AA4" w:rsidRDefault="009B2CC6" w:rsidP="009B2CC6">
            <w:pPr>
              <w:pStyle w:val="ListParagraph"/>
              <w:numPr>
                <w:ilvl w:val="0"/>
                <w:numId w:val="38"/>
              </w:numPr>
              <w:spacing w:before="60" w:after="60" w:line="240" w:lineRule="auto"/>
              <w:rPr>
                <w:sz w:val="20"/>
                <w:szCs w:val="20"/>
              </w:rPr>
            </w:pPr>
            <w:r>
              <w:rPr>
                <w:sz w:val="20"/>
                <w:szCs w:val="20"/>
              </w:rPr>
              <w:t xml:space="preserve">Sets out </w:t>
            </w:r>
            <w:r w:rsidR="00407AA4" w:rsidRPr="00407AA4">
              <w:rPr>
                <w:sz w:val="20"/>
                <w:szCs w:val="20"/>
              </w:rPr>
              <w:t xml:space="preserve">the decisions and actions the NDIS Commission can take in relation to a reportable incident , including requiring the provider to undertake specified remedial action, carry out an internal investigation about the incident, or engage an independent expert to investigate and report on the incident.  </w:t>
            </w:r>
          </w:p>
        </w:tc>
      </w:tr>
      <w:tr w:rsidR="00407AA4" w:rsidRPr="00407AA4" w:rsidTr="00407AA4">
        <w:trPr>
          <w:trHeight w:val="1072"/>
        </w:trPr>
        <w:tc>
          <w:tcPr>
            <w:tcW w:w="582" w:type="dxa"/>
            <w:shd w:val="clear" w:color="auto" w:fill="98C11D"/>
          </w:tcPr>
          <w:p w:rsidR="00407AA4" w:rsidRPr="00407AA4" w:rsidRDefault="00407AA4" w:rsidP="00BC1E19">
            <w:pPr>
              <w:spacing w:before="60" w:after="60"/>
              <w:rPr>
                <w:b/>
                <w:sz w:val="20"/>
                <w:szCs w:val="20"/>
              </w:rPr>
            </w:pPr>
            <w:r w:rsidRPr="00407AA4">
              <w:rPr>
                <w:b/>
                <w:sz w:val="20"/>
                <w:szCs w:val="20"/>
              </w:rPr>
              <w:t>3</w:t>
            </w:r>
          </w:p>
        </w:tc>
        <w:tc>
          <w:tcPr>
            <w:tcW w:w="20823" w:type="dxa"/>
            <w:shd w:val="clear" w:color="auto" w:fill="FFFFFF"/>
          </w:tcPr>
          <w:p w:rsidR="00407AA4" w:rsidRPr="00407AA4" w:rsidRDefault="00407AA4" w:rsidP="007E55A7">
            <w:pPr>
              <w:spacing w:before="60" w:after="60" w:line="240" w:lineRule="auto"/>
              <w:rPr>
                <w:b/>
                <w:sz w:val="20"/>
                <w:szCs w:val="20"/>
              </w:rPr>
            </w:pPr>
            <w:r w:rsidRPr="00407AA4">
              <w:rPr>
                <w:b/>
                <w:sz w:val="20"/>
                <w:szCs w:val="20"/>
              </w:rPr>
              <w:t>Complaints Management and Resolution</w:t>
            </w:r>
          </w:p>
          <w:p w:rsidR="004253F4" w:rsidRDefault="004253F4" w:rsidP="00407AA4">
            <w:pPr>
              <w:pStyle w:val="ListParagraph"/>
              <w:numPr>
                <w:ilvl w:val="0"/>
                <w:numId w:val="38"/>
              </w:numPr>
              <w:spacing w:before="60" w:after="60" w:line="240" w:lineRule="auto"/>
              <w:rPr>
                <w:sz w:val="20"/>
                <w:szCs w:val="20"/>
              </w:rPr>
            </w:pPr>
            <w:r w:rsidRPr="00407AA4">
              <w:rPr>
                <w:sz w:val="20"/>
                <w:szCs w:val="20"/>
              </w:rPr>
              <w:t>Provides for decisions and actions the NDIS Commission can take in responding to a complaint about any issue connected with supports or services provided by an NDIS provider.</w:t>
            </w:r>
          </w:p>
          <w:p w:rsidR="00407AA4" w:rsidRPr="00407AA4" w:rsidRDefault="00407AA4" w:rsidP="00407AA4">
            <w:pPr>
              <w:pStyle w:val="ListParagraph"/>
              <w:numPr>
                <w:ilvl w:val="0"/>
                <w:numId w:val="38"/>
              </w:numPr>
              <w:spacing w:before="60" w:after="60" w:line="240" w:lineRule="auto"/>
              <w:rPr>
                <w:sz w:val="20"/>
                <w:szCs w:val="20"/>
              </w:rPr>
            </w:pPr>
            <w:r w:rsidRPr="00407AA4">
              <w:rPr>
                <w:sz w:val="20"/>
                <w:szCs w:val="20"/>
              </w:rPr>
              <w:t xml:space="preserve">Requires all registered NDIS providers to manage complaints </w:t>
            </w:r>
            <w:r w:rsidR="004253F4">
              <w:rPr>
                <w:sz w:val="20"/>
                <w:szCs w:val="20"/>
              </w:rPr>
              <w:t xml:space="preserve">they receive </w:t>
            </w:r>
            <w:r w:rsidRPr="00407AA4">
              <w:rPr>
                <w:sz w:val="20"/>
                <w:szCs w:val="20"/>
              </w:rPr>
              <w:t>about the supports and services they provide.</w:t>
            </w:r>
          </w:p>
          <w:p w:rsidR="00407AA4" w:rsidRPr="00E71C5C" w:rsidRDefault="00407AA4" w:rsidP="00E71C5C">
            <w:pPr>
              <w:pStyle w:val="ListParagraph"/>
              <w:numPr>
                <w:ilvl w:val="0"/>
                <w:numId w:val="38"/>
              </w:numPr>
              <w:spacing w:before="60" w:after="60" w:line="240" w:lineRule="auto"/>
              <w:rPr>
                <w:sz w:val="20"/>
                <w:szCs w:val="20"/>
              </w:rPr>
            </w:pPr>
            <w:r w:rsidRPr="00407AA4">
              <w:rPr>
                <w:sz w:val="20"/>
                <w:szCs w:val="20"/>
              </w:rPr>
              <w:t>Providers must make information available about how to make a complaint to the provider and to the NDIS Commissioner, and must keep records about complaints that they receive.</w:t>
            </w:r>
          </w:p>
        </w:tc>
      </w:tr>
      <w:tr w:rsidR="00407AA4" w:rsidRPr="00407AA4" w:rsidTr="008D43B7">
        <w:tc>
          <w:tcPr>
            <w:tcW w:w="582" w:type="dxa"/>
            <w:shd w:val="clear" w:color="auto" w:fill="98C11D"/>
          </w:tcPr>
          <w:p w:rsidR="00407AA4" w:rsidRPr="00407AA4" w:rsidRDefault="00407AA4" w:rsidP="00BC1E19">
            <w:pPr>
              <w:spacing w:before="60" w:after="60"/>
              <w:rPr>
                <w:b/>
                <w:sz w:val="20"/>
                <w:szCs w:val="20"/>
              </w:rPr>
            </w:pPr>
            <w:r w:rsidRPr="00407AA4">
              <w:rPr>
                <w:b/>
                <w:sz w:val="20"/>
                <w:szCs w:val="20"/>
              </w:rPr>
              <w:t>4</w:t>
            </w:r>
          </w:p>
        </w:tc>
        <w:tc>
          <w:tcPr>
            <w:tcW w:w="20823" w:type="dxa"/>
            <w:shd w:val="clear" w:color="auto" w:fill="FFFFFF"/>
          </w:tcPr>
          <w:p w:rsidR="00407AA4" w:rsidRDefault="00407AA4" w:rsidP="007E55A7">
            <w:pPr>
              <w:spacing w:before="60" w:after="60" w:line="240" w:lineRule="auto"/>
              <w:rPr>
                <w:b/>
                <w:sz w:val="20"/>
                <w:szCs w:val="20"/>
              </w:rPr>
            </w:pPr>
            <w:r w:rsidRPr="00407AA4">
              <w:rPr>
                <w:b/>
                <w:sz w:val="20"/>
                <w:szCs w:val="20"/>
              </w:rPr>
              <w:t xml:space="preserve">Worker </w:t>
            </w:r>
            <w:r w:rsidR="00E821A9">
              <w:rPr>
                <w:b/>
                <w:sz w:val="20"/>
                <w:szCs w:val="20"/>
              </w:rPr>
              <w:t>S</w:t>
            </w:r>
            <w:r w:rsidR="00E821A9" w:rsidRPr="00407AA4">
              <w:rPr>
                <w:b/>
                <w:sz w:val="20"/>
                <w:szCs w:val="20"/>
              </w:rPr>
              <w:t>creening</w:t>
            </w:r>
          </w:p>
          <w:p w:rsidR="00E821A9" w:rsidRDefault="00E821A9" w:rsidP="008D43B7">
            <w:pPr>
              <w:pStyle w:val="ListParagraph"/>
              <w:numPr>
                <w:ilvl w:val="0"/>
                <w:numId w:val="38"/>
              </w:numPr>
              <w:spacing w:before="60" w:after="60" w:line="240" w:lineRule="auto"/>
              <w:rPr>
                <w:sz w:val="20"/>
                <w:szCs w:val="20"/>
              </w:rPr>
            </w:pPr>
            <w:r>
              <w:rPr>
                <w:sz w:val="20"/>
                <w:szCs w:val="20"/>
              </w:rPr>
              <w:t>Requires all registered NDIS providers to only engage workers in certain roles if they have an NDIS Worker Screening Check clearance</w:t>
            </w:r>
            <w:r w:rsidR="00881386">
              <w:rPr>
                <w:sz w:val="20"/>
                <w:szCs w:val="20"/>
              </w:rPr>
              <w:t xml:space="preserve">, and </w:t>
            </w:r>
            <w:r w:rsidR="00332F15">
              <w:rPr>
                <w:sz w:val="20"/>
                <w:szCs w:val="20"/>
              </w:rPr>
              <w:t xml:space="preserve">to </w:t>
            </w:r>
            <w:r w:rsidR="00881386">
              <w:rPr>
                <w:sz w:val="20"/>
                <w:szCs w:val="20"/>
              </w:rPr>
              <w:t xml:space="preserve">manage </w:t>
            </w:r>
            <w:r w:rsidR="00881386" w:rsidRPr="008D43B7">
              <w:rPr>
                <w:sz w:val="20"/>
                <w:szCs w:val="20"/>
              </w:rPr>
              <w:t xml:space="preserve">requirements surrounding the </w:t>
            </w:r>
            <w:r w:rsidR="00881386">
              <w:rPr>
                <w:sz w:val="20"/>
                <w:szCs w:val="20"/>
              </w:rPr>
              <w:t>NDIS Worker Screening Check.</w:t>
            </w:r>
          </w:p>
          <w:p w:rsidR="00497DEB" w:rsidRDefault="00497DEB" w:rsidP="008D43B7">
            <w:pPr>
              <w:pStyle w:val="ListParagraph"/>
              <w:numPr>
                <w:ilvl w:val="0"/>
                <w:numId w:val="38"/>
              </w:numPr>
              <w:spacing w:before="60" w:after="60" w:line="240" w:lineRule="auto"/>
              <w:rPr>
                <w:sz w:val="20"/>
                <w:szCs w:val="20"/>
              </w:rPr>
            </w:pPr>
            <w:r>
              <w:rPr>
                <w:sz w:val="20"/>
                <w:szCs w:val="20"/>
              </w:rPr>
              <w:t xml:space="preserve">Requires NDIS providers to not allow workers to commence employment in certain roles in some jurisdictions until an appropriate clearance for that worker is in place.  </w:t>
            </w:r>
          </w:p>
          <w:p w:rsidR="007E2E44" w:rsidRPr="009B58C7" w:rsidRDefault="007E2E44" w:rsidP="006C4C0A">
            <w:pPr>
              <w:pStyle w:val="ListParagraph"/>
              <w:numPr>
                <w:ilvl w:val="0"/>
                <w:numId w:val="38"/>
              </w:numPr>
              <w:spacing w:before="60" w:after="60" w:line="240" w:lineRule="auto"/>
              <w:rPr>
                <w:strike/>
                <w:sz w:val="20"/>
                <w:szCs w:val="20"/>
              </w:rPr>
            </w:pPr>
            <w:r>
              <w:rPr>
                <w:sz w:val="20"/>
                <w:szCs w:val="20"/>
              </w:rPr>
              <w:t>Sets out</w:t>
            </w:r>
            <w:r w:rsidR="006C4C0A">
              <w:rPr>
                <w:sz w:val="20"/>
                <w:szCs w:val="20"/>
              </w:rPr>
              <w:t xml:space="preserve"> special arrangements</w:t>
            </w:r>
            <w:r>
              <w:rPr>
                <w:sz w:val="20"/>
                <w:szCs w:val="20"/>
              </w:rPr>
              <w:t xml:space="preserve"> </w:t>
            </w:r>
            <w:r w:rsidR="007F55FF">
              <w:rPr>
                <w:sz w:val="20"/>
                <w:szCs w:val="20"/>
              </w:rPr>
              <w:t xml:space="preserve">and exceptions </w:t>
            </w:r>
            <w:r w:rsidR="006C4C0A">
              <w:rPr>
                <w:sz w:val="20"/>
                <w:szCs w:val="20"/>
              </w:rPr>
              <w:t>in New South Wales, South Australia, Victoria, Queensland, Tas</w:t>
            </w:r>
            <w:r w:rsidR="00176CEA">
              <w:rPr>
                <w:sz w:val="20"/>
                <w:szCs w:val="20"/>
              </w:rPr>
              <w:t>mania, Australian Capital Terri</w:t>
            </w:r>
            <w:r w:rsidR="006C4C0A">
              <w:rPr>
                <w:sz w:val="20"/>
                <w:szCs w:val="20"/>
              </w:rPr>
              <w:t>t</w:t>
            </w:r>
            <w:r w:rsidR="00176CEA">
              <w:rPr>
                <w:sz w:val="20"/>
                <w:szCs w:val="20"/>
              </w:rPr>
              <w:t>o</w:t>
            </w:r>
            <w:r w:rsidR="006C4C0A">
              <w:rPr>
                <w:sz w:val="20"/>
                <w:szCs w:val="20"/>
              </w:rPr>
              <w:t>ry and Northern Territory</w:t>
            </w:r>
            <w:r w:rsidR="00176CEA">
              <w:rPr>
                <w:sz w:val="20"/>
                <w:szCs w:val="20"/>
              </w:rPr>
              <w:t xml:space="preserve"> for screening workers during the transition to the new national NDIS Worker Screening arrangements.</w:t>
            </w:r>
          </w:p>
        </w:tc>
      </w:tr>
      <w:tr w:rsidR="00407AA4" w:rsidRPr="00407AA4" w:rsidTr="00407AA4">
        <w:trPr>
          <w:trHeight w:val="1072"/>
        </w:trPr>
        <w:tc>
          <w:tcPr>
            <w:tcW w:w="582" w:type="dxa"/>
            <w:shd w:val="clear" w:color="auto" w:fill="98C11D"/>
          </w:tcPr>
          <w:p w:rsidR="00407AA4" w:rsidRPr="00407AA4" w:rsidRDefault="00407AA4" w:rsidP="00BC1E19">
            <w:pPr>
              <w:spacing w:before="60" w:after="60"/>
              <w:rPr>
                <w:b/>
                <w:sz w:val="20"/>
                <w:szCs w:val="20"/>
              </w:rPr>
            </w:pPr>
            <w:r w:rsidRPr="00407AA4">
              <w:rPr>
                <w:b/>
                <w:sz w:val="20"/>
                <w:szCs w:val="20"/>
              </w:rPr>
              <w:t>5</w:t>
            </w:r>
          </w:p>
        </w:tc>
        <w:tc>
          <w:tcPr>
            <w:tcW w:w="20823" w:type="dxa"/>
            <w:shd w:val="clear" w:color="auto" w:fill="FFFFFF"/>
          </w:tcPr>
          <w:p w:rsidR="00407AA4" w:rsidRPr="00407AA4" w:rsidRDefault="00407AA4" w:rsidP="002572B4">
            <w:pPr>
              <w:spacing w:before="60" w:after="60" w:line="240" w:lineRule="auto"/>
              <w:rPr>
                <w:b/>
                <w:sz w:val="20"/>
                <w:szCs w:val="20"/>
              </w:rPr>
            </w:pPr>
            <w:r w:rsidRPr="00407AA4">
              <w:rPr>
                <w:b/>
                <w:sz w:val="20"/>
                <w:szCs w:val="20"/>
              </w:rPr>
              <w:t xml:space="preserve">Behaviour Support and Restrictive Practices </w:t>
            </w:r>
          </w:p>
          <w:p w:rsidR="004253F4" w:rsidRDefault="004253F4" w:rsidP="00407AA4">
            <w:pPr>
              <w:pStyle w:val="ListParagraph"/>
              <w:numPr>
                <w:ilvl w:val="0"/>
                <w:numId w:val="38"/>
              </w:numPr>
              <w:spacing w:before="60" w:after="60" w:line="240" w:lineRule="auto"/>
              <w:rPr>
                <w:sz w:val="20"/>
                <w:szCs w:val="20"/>
              </w:rPr>
            </w:pPr>
            <w:r w:rsidRPr="00407AA4">
              <w:rPr>
                <w:sz w:val="20"/>
                <w:szCs w:val="20"/>
              </w:rPr>
              <w:t>Outlines reporting and oversight arrangements to reduce and eliminate the use of restrictive practices in the NDIS.</w:t>
            </w:r>
          </w:p>
          <w:p w:rsidR="00407AA4" w:rsidRPr="00407AA4" w:rsidRDefault="00407AA4" w:rsidP="00407AA4">
            <w:pPr>
              <w:pStyle w:val="ListParagraph"/>
              <w:numPr>
                <w:ilvl w:val="0"/>
                <w:numId w:val="38"/>
              </w:numPr>
              <w:spacing w:before="60" w:after="60" w:line="240" w:lineRule="auto"/>
              <w:rPr>
                <w:sz w:val="20"/>
                <w:szCs w:val="20"/>
              </w:rPr>
            </w:pPr>
            <w:r w:rsidRPr="00407AA4">
              <w:rPr>
                <w:sz w:val="20"/>
                <w:szCs w:val="20"/>
              </w:rPr>
              <w:t xml:space="preserve">Sets out the conditions of registration for providers delivering specialist behaviour support and providers who use restrictive practices in the course of delivering NDIS supports and transition arrangements for transitioning providers. </w:t>
            </w:r>
          </w:p>
          <w:p w:rsidR="00407AA4" w:rsidRPr="00E71C5C" w:rsidRDefault="00407AA4" w:rsidP="00E71C5C">
            <w:pPr>
              <w:pStyle w:val="ListParagraph"/>
              <w:numPr>
                <w:ilvl w:val="0"/>
                <w:numId w:val="38"/>
              </w:numPr>
              <w:spacing w:before="60" w:after="60" w:line="240" w:lineRule="auto"/>
              <w:rPr>
                <w:sz w:val="20"/>
                <w:szCs w:val="20"/>
              </w:rPr>
            </w:pPr>
            <w:r w:rsidRPr="00407AA4">
              <w:rPr>
                <w:sz w:val="20"/>
                <w:szCs w:val="20"/>
              </w:rPr>
              <w:t>Requires providers to comply with any state and territory authorisation arrangements in relation to the use of restrictive practice</w:t>
            </w:r>
            <w:r w:rsidR="004253F4">
              <w:rPr>
                <w:sz w:val="20"/>
                <w:szCs w:val="20"/>
              </w:rPr>
              <w:t>s</w:t>
            </w:r>
            <w:r w:rsidRPr="00407AA4">
              <w:rPr>
                <w:sz w:val="20"/>
                <w:szCs w:val="20"/>
              </w:rPr>
              <w:t>.</w:t>
            </w:r>
          </w:p>
        </w:tc>
      </w:tr>
      <w:tr w:rsidR="00407AA4" w:rsidRPr="00407AA4" w:rsidTr="00407AA4">
        <w:trPr>
          <w:trHeight w:val="827"/>
        </w:trPr>
        <w:tc>
          <w:tcPr>
            <w:tcW w:w="582" w:type="dxa"/>
            <w:tcBorders>
              <w:bottom w:val="single" w:sz="4" w:space="0" w:color="auto"/>
            </w:tcBorders>
            <w:shd w:val="clear" w:color="auto" w:fill="98C11D"/>
          </w:tcPr>
          <w:p w:rsidR="00407AA4" w:rsidRPr="00407AA4" w:rsidRDefault="00407AA4" w:rsidP="00BC1E19">
            <w:pPr>
              <w:spacing w:before="60" w:after="60"/>
              <w:rPr>
                <w:b/>
                <w:sz w:val="20"/>
                <w:szCs w:val="20"/>
              </w:rPr>
            </w:pPr>
            <w:r w:rsidRPr="00407AA4">
              <w:rPr>
                <w:b/>
                <w:sz w:val="20"/>
                <w:szCs w:val="20"/>
              </w:rPr>
              <w:t>6</w:t>
            </w:r>
          </w:p>
        </w:tc>
        <w:tc>
          <w:tcPr>
            <w:tcW w:w="20823" w:type="dxa"/>
            <w:tcBorders>
              <w:bottom w:val="single" w:sz="4" w:space="0" w:color="auto"/>
            </w:tcBorders>
            <w:shd w:val="clear" w:color="auto" w:fill="FFFFFF"/>
          </w:tcPr>
          <w:p w:rsidR="00407AA4" w:rsidRPr="00407AA4" w:rsidRDefault="00407AA4" w:rsidP="002572B4">
            <w:pPr>
              <w:spacing w:before="60" w:after="60" w:line="240" w:lineRule="auto"/>
              <w:rPr>
                <w:b/>
                <w:sz w:val="20"/>
                <w:szCs w:val="20"/>
              </w:rPr>
            </w:pPr>
            <w:r w:rsidRPr="00407AA4">
              <w:rPr>
                <w:b/>
                <w:sz w:val="20"/>
                <w:szCs w:val="20"/>
              </w:rPr>
              <w:t>Provider Registration and NDIS Practice Standards, Quality Indicators</w:t>
            </w:r>
          </w:p>
          <w:p w:rsidR="00407AA4" w:rsidRPr="00407AA4" w:rsidRDefault="00E71C5C" w:rsidP="00407AA4">
            <w:pPr>
              <w:pStyle w:val="ListParagraph"/>
              <w:numPr>
                <w:ilvl w:val="0"/>
                <w:numId w:val="38"/>
              </w:numPr>
              <w:spacing w:before="60" w:after="60" w:line="240" w:lineRule="auto"/>
              <w:rPr>
                <w:sz w:val="20"/>
                <w:szCs w:val="20"/>
              </w:rPr>
            </w:pPr>
            <w:r>
              <w:rPr>
                <w:sz w:val="20"/>
                <w:szCs w:val="20"/>
              </w:rPr>
              <w:t xml:space="preserve">States </w:t>
            </w:r>
            <w:r w:rsidR="00407AA4" w:rsidRPr="00407AA4">
              <w:rPr>
                <w:sz w:val="20"/>
                <w:szCs w:val="20"/>
              </w:rPr>
              <w:t>which NDIS providers must be registered.</w:t>
            </w:r>
          </w:p>
          <w:p w:rsidR="00407AA4" w:rsidRPr="00407AA4" w:rsidRDefault="00407AA4" w:rsidP="00407AA4">
            <w:pPr>
              <w:pStyle w:val="ListParagraph"/>
              <w:numPr>
                <w:ilvl w:val="0"/>
                <w:numId w:val="38"/>
              </w:numPr>
              <w:spacing w:before="60" w:after="60" w:line="240" w:lineRule="auto"/>
              <w:rPr>
                <w:sz w:val="20"/>
                <w:szCs w:val="20"/>
              </w:rPr>
            </w:pPr>
            <w:r w:rsidRPr="00407AA4">
              <w:rPr>
                <w:sz w:val="20"/>
                <w:szCs w:val="20"/>
              </w:rPr>
              <w:t>Outlines the suitability requirements for providers and key personnel to become registered.</w:t>
            </w:r>
          </w:p>
          <w:p w:rsidR="00407AA4" w:rsidRPr="00407AA4" w:rsidRDefault="00407AA4" w:rsidP="00407AA4">
            <w:pPr>
              <w:pStyle w:val="ListParagraph"/>
              <w:numPr>
                <w:ilvl w:val="0"/>
                <w:numId w:val="38"/>
              </w:numPr>
              <w:spacing w:before="60" w:after="60" w:line="240" w:lineRule="auto"/>
              <w:rPr>
                <w:sz w:val="20"/>
                <w:szCs w:val="20"/>
              </w:rPr>
            </w:pPr>
            <w:r w:rsidRPr="00407AA4">
              <w:rPr>
                <w:sz w:val="20"/>
                <w:szCs w:val="20"/>
              </w:rPr>
              <w:t>Requires providers to notify the NDIS Commission of material changes.</w:t>
            </w:r>
          </w:p>
          <w:p w:rsidR="00407AA4" w:rsidRPr="00407AA4" w:rsidRDefault="00407AA4" w:rsidP="00407AA4">
            <w:pPr>
              <w:pStyle w:val="ListParagraph"/>
              <w:numPr>
                <w:ilvl w:val="0"/>
                <w:numId w:val="38"/>
              </w:numPr>
              <w:spacing w:before="60" w:after="60" w:line="240" w:lineRule="auto"/>
              <w:rPr>
                <w:sz w:val="20"/>
                <w:szCs w:val="20"/>
              </w:rPr>
            </w:pPr>
            <w:r w:rsidRPr="00407AA4">
              <w:rPr>
                <w:sz w:val="20"/>
                <w:szCs w:val="20"/>
              </w:rPr>
              <w:t>Incorporate</w:t>
            </w:r>
            <w:r w:rsidR="009B2CC6">
              <w:rPr>
                <w:sz w:val="20"/>
                <w:szCs w:val="20"/>
              </w:rPr>
              <w:t>s</w:t>
            </w:r>
            <w:r w:rsidRPr="00407AA4">
              <w:rPr>
                <w:sz w:val="20"/>
                <w:szCs w:val="20"/>
              </w:rPr>
              <w:t xml:space="preserve"> the NDIS Practice Standards, which establish the national standards and expectations of </w:t>
            </w:r>
            <w:r w:rsidR="00E71C5C">
              <w:rPr>
                <w:sz w:val="20"/>
                <w:szCs w:val="20"/>
              </w:rPr>
              <w:t xml:space="preserve">registered NDIS </w:t>
            </w:r>
            <w:r w:rsidRPr="00407AA4">
              <w:rPr>
                <w:sz w:val="20"/>
                <w:szCs w:val="20"/>
              </w:rPr>
              <w:t>provider</w:t>
            </w:r>
            <w:r w:rsidR="00E71C5C">
              <w:rPr>
                <w:sz w:val="20"/>
                <w:szCs w:val="20"/>
              </w:rPr>
              <w:t>s</w:t>
            </w:r>
            <w:r w:rsidRPr="00407AA4">
              <w:rPr>
                <w:sz w:val="20"/>
                <w:szCs w:val="20"/>
              </w:rPr>
              <w:t xml:space="preserve"> relevant to the supports or services provided.  </w:t>
            </w:r>
          </w:p>
          <w:p w:rsidR="00407AA4" w:rsidRPr="00407AA4" w:rsidRDefault="00407AA4" w:rsidP="00407AA4">
            <w:pPr>
              <w:pStyle w:val="ListParagraph"/>
              <w:numPr>
                <w:ilvl w:val="0"/>
                <w:numId w:val="38"/>
              </w:numPr>
              <w:spacing w:before="60" w:after="60" w:line="240" w:lineRule="auto"/>
              <w:rPr>
                <w:b/>
                <w:sz w:val="20"/>
                <w:szCs w:val="20"/>
              </w:rPr>
            </w:pPr>
            <w:r w:rsidRPr="00407AA4">
              <w:rPr>
                <w:sz w:val="20"/>
                <w:szCs w:val="20"/>
              </w:rPr>
              <w:t>Provides for the publication of an NDIS Register to include details about a provider’s registration and relevant compliance action.</w:t>
            </w:r>
          </w:p>
          <w:p w:rsidR="00407AA4" w:rsidRPr="00407AA4" w:rsidRDefault="009B2CC6" w:rsidP="009B2CC6">
            <w:pPr>
              <w:pStyle w:val="ListParagraph"/>
              <w:numPr>
                <w:ilvl w:val="0"/>
                <w:numId w:val="38"/>
              </w:numPr>
              <w:spacing w:before="60" w:after="60" w:line="240" w:lineRule="auto"/>
              <w:rPr>
                <w:b/>
                <w:sz w:val="20"/>
                <w:szCs w:val="20"/>
              </w:rPr>
            </w:pPr>
            <w:r>
              <w:rPr>
                <w:sz w:val="20"/>
                <w:szCs w:val="20"/>
              </w:rPr>
              <w:t xml:space="preserve">Sets out </w:t>
            </w:r>
            <w:r w:rsidR="00407AA4" w:rsidRPr="00407AA4">
              <w:rPr>
                <w:sz w:val="20"/>
                <w:szCs w:val="20"/>
              </w:rPr>
              <w:t>the criteria by which NDIS providers demonstrate compliance with the NDIS Practice Standards.</w:t>
            </w:r>
          </w:p>
        </w:tc>
      </w:tr>
      <w:tr w:rsidR="00407AA4" w:rsidRPr="00407AA4" w:rsidTr="00407AA4">
        <w:trPr>
          <w:trHeight w:val="827"/>
        </w:trPr>
        <w:tc>
          <w:tcPr>
            <w:tcW w:w="582" w:type="dxa"/>
            <w:tcBorders>
              <w:bottom w:val="single" w:sz="4" w:space="0" w:color="auto"/>
            </w:tcBorders>
            <w:shd w:val="clear" w:color="auto" w:fill="98C11D"/>
          </w:tcPr>
          <w:p w:rsidR="00407AA4" w:rsidRPr="00407AA4" w:rsidRDefault="00407AA4" w:rsidP="00BC1E19">
            <w:pPr>
              <w:spacing w:before="60" w:after="60"/>
              <w:rPr>
                <w:b/>
                <w:sz w:val="20"/>
                <w:szCs w:val="20"/>
              </w:rPr>
            </w:pPr>
            <w:r w:rsidRPr="00407AA4">
              <w:rPr>
                <w:b/>
                <w:sz w:val="20"/>
                <w:szCs w:val="20"/>
              </w:rPr>
              <w:t>7</w:t>
            </w:r>
          </w:p>
        </w:tc>
        <w:tc>
          <w:tcPr>
            <w:tcW w:w="20823" w:type="dxa"/>
            <w:tcBorders>
              <w:bottom w:val="single" w:sz="4" w:space="0" w:color="auto"/>
            </w:tcBorders>
            <w:shd w:val="clear" w:color="auto" w:fill="FFFFFF"/>
          </w:tcPr>
          <w:p w:rsidR="00407AA4" w:rsidRPr="00407AA4" w:rsidRDefault="00407AA4" w:rsidP="00BC1E19">
            <w:pPr>
              <w:spacing w:before="60" w:after="60"/>
              <w:rPr>
                <w:b/>
                <w:sz w:val="20"/>
                <w:szCs w:val="20"/>
              </w:rPr>
            </w:pPr>
            <w:r w:rsidRPr="00407AA4">
              <w:rPr>
                <w:b/>
                <w:sz w:val="20"/>
                <w:szCs w:val="20"/>
              </w:rPr>
              <w:t>Protection and Disclosure of Information</w:t>
            </w:r>
          </w:p>
          <w:p w:rsidR="00BD09D1" w:rsidRDefault="00BD09D1" w:rsidP="00407AA4">
            <w:pPr>
              <w:pStyle w:val="ListParagraph"/>
              <w:numPr>
                <w:ilvl w:val="0"/>
                <w:numId w:val="37"/>
              </w:numPr>
              <w:spacing w:after="0" w:line="240" w:lineRule="auto"/>
              <w:rPr>
                <w:sz w:val="20"/>
                <w:szCs w:val="20"/>
              </w:rPr>
            </w:pPr>
            <w:r w:rsidRPr="00407AA4">
              <w:rPr>
                <w:sz w:val="20"/>
                <w:szCs w:val="20"/>
              </w:rPr>
              <w:t xml:space="preserve">Prescribes rules and guidance in relation to the NDIS Commissioner’s disclosure powers </w:t>
            </w:r>
          </w:p>
          <w:p w:rsidR="00407AA4" w:rsidRPr="00EA0751" w:rsidRDefault="00407AA4" w:rsidP="00EA0751">
            <w:pPr>
              <w:pStyle w:val="ListParagraph"/>
              <w:numPr>
                <w:ilvl w:val="0"/>
                <w:numId w:val="37"/>
              </w:numPr>
              <w:spacing w:after="0" w:line="240" w:lineRule="auto"/>
              <w:rPr>
                <w:sz w:val="20"/>
                <w:szCs w:val="20"/>
              </w:rPr>
            </w:pPr>
            <w:r w:rsidRPr="00407AA4">
              <w:rPr>
                <w:sz w:val="20"/>
                <w:szCs w:val="20"/>
              </w:rPr>
              <w:t xml:space="preserve">Prescribes state and territory laws that may mean that a person is not required to give information or evidence or produce a document, despite a requirement from the NDIS Commissioner. </w:t>
            </w:r>
          </w:p>
        </w:tc>
      </w:tr>
      <w:tr w:rsidR="00407AA4" w:rsidRPr="00407AA4" w:rsidTr="00407AA4">
        <w:trPr>
          <w:trHeight w:val="827"/>
        </w:trPr>
        <w:tc>
          <w:tcPr>
            <w:tcW w:w="582" w:type="dxa"/>
            <w:tcBorders>
              <w:bottom w:val="single" w:sz="4" w:space="0" w:color="auto"/>
            </w:tcBorders>
            <w:shd w:val="clear" w:color="auto" w:fill="98C11D"/>
          </w:tcPr>
          <w:p w:rsidR="00407AA4" w:rsidRPr="00407AA4" w:rsidRDefault="00407AA4" w:rsidP="00BC1E19">
            <w:pPr>
              <w:spacing w:before="60" w:after="60"/>
              <w:rPr>
                <w:b/>
                <w:sz w:val="20"/>
                <w:szCs w:val="20"/>
              </w:rPr>
            </w:pPr>
            <w:r w:rsidRPr="00407AA4">
              <w:rPr>
                <w:b/>
                <w:sz w:val="20"/>
                <w:szCs w:val="20"/>
              </w:rPr>
              <w:t>8</w:t>
            </w:r>
          </w:p>
        </w:tc>
        <w:tc>
          <w:tcPr>
            <w:tcW w:w="20823" w:type="dxa"/>
            <w:tcBorders>
              <w:bottom w:val="single" w:sz="4" w:space="0" w:color="auto"/>
            </w:tcBorders>
            <w:shd w:val="clear" w:color="auto" w:fill="FFFFFF"/>
          </w:tcPr>
          <w:p w:rsidR="00407AA4" w:rsidRPr="00407AA4" w:rsidRDefault="00407AA4" w:rsidP="002572B4">
            <w:pPr>
              <w:spacing w:before="60" w:after="60" w:line="240" w:lineRule="auto"/>
              <w:rPr>
                <w:b/>
                <w:sz w:val="20"/>
                <w:szCs w:val="20"/>
              </w:rPr>
            </w:pPr>
            <w:r w:rsidRPr="00407AA4">
              <w:rPr>
                <w:b/>
                <w:sz w:val="20"/>
                <w:szCs w:val="20"/>
              </w:rPr>
              <w:t>Provider Definition</w:t>
            </w:r>
          </w:p>
          <w:p w:rsidR="00407AA4" w:rsidRPr="00407AA4" w:rsidRDefault="00407AA4" w:rsidP="0044760C">
            <w:pPr>
              <w:pStyle w:val="ListParagraph"/>
              <w:numPr>
                <w:ilvl w:val="0"/>
                <w:numId w:val="37"/>
              </w:numPr>
              <w:spacing w:after="0" w:line="240" w:lineRule="auto"/>
              <w:rPr>
                <w:b/>
                <w:sz w:val="20"/>
                <w:szCs w:val="20"/>
              </w:rPr>
            </w:pPr>
            <w:r w:rsidRPr="00407AA4">
              <w:rPr>
                <w:sz w:val="20"/>
                <w:szCs w:val="20"/>
              </w:rPr>
              <w:t xml:space="preserve">Defines an NDIS provider to include a person or entity who is providing supports or services to </w:t>
            </w:r>
            <w:r w:rsidRPr="00407AA4">
              <w:rPr>
                <w:sz w:val="20"/>
                <w:szCs w:val="20"/>
                <w:lang w:val="en-US"/>
              </w:rPr>
              <w:t xml:space="preserve">older people with disability who are receiving continuity of support under the Commonwealth Continuity of Support </w:t>
            </w:r>
            <w:proofErr w:type="spellStart"/>
            <w:r w:rsidRPr="00407AA4">
              <w:rPr>
                <w:sz w:val="20"/>
                <w:szCs w:val="20"/>
                <w:lang w:val="en-US"/>
              </w:rPr>
              <w:t>Programme</w:t>
            </w:r>
            <w:proofErr w:type="spellEnd"/>
            <w:r w:rsidRPr="00407AA4">
              <w:rPr>
                <w:sz w:val="20"/>
                <w:szCs w:val="20"/>
                <w:lang w:val="en-US"/>
              </w:rPr>
              <w:t xml:space="preserve"> relating to Specialist Disability Services for Older People.</w:t>
            </w:r>
          </w:p>
        </w:tc>
      </w:tr>
      <w:tr w:rsidR="00407AA4" w:rsidRPr="00407AA4" w:rsidTr="00407AA4">
        <w:trPr>
          <w:trHeight w:val="493"/>
        </w:trPr>
        <w:tc>
          <w:tcPr>
            <w:tcW w:w="21405" w:type="dxa"/>
            <w:gridSpan w:val="2"/>
            <w:tcBorders>
              <w:bottom w:val="single" w:sz="4" w:space="0" w:color="auto"/>
            </w:tcBorders>
            <w:shd w:val="clear" w:color="auto" w:fill="612C69"/>
          </w:tcPr>
          <w:p w:rsidR="00407AA4" w:rsidRPr="00407AA4" w:rsidRDefault="00407AA4" w:rsidP="00BC1E19">
            <w:pPr>
              <w:spacing w:before="60" w:after="60"/>
              <w:rPr>
                <w:b/>
                <w:sz w:val="20"/>
                <w:szCs w:val="20"/>
              </w:rPr>
            </w:pPr>
            <w:r w:rsidRPr="00407AA4">
              <w:rPr>
                <w:b/>
                <w:color w:val="FFFFFF" w:themeColor="background1"/>
                <w:sz w:val="24"/>
                <w:szCs w:val="20"/>
              </w:rPr>
              <w:t>Technical Rules</w:t>
            </w:r>
          </w:p>
        </w:tc>
      </w:tr>
      <w:tr w:rsidR="00407AA4" w:rsidRPr="00407AA4" w:rsidTr="008D43B7">
        <w:tc>
          <w:tcPr>
            <w:tcW w:w="582" w:type="dxa"/>
            <w:tcBorders>
              <w:bottom w:val="single" w:sz="4" w:space="0" w:color="auto"/>
            </w:tcBorders>
            <w:shd w:val="clear" w:color="auto" w:fill="98C11D"/>
          </w:tcPr>
          <w:p w:rsidR="00407AA4" w:rsidRPr="00407AA4" w:rsidRDefault="00407AA4" w:rsidP="00BC1E19">
            <w:pPr>
              <w:spacing w:before="60" w:after="60"/>
              <w:rPr>
                <w:b/>
                <w:sz w:val="20"/>
                <w:szCs w:val="20"/>
              </w:rPr>
            </w:pPr>
            <w:r w:rsidRPr="00407AA4">
              <w:rPr>
                <w:b/>
                <w:sz w:val="20"/>
                <w:szCs w:val="20"/>
              </w:rPr>
              <w:t>9</w:t>
            </w:r>
          </w:p>
        </w:tc>
        <w:tc>
          <w:tcPr>
            <w:tcW w:w="20823" w:type="dxa"/>
            <w:tcBorders>
              <w:bottom w:val="single" w:sz="4" w:space="0" w:color="auto"/>
            </w:tcBorders>
            <w:shd w:val="clear" w:color="auto" w:fill="FFFFFF"/>
          </w:tcPr>
          <w:p w:rsidR="00407AA4" w:rsidRPr="00407AA4" w:rsidRDefault="00407AA4" w:rsidP="002572B4">
            <w:pPr>
              <w:spacing w:before="60" w:after="60" w:line="240" w:lineRule="auto"/>
              <w:rPr>
                <w:b/>
                <w:sz w:val="20"/>
                <w:szCs w:val="20"/>
              </w:rPr>
            </w:pPr>
            <w:r w:rsidRPr="00407AA4">
              <w:rPr>
                <w:b/>
                <w:sz w:val="20"/>
                <w:szCs w:val="20"/>
              </w:rPr>
              <w:t>Specialist Disability Accommodation (SDA) – Conditions of Registration</w:t>
            </w:r>
          </w:p>
          <w:p w:rsidR="00407AA4" w:rsidRPr="00407AA4" w:rsidRDefault="00407AA4" w:rsidP="00407AA4">
            <w:pPr>
              <w:pStyle w:val="ListParagraph"/>
              <w:numPr>
                <w:ilvl w:val="0"/>
                <w:numId w:val="37"/>
              </w:numPr>
              <w:spacing w:before="60" w:after="60" w:line="240" w:lineRule="auto"/>
              <w:rPr>
                <w:sz w:val="20"/>
                <w:szCs w:val="20"/>
              </w:rPr>
            </w:pPr>
            <w:r w:rsidRPr="00407AA4">
              <w:rPr>
                <w:sz w:val="20"/>
                <w:szCs w:val="20"/>
              </w:rPr>
              <w:t>Sets out the conditions of registration for NDIS Commission registered NDIS providers of SDA.</w:t>
            </w:r>
          </w:p>
        </w:tc>
      </w:tr>
      <w:tr w:rsidR="00407AA4" w:rsidRPr="00407AA4" w:rsidTr="00407AA4">
        <w:trPr>
          <w:trHeight w:val="551"/>
        </w:trPr>
        <w:tc>
          <w:tcPr>
            <w:tcW w:w="582" w:type="dxa"/>
            <w:tcBorders>
              <w:bottom w:val="single" w:sz="4" w:space="0" w:color="auto"/>
            </w:tcBorders>
            <w:shd w:val="clear" w:color="auto" w:fill="98C11D"/>
          </w:tcPr>
          <w:p w:rsidR="00407AA4" w:rsidRPr="00407AA4" w:rsidRDefault="00407AA4" w:rsidP="00BC1E19">
            <w:pPr>
              <w:spacing w:before="60" w:after="60"/>
              <w:rPr>
                <w:b/>
                <w:sz w:val="20"/>
                <w:szCs w:val="20"/>
              </w:rPr>
            </w:pPr>
            <w:r w:rsidRPr="00407AA4">
              <w:rPr>
                <w:b/>
                <w:sz w:val="20"/>
                <w:szCs w:val="20"/>
              </w:rPr>
              <w:t>1</w:t>
            </w:r>
            <w:r w:rsidR="00176CEA">
              <w:rPr>
                <w:b/>
                <w:sz w:val="20"/>
                <w:szCs w:val="20"/>
              </w:rPr>
              <w:t>0</w:t>
            </w:r>
          </w:p>
        </w:tc>
        <w:tc>
          <w:tcPr>
            <w:tcW w:w="20823" w:type="dxa"/>
            <w:tcBorders>
              <w:bottom w:val="single" w:sz="4" w:space="0" w:color="auto"/>
            </w:tcBorders>
            <w:shd w:val="clear" w:color="auto" w:fill="FFFFFF"/>
          </w:tcPr>
          <w:p w:rsidR="00407AA4" w:rsidRPr="00407AA4" w:rsidRDefault="00407AA4" w:rsidP="002572B4">
            <w:pPr>
              <w:spacing w:before="60" w:after="60" w:line="240" w:lineRule="auto"/>
              <w:rPr>
                <w:b/>
                <w:sz w:val="20"/>
                <w:szCs w:val="20"/>
              </w:rPr>
            </w:pPr>
            <w:r w:rsidRPr="00407AA4">
              <w:rPr>
                <w:b/>
                <w:sz w:val="20"/>
                <w:szCs w:val="20"/>
              </w:rPr>
              <w:t>Transitional Rules</w:t>
            </w:r>
          </w:p>
          <w:p w:rsidR="00407AA4" w:rsidRPr="00407AA4" w:rsidRDefault="00407AA4" w:rsidP="0044760C">
            <w:pPr>
              <w:pStyle w:val="ListParagraph"/>
              <w:numPr>
                <w:ilvl w:val="0"/>
                <w:numId w:val="38"/>
              </w:numPr>
              <w:spacing w:before="60" w:after="60" w:line="240" w:lineRule="auto"/>
              <w:rPr>
                <w:b/>
                <w:sz w:val="20"/>
                <w:szCs w:val="20"/>
              </w:rPr>
            </w:pPr>
            <w:r w:rsidRPr="00407AA4">
              <w:rPr>
                <w:sz w:val="20"/>
                <w:szCs w:val="20"/>
              </w:rPr>
              <w:t>Provides for existing registered providers to transition as registered NDIS providers into the NDIS Commission by modifying some provisions of the Act.</w:t>
            </w:r>
          </w:p>
        </w:tc>
      </w:tr>
    </w:tbl>
    <w:p w:rsidR="006F49CA" w:rsidRPr="006F49CA" w:rsidRDefault="006F49CA" w:rsidP="002572B4"/>
    <w:sectPr w:rsidR="006F49CA" w:rsidRPr="006F49CA" w:rsidSect="00407AA4">
      <w:footerReference w:type="default" r:id="rId8"/>
      <w:headerReference w:type="first" r:id="rId9"/>
      <w:footerReference w:type="first" r:id="rId10"/>
      <w:type w:val="continuous"/>
      <w:pgSz w:w="23811" w:h="16838" w:orient="landscape" w:code="8"/>
      <w:pgMar w:top="1440" w:right="1440" w:bottom="284" w:left="1440" w:header="284" w:footer="0"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8C9" w:rsidRDefault="008618C9" w:rsidP="008E21DE">
      <w:pPr>
        <w:spacing w:after="0"/>
      </w:pPr>
      <w:r>
        <w:separator/>
      </w:r>
    </w:p>
  </w:endnote>
  <w:endnote w:type="continuationSeparator" w:id="0">
    <w:p w:rsidR="008618C9" w:rsidRDefault="008618C9" w:rsidP="008E21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D7" w:rsidRPr="001E5157" w:rsidRDefault="001E5157" w:rsidP="001E5157">
    <w:pPr>
      <w:pStyle w:val="Footer"/>
      <w:tabs>
        <w:tab w:val="clear" w:pos="4513"/>
        <w:tab w:val="clear" w:pos="9026"/>
        <w:tab w:val="center" w:pos="7088"/>
        <w:tab w:val="right" w:pos="13892"/>
      </w:tabs>
      <w:rPr>
        <w:sz w:val="18"/>
        <w:szCs w:val="18"/>
      </w:rPr>
    </w:pPr>
    <w:r>
      <w:rPr>
        <w:b/>
        <w:bCs/>
        <w:noProof/>
        <w:lang w:eastAsia="en-AU"/>
      </w:rPr>
      <mc:AlternateContent>
        <mc:Choice Requires="wps">
          <w:drawing>
            <wp:anchor distT="0" distB="0" distL="114300" distR="114300" simplePos="0" relativeHeight="251671552" behindDoc="1" locked="0" layoutInCell="1" allowOverlap="1" wp14:anchorId="097AE3F0" wp14:editId="4A87300D">
              <wp:simplePos x="0" y="0"/>
              <wp:positionH relativeFrom="margin">
                <wp:align>right</wp:align>
              </wp:positionH>
              <wp:positionV relativeFrom="paragraph">
                <wp:posOffset>-12198</wp:posOffset>
              </wp:positionV>
              <wp:extent cx="6273800" cy="89640"/>
              <wp:effectExtent l="0" t="0" r="0" b="5715"/>
              <wp:wrapNone/>
              <wp:docPr id="1" name="Rectangle 1" descr="background" title="background"/>
              <wp:cNvGraphicFramePr/>
              <a:graphic xmlns:a="http://schemas.openxmlformats.org/drawingml/2006/main">
                <a:graphicData uri="http://schemas.microsoft.com/office/word/2010/wordprocessingShape">
                  <wps:wsp>
                    <wps:cNvSpPr/>
                    <wps:spPr>
                      <a:xfrm>
                        <a:off x="0" y="0"/>
                        <a:ext cx="6273800" cy="8964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03240C08" id="Rectangle 1" o:spid="_x0000_s1026" alt="Title: background - Description: background" style="position:absolute;margin-left:442.8pt;margin-top:-.95pt;width:494pt;height:7.05pt;z-index:-251644928;visibility:visible;mso-wrap-style:square;mso-width-percent:1000;mso-height-percent:0;mso-wrap-distance-left:9pt;mso-wrap-distance-top:0;mso-wrap-distance-right:9pt;mso-wrap-distance-bottom:0;mso-position-horizontal:right;mso-position-horizontal-relative:margin;mso-position-vertical:absolute;mso-position-vertical-relative:text;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" fillcolor="#539250 [3207]" stroked="f" strokeweight="1pt">
              <v:fill color2="#83b14c [3208]" angle="90" colors="0 #539250;.5 #83b14c" focus="100%" type="gradient">
                <o:fill v:ext="view" type="gradientUnscaled"/>
              </v:fill>
              <w10:wrap anchorx="margin"/>
            </v:rect>
          </w:pict>
        </mc:Fallback>
      </mc:AlternateContent>
    </w:r>
    <w:r>
      <w:rPr>
        <w:sz w:val="18"/>
        <w:szCs w:val="18"/>
      </w:rPr>
      <w:tab/>
    </w:r>
    <w:r w:rsidRPr="00362AB6">
      <w:rPr>
        <w:sz w:val="18"/>
        <w:szCs w:val="18"/>
      </w:rPr>
      <w:t>NDIS Quality and Safeguards Commission</w:t>
    </w:r>
    <w:r>
      <w:tab/>
    </w:r>
    <w:r w:rsidRPr="006F49CA">
      <w:rPr>
        <w:sz w:val="18"/>
        <w:szCs w:val="18"/>
      </w:rPr>
      <w:fldChar w:fldCharType="begin"/>
    </w:r>
    <w:r w:rsidRPr="006F49CA">
      <w:rPr>
        <w:sz w:val="18"/>
        <w:szCs w:val="18"/>
      </w:rPr>
      <w:instrText xml:space="preserve"> PAGE   \* MERGEFORMAT </w:instrText>
    </w:r>
    <w:r w:rsidRPr="006F49CA">
      <w:rPr>
        <w:sz w:val="18"/>
        <w:szCs w:val="18"/>
      </w:rPr>
      <w:fldChar w:fldCharType="separate"/>
    </w:r>
    <w:r w:rsidR="009B58C7">
      <w:rPr>
        <w:noProof/>
        <w:sz w:val="18"/>
        <w:szCs w:val="18"/>
      </w:rPr>
      <w:t>2</w:t>
    </w:r>
    <w:r w:rsidRPr="006F49CA">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AA4" w:rsidRDefault="00AA094B" w:rsidP="00407AA4">
    <w:pPr>
      <w:pStyle w:val="Footer"/>
      <w:tabs>
        <w:tab w:val="clear" w:pos="4513"/>
        <w:tab w:val="clear" w:pos="9026"/>
        <w:tab w:val="center" w:pos="7088"/>
        <w:tab w:val="right" w:pos="13892"/>
      </w:tabs>
      <w:ind w:left="832" w:firstLine="7088"/>
      <w:jc w:val="center"/>
      <w:rPr>
        <w:sz w:val="18"/>
        <w:szCs w:val="18"/>
      </w:rPr>
    </w:pPr>
    <w:r>
      <w:rPr>
        <w:b/>
        <w:bCs/>
        <w:noProof/>
        <w:lang w:eastAsia="en-AU"/>
      </w:rPr>
      <mc:AlternateContent>
        <mc:Choice Requires="wps">
          <w:drawing>
            <wp:anchor distT="0" distB="0" distL="114300" distR="114300" simplePos="0" relativeHeight="251665408" behindDoc="1" locked="0" layoutInCell="1" allowOverlap="1">
              <wp:simplePos x="0" y="0"/>
              <wp:positionH relativeFrom="margin">
                <wp:align>right</wp:align>
              </wp:positionH>
              <wp:positionV relativeFrom="paragraph">
                <wp:posOffset>-12198</wp:posOffset>
              </wp:positionV>
              <wp:extent cx="6273800" cy="89640"/>
              <wp:effectExtent l="0" t="0" r="0" b="5715"/>
              <wp:wrapNone/>
              <wp:docPr id="7" name="Rectangle 7" descr="background" title="background"/>
              <wp:cNvGraphicFramePr/>
              <a:graphic xmlns:a="http://schemas.openxmlformats.org/drawingml/2006/main">
                <a:graphicData uri="http://schemas.microsoft.com/office/word/2010/wordprocessingShape">
                  <wps:wsp>
                    <wps:cNvSpPr/>
                    <wps:spPr>
                      <a:xfrm>
                        <a:off x="0" y="0"/>
                        <a:ext cx="6273800" cy="8964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00B5D2F1" id="Rectangle 7" o:spid="_x0000_s1026" alt="Title: background - Description: background" style="position:absolute;margin-left:442.8pt;margin-top:-.95pt;width:494pt;height:7.05pt;z-index:-251651072;visibility:visible;mso-wrap-style:square;mso-width-percent:1000;mso-height-percent:0;mso-wrap-distance-left:9pt;mso-wrap-distance-top:0;mso-wrap-distance-right:9pt;mso-wrap-distance-bottom:0;mso-position-horizontal:right;mso-position-horizontal-relative:margin;mso-position-vertical:absolute;mso-position-vertical-relative:text;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" fillcolor="#539250 [3207]" stroked="f" strokeweight="1pt">
              <v:fill color2="#83b14c [3208]" angle="90" colors="0 #539250;.5 #83b14c" focus="100%" type="gradient">
                <o:fill v:ext="view" type="gradientUnscaled"/>
              </v:fill>
              <w10:wrap anchorx="margin"/>
            </v:rect>
          </w:pict>
        </mc:Fallback>
      </mc:AlternateContent>
    </w:r>
  </w:p>
  <w:p w:rsidR="008E21DE" w:rsidRPr="006F49CA" w:rsidRDefault="004D4273" w:rsidP="00255AFC">
    <w:pPr>
      <w:pStyle w:val="Footer"/>
      <w:tabs>
        <w:tab w:val="clear" w:pos="4513"/>
        <w:tab w:val="clear" w:pos="9026"/>
        <w:tab w:val="center" w:pos="7088"/>
        <w:tab w:val="right" w:pos="13892"/>
      </w:tabs>
      <w:ind w:left="832" w:hanging="974"/>
      <w:jc w:val="center"/>
      <w:rPr>
        <w:sz w:val="18"/>
        <w:szCs w:val="18"/>
      </w:rPr>
    </w:pPr>
    <w:r w:rsidRPr="00362AB6">
      <w:rPr>
        <w:sz w:val="18"/>
        <w:szCs w:val="18"/>
      </w:rPr>
      <w:t>NDIS Quality and Safeguards Commission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8C9" w:rsidRDefault="008618C9" w:rsidP="008E21DE">
      <w:pPr>
        <w:spacing w:after="0"/>
      </w:pPr>
      <w:r>
        <w:separator/>
      </w:r>
    </w:p>
  </w:footnote>
  <w:footnote w:type="continuationSeparator" w:id="0">
    <w:p w:rsidR="008618C9" w:rsidRDefault="008618C9" w:rsidP="008E21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D7" w:rsidRDefault="00EE737C">
    <w:pPr>
      <w:pStyle w:val="Header"/>
    </w:pPr>
    <w:r>
      <w:rPr>
        <w:noProof/>
        <w:lang w:eastAsia="en-AU"/>
      </w:rPr>
      <w:drawing>
        <wp:anchor distT="0" distB="0" distL="114300" distR="114300" simplePos="0" relativeHeight="251669504" behindDoc="0" locked="0" layoutInCell="1" allowOverlap="1">
          <wp:simplePos x="0" y="0"/>
          <wp:positionH relativeFrom="column">
            <wp:posOffset>-118110</wp:posOffset>
          </wp:positionH>
          <wp:positionV relativeFrom="paragraph">
            <wp:posOffset>-350402</wp:posOffset>
          </wp:positionV>
          <wp:extent cx="3574415" cy="1404620"/>
          <wp:effectExtent l="0" t="0" r="6985" b="5080"/>
          <wp:wrapTopAndBottom/>
          <wp:docPr id="13" name="Picture 13" descr="Australian Government crest -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t="-26618"/>
                  <a:stretch/>
                </pic:blipFill>
                <pic:spPr bwMode="auto">
                  <a:xfrm>
                    <a:off x="0" y="0"/>
                    <a:ext cx="3574415" cy="1404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35922BA"/>
    <w:multiLevelType w:val="hybridMultilevel"/>
    <w:tmpl w:val="9C3E6E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4456C2"/>
    <w:multiLevelType w:val="hybridMultilevel"/>
    <w:tmpl w:val="EFCC2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A632A9"/>
    <w:multiLevelType w:val="multilevel"/>
    <w:tmpl w:val="A41689A2"/>
    <w:numStyleLink w:val="AppendixNumbers"/>
  </w:abstractNum>
  <w:abstractNum w:abstractNumId="11"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3" w15:restartNumberingAfterBreak="0">
    <w:nsid w:val="49587F78"/>
    <w:multiLevelType w:val="multilevel"/>
    <w:tmpl w:val="07629034"/>
    <w:numStyleLink w:val="KCBullets"/>
  </w:abstractNum>
  <w:abstractNum w:abstractNumId="14" w15:restartNumberingAfterBreak="0">
    <w:nsid w:val="4B1F19D7"/>
    <w:multiLevelType w:val="hybridMultilevel"/>
    <w:tmpl w:val="533A2B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0517343"/>
    <w:multiLevelType w:val="multilevel"/>
    <w:tmpl w:val="131EEC6C"/>
    <w:numStyleLink w:val="TableNumbers"/>
  </w:abstractNum>
  <w:abstractNum w:abstractNumId="16" w15:restartNumberingAfterBreak="0">
    <w:nsid w:val="50E12008"/>
    <w:multiLevelType w:val="multilevel"/>
    <w:tmpl w:val="07629034"/>
    <w:numStyleLink w:val="KCBullets"/>
  </w:abstractNum>
  <w:abstractNum w:abstractNumId="1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563048B"/>
    <w:multiLevelType w:val="multilevel"/>
    <w:tmpl w:val="C284D0B0"/>
    <w:numStyleLink w:val="FigureNumbers"/>
  </w:abstractNum>
  <w:abstractNum w:abstractNumId="1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8615703"/>
    <w:multiLevelType w:val="multilevel"/>
    <w:tmpl w:val="803CF862"/>
    <w:numStyleLink w:val="List1Numbered"/>
  </w:abstractNum>
  <w:abstractNum w:abstractNumId="21" w15:restartNumberingAfterBreak="0">
    <w:nsid w:val="5BF51665"/>
    <w:multiLevelType w:val="multilevel"/>
    <w:tmpl w:val="4E929216"/>
    <w:numStyleLink w:val="NumberedHeadings"/>
  </w:abstractNum>
  <w:abstractNum w:abstractNumId="22" w15:restartNumberingAfterBreak="0">
    <w:nsid w:val="62397869"/>
    <w:multiLevelType w:val="multilevel"/>
    <w:tmpl w:val="4E929216"/>
    <w:numStyleLink w:val="NumberedHeadings"/>
  </w:abstractNum>
  <w:abstractNum w:abstractNumId="23" w15:restartNumberingAfterBreak="0">
    <w:nsid w:val="6D4F423B"/>
    <w:multiLevelType w:val="multilevel"/>
    <w:tmpl w:val="4A7CCC2C"/>
    <w:numStyleLink w:val="DefaultBullets"/>
  </w:abstractNum>
  <w:abstractNum w:abstractNumId="2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790B67C4"/>
    <w:multiLevelType w:val="multilevel"/>
    <w:tmpl w:val="FE688822"/>
    <w:numStyleLink w:val="BoxedBullets"/>
  </w:abstractNum>
  <w:abstractNum w:abstractNumId="26" w15:restartNumberingAfterBreak="0">
    <w:nsid w:val="7EE44065"/>
    <w:multiLevelType w:val="multilevel"/>
    <w:tmpl w:val="A41689A2"/>
    <w:numStyleLink w:val="AppendixNumbers"/>
  </w:abstractNum>
  <w:num w:numId="1">
    <w:abstractNumId w:val="4"/>
  </w:num>
  <w:num w:numId="2">
    <w:abstractNumId w:val="26"/>
  </w:num>
  <w:num w:numId="3">
    <w:abstractNumId w:val="17"/>
  </w:num>
  <w:num w:numId="4">
    <w:abstractNumId w:val="25"/>
  </w:num>
  <w:num w:numId="5">
    <w:abstractNumId w:val="25"/>
  </w:num>
  <w:num w:numId="6">
    <w:abstractNumId w:val="12"/>
  </w:num>
  <w:num w:numId="7">
    <w:abstractNumId w:val="16"/>
  </w:num>
  <w:num w:numId="8">
    <w:abstractNumId w:val="16"/>
  </w:num>
  <w:num w:numId="9">
    <w:abstractNumId w:val="16"/>
  </w:num>
  <w:num w:numId="10">
    <w:abstractNumId w:val="6"/>
  </w:num>
  <w:num w:numId="11">
    <w:abstractNumId w:val="18"/>
  </w:num>
  <w:num w:numId="12">
    <w:abstractNumId w:val="21"/>
  </w:num>
  <w:num w:numId="13">
    <w:abstractNumId w:val="21"/>
  </w:num>
  <w:num w:numId="14">
    <w:abstractNumId w:val="21"/>
  </w:num>
  <w:num w:numId="15">
    <w:abstractNumId w:val="21"/>
  </w:num>
  <w:num w:numId="16">
    <w:abstractNumId w:val="21"/>
  </w:num>
  <w:num w:numId="17">
    <w:abstractNumId w:val="21"/>
  </w:num>
  <w:num w:numId="18">
    <w:abstractNumId w:val="21"/>
  </w:num>
  <w:num w:numId="19">
    <w:abstractNumId w:val="5"/>
  </w:num>
  <w:num w:numId="20">
    <w:abstractNumId w:val="20"/>
  </w:num>
  <w:num w:numId="21">
    <w:abstractNumId w:val="20"/>
  </w:num>
  <w:num w:numId="22">
    <w:abstractNumId w:val="20"/>
  </w:num>
  <w:num w:numId="23">
    <w:abstractNumId w:val="19"/>
  </w:num>
  <w:num w:numId="24">
    <w:abstractNumId w:val="11"/>
  </w:num>
  <w:num w:numId="25">
    <w:abstractNumId w:val="8"/>
  </w:num>
  <w:num w:numId="26">
    <w:abstractNumId w:val="15"/>
  </w:num>
  <w:num w:numId="27">
    <w:abstractNumId w:val="0"/>
  </w:num>
  <w:num w:numId="28">
    <w:abstractNumId w:val="24"/>
  </w:num>
  <w:num w:numId="29">
    <w:abstractNumId w:val="3"/>
  </w:num>
  <w:num w:numId="30">
    <w:abstractNumId w:val="2"/>
  </w:num>
  <w:num w:numId="31">
    <w:abstractNumId w:val="9"/>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0"/>
  </w:num>
  <w:num w:numId="36">
    <w:abstractNumId w:val="13"/>
  </w:num>
  <w:num w:numId="37">
    <w:abstractNumId w:val="7"/>
  </w:num>
  <w:num w:numId="38">
    <w:abstractNumId w:val="14"/>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removePersonalInformation/>
  <w:removeDateAndTime/>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AA4"/>
    <w:rsid w:val="000668C1"/>
    <w:rsid w:val="00080615"/>
    <w:rsid w:val="000C252F"/>
    <w:rsid w:val="000C6E80"/>
    <w:rsid w:val="000F3A54"/>
    <w:rsid w:val="000F48FC"/>
    <w:rsid w:val="00176CEA"/>
    <w:rsid w:val="001C597F"/>
    <w:rsid w:val="001E5157"/>
    <w:rsid w:val="00201052"/>
    <w:rsid w:val="00231AAC"/>
    <w:rsid w:val="00255AFC"/>
    <w:rsid w:val="002572B4"/>
    <w:rsid w:val="002804D3"/>
    <w:rsid w:val="002D5178"/>
    <w:rsid w:val="00332F15"/>
    <w:rsid w:val="003449A0"/>
    <w:rsid w:val="00362AB6"/>
    <w:rsid w:val="00394CAC"/>
    <w:rsid w:val="003F29B8"/>
    <w:rsid w:val="00407AA4"/>
    <w:rsid w:val="004154E2"/>
    <w:rsid w:val="004253F4"/>
    <w:rsid w:val="0044760C"/>
    <w:rsid w:val="00497DEB"/>
    <w:rsid w:val="004A426D"/>
    <w:rsid w:val="004D4273"/>
    <w:rsid w:val="00534D53"/>
    <w:rsid w:val="00680A20"/>
    <w:rsid w:val="00680F04"/>
    <w:rsid w:val="006C4C0A"/>
    <w:rsid w:val="006F49CA"/>
    <w:rsid w:val="00784E64"/>
    <w:rsid w:val="007E2E44"/>
    <w:rsid w:val="007E55A7"/>
    <w:rsid w:val="007F55FF"/>
    <w:rsid w:val="008457AA"/>
    <w:rsid w:val="008618C9"/>
    <w:rsid w:val="00881386"/>
    <w:rsid w:val="008A649A"/>
    <w:rsid w:val="008D43B7"/>
    <w:rsid w:val="008E21DE"/>
    <w:rsid w:val="00920A8C"/>
    <w:rsid w:val="0092679E"/>
    <w:rsid w:val="009865F1"/>
    <w:rsid w:val="009B2CC6"/>
    <w:rsid w:val="009B58C7"/>
    <w:rsid w:val="009D6ACA"/>
    <w:rsid w:val="00A01322"/>
    <w:rsid w:val="00A07E4A"/>
    <w:rsid w:val="00A60009"/>
    <w:rsid w:val="00AA094B"/>
    <w:rsid w:val="00AB12D5"/>
    <w:rsid w:val="00AD735D"/>
    <w:rsid w:val="00AF0899"/>
    <w:rsid w:val="00B02E53"/>
    <w:rsid w:val="00B13E67"/>
    <w:rsid w:val="00B2697B"/>
    <w:rsid w:val="00B27226"/>
    <w:rsid w:val="00B603C0"/>
    <w:rsid w:val="00B83AB4"/>
    <w:rsid w:val="00BD09D1"/>
    <w:rsid w:val="00C0421C"/>
    <w:rsid w:val="00C10202"/>
    <w:rsid w:val="00C21944"/>
    <w:rsid w:val="00C42FD3"/>
    <w:rsid w:val="00C52C59"/>
    <w:rsid w:val="00C75A2B"/>
    <w:rsid w:val="00C90DF2"/>
    <w:rsid w:val="00D156F4"/>
    <w:rsid w:val="00D85049"/>
    <w:rsid w:val="00DB62EA"/>
    <w:rsid w:val="00DF74BA"/>
    <w:rsid w:val="00E260AC"/>
    <w:rsid w:val="00E71C5C"/>
    <w:rsid w:val="00E821A9"/>
    <w:rsid w:val="00EA03B5"/>
    <w:rsid w:val="00EA0751"/>
    <w:rsid w:val="00EE737C"/>
    <w:rsid w:val="00F9318C"/>
    <w:rsid w:val="00FA5D19"/>
    <w:rsid w:val="00FD66D7"/>
    <w:rsid w:val="00FF34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AA4"/>
    <w:pPr>
      <w:spacing w:before="0" w:after="200" w:line="276" w:lineRule="auto"/>
    </w:pPr>
    <w:rPr>
      <w:color w:val="auto"/>
      <w:sz w:val="22"/>
      <w:szCs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4"/>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3449A0"/>
    <w:pPr>
      <w:keepNext/>
      <w:tabs>
        <w:tab w:val="right" w:pos="9628"/>
      </w:tabs>
      <w:spacing w:line="340" w:lineRule="atLeast"/>
    </w:pPr>
    <w:rPr>
      <w:rFonts w:asciiTheme="majorHAnsi" w:hAnsiTheme="majorHAnsi"/>
      <w:b/>
      <w:sz w:val="24"/>
    </w:rPr>
  </w:style>
  <w:style w:type="paragraph" w:styleId="TOC2">
    <w:name w:val="toc 2"/>
    <w:basedOn w:val="Normal"/>
    <w:next w:val="Normal"/>
    <w:autoRedefine/>
    <w:uiPriority w:val="39"/>
    <w:rsid w:val="003449A0"/>
    <w:pPr>
      <w:tabs>
        <w:tab w:val="right" w:pos="9628"/>
      </w:tabs>
      <w:spacing w:after="60"/>
      <w:ind w:left="567" w:hanging="567"/>
    </w:pPr>
    <w:rPr>
      <w:rFonts w:asciiTheme="majorHAnsi" w:hAnsiTheme="majorHAnsi"/>
      <w:b/>
    </w:rPr>
  </w:style>
  <w:style w:type="paragraph" w:styleId="TOC3">
    <w:name w:val="toc 3"/>
    <w:basedOn w:val="Normal"/>
    <w:next w:val="Normal"/>
    <w:autoRedefine/>
    <w:uiPriority w:val="39"/>
    <w:rsid w:val="00AF0899"/>
    <w:pPr>
      <w:tabs>
        <w:tab w:val="right" w:pos="9628"/>
      </w:tabs>
      <w:spacing w:before="60" w:after="60"/>
      <w:ind w:left="567"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rsid w:val="00AF0899"/>
    <w:pPr>
      <w:outlineLvl w:val="9"/>
    </w:pPr>
  </w:style>
  <w:style w:type="numbering" w:customStyle="1" w:styleId="DefaultBullets">
    <w:name w:val="Default Bullets"/>
    <w:uiPriority w:val="99"/>
    <w:rsid w:val="00DF74BA"/>
    <w:pPr>
      <w:numPr>
        <w:numId w:val="28"/>
      </w:numPr>
    </w:pPr>
  </w:style>
  <w:style w:type="paragraph" w:styleId="ListParagraph">
    <w:name w:val="List Paragraph"/>
    <w:basedOn w:val="Normal"/>
    <w:uiPriority w:val="34"/>
    <w:qFormat/>
    <w:rsid w:val="00407AA4"/>
    <w:pPr>
      <w:ind w:left="720"/>
      <w:contextualSpacing/>
    </w:pPr>
  </w:style>
  <w:style w:type="paragraph" w:styleId="BalloonText">
    <w:name w:val="Balloon Text"/>
    <w:basedOn w:val="Normal"/>
    <w:link w:val="BalloonTextChar"/>
    <w:uiPriority w:val="99"/>
    <w:semiHidden/>
    <w:unhideWhenUsed/>
    <w:rsid w:val="009B2C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C6"/>
    <w:rPr>
      <w:rFonts w:ascii="Segoe UI" w:hAnsi="Segoe UI" w:cs="Segoe UI"/>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0E9CE-FB6F-49BF-8A14-BAEE51952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2019-12-11T22:18:00Z</dcterms:created>
  <dcterms:modified xsi:type="dcterms:W3CDTF">2019-12-17T23:15:00Z</dcterms:modified>
</cp:coreProperties>
</file>