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E30DA3" w:rsidRDefault="005D57E6" w:rsidP="00CE4DAF">
      <w:pPr>
        <w:pStyle w:val="Covertitle"/>
        <w:rPr>
          <w:sz w:val="80"/>
          <w:szCs w:val="80"/>
        </w:rPr>
      </w:pPr>
      <w:r w:rsidRPr="005920FB">
        <w:rPr>
          <w:sz w:val="80"/>
        </w:rPr>
        <w:t>Compliance Notices Policy</w:t>
      </w:r>
    </w:p>
    <w:p w:rsidR="00CE4DAF" w:rsidRPr="004359DF" w:rsidRDefault="005D57E6"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V1.0 – January 2022</w:t>
      </w:r>
    </w:p>
    <w:p w:rsidR="005D57E6" w:rsidRDefault="005D57E6" w:rsidP="005D57E6">
      <w:pPr>
        <w:suppressAutoHyphens w:val="0"/>
        <w:spacing w:before="120" w:after="120" w:line="240" w:lineRule="auto"/>
      </w:pPr>
      <w:r>
        <w:lastRenderedPageBreak/>
        <w:t>NDIS Quality and Safeguards Commission PO Box 210, Penrith NSW 2750.</w:t>
      </w:r>
    </w:p>
    <w:p w:rsidR="005D57E6" w:rsidRPr="005D57E6" w:rsidRDefault="005D57E6" w:rsidP="005D57E6">
      <w:pPr>
        <w:suppressAutoHyphens w:val="0"/>
        <w:spacing w:before="120" w:after="120" w:line="240" w:lineRule="auto"/>
        <w:rPr>
          <w:b/>
        </w:rPr>
      </w:pPr>
      <w:r w:rsidRPr="005D57E6">
        <w:rPr>
          <w:b/>
        </w:rPr>
        <w:t>Copyright</w:t>
      </w:r>
    </w:p>
    <w:p w:rsidR="005D57E6" w:rsidRDefault="005D57E6" w:rsidP="005D57E6">
      <w:pPr>
        <w:suppressAutoHyphens w:val="0"/>
        <w:spacing w:before="120" w:after="120" w:line="240" w:lineRule="auto"/>
      </w:pPr>
      <w:r>
        <w:t>© Commonwealth of Australia 2022</w:t>
      </w:r>
    </w:p>
    <w:p w:rsidR="00DE37A9" w:rsidRDefault="00DE37A9" w:rsidP="005D57E6">
      <w:pPr>
        <w:suppressAutoHyphens w:val="0"/>
        <w:spacing w:before="120" w:after="120" w:line="240" w:lineRule="auto"/>
      </w:pPr>
      <w:r w:rsidRPr="00D104DA">
        <w:rPr>
          <w:noProof/>
          <w:lang w:eastAsia="en-AU"/>
        </w:rPr>
        <w:drawing>
          <wp:inline distT="0" distB="0" distL="0" distR="0" wp14:anchorId="07E91157" wp14:editId="134AFCD1">
            <wp:extent cx="838302" cy="295275"/>
            <wp:effectExtent l="0" t="0" r="0" b="0"/>
            <wp:docPr id="9" name="image3.jpeg"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302" cy="295275"/>
                    </a:xfrm>
                    <a:prstGeom prst="rect">
                      <a:avLst/>
                    </a:prstGeom>
                  </pic:spPr>
                </pic:pic>
              </a:graphicData>
            </a:graphic>
          </wp:inline>
        </w:drawing>
      </w:r>
    </w:p>
    <w:p w:rsidR="005D57E6" w:rsidRDefault="005D57E6" w:rsidP="005D57E6">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rsidR="005D57E6" w:rsidRDefault="005D57E6" w:rsidP="005D57E6">
      <w:pPr>
        <w:pStyle w:val="ListParagraph"/>
        <w:numPr>
          <w:ilvl w:val="0"/>
          <w:numId w:val="38"/>
        </w:numPr>
        <w:spacing w:before="120" w:after="120"/>
      </w:pPr>
      <w:r>
        <w:t>the Commonwealth Coat of Arms</w:t>
      </w:r>
      <w:bookmarkStart w:id="0" w:name="_GoBack"/>
      <w:bookmarkEnd w:id="0"/>
    </w:p>
    <w:p w:rsidR="005D57E6" w:rsidRDefault="005D57E6" w:rsidP="005D57E6">
      <w:pPr>
        <w:pStyle w:val="ListParagraph"/>
        <w:numPr>
          <w:ilvl w:val="0"/>
          <w:numId w:val="38"/>
        </w:numPr>
        <w:spacing w:before="120" w:after="120"/>
      </w:pPr>
      <w:r>
        <w:t>the NDIS Quality and Safeguards Commission logo</w:t>
      </w:r>
    </w:p>
    <w:p w:rsidR="005D57E6" w:rsidRDefault="005D57E6" w:rsidP="005D57E6">
      <w:pPr>
        <w:pStyle w:val="ListParagraph"/>
        <w:numPr>
          <w:ilvl w:val="0"/>
          <w:numId w:val="38"/>
        </w:numPr>
        <w:spacing w:before="120" w:after="120"/>
      </w:pPr>
      <w:r>
        <w:t>any third party material</w:t>
      </w:r>
    </w:p>
    <w:p w:rsidR="005D57E6" w:rsidRDefault="005D57E6" w:rsidP="005D57E6">
      <w:pPr>
        <w:pStyle w:val="ListParagraph"/>
        <w:numPr>
          <w:ilvl w:val="0"/>
          <w:numId w:val="38"/>
        </w:numPr>
        <w:spacing w:before="120" w:after="120"/>
      </w:pPr>
      <w:r>
        <w:t>any material protected by a trademark</w:t>
      </w:r>
    </w:p>
    <w:p w:rsidR="005D57E6" w:rsidRDefault="005D57E6" w:rsidP="005D57E6">
      <w:pPr>
        <w:pStyle w:val="ListParagraph"/>
        <w:numPr>
          <w:ilvl w:val="0"/>
          <w:numId w:val="38"/>
        </w:numPr>
        <w:spacing w:before="120" w:after="120"/>
      </w:pPr>
      <w:r>
        <w:t>any illustration, diagram, photograph or graphic over which the NDIS Quality and Safeguards Commission does not hold copyright, but which may be part of or contained within this policy.</w:t>
      </w:r>
    </w:p>
    <w:p w:rsidR="005D57E6" w:rsidRDefault="005D57E6" w:rsidP="005D57E6">
      <w:pPr>
        <w:suppressAutoHyphens w:val="0"/>
        <w:spacing w:before="120" w:after="120" w:line="240" w:lineRule="auto"/>
      </w:pPr>
      <w:r>
        <w:t>More information on this CC BY licence is set out at the creative commons website: www.creativecommons.org. Enquiries about this licence and any use of this policy can be sent to: communications@ndiscommission.gov.au</w:t>
      </w:r>
    </w:p>
    <w:p w:rsidR="005D57E6" w:rsidRPr="005D57E6" w:rsidRDefault="005D57E6" w:rsidP="005D57E6">
      <w:pPr>
        <w:suppressAutoHyphens w:val="0"/>
        <w:spacing w:before="120" w:after="120" w:line="240" w:lineRule="auto"/>
        <w:rPr>
          <w:b/>
        </w:rPr>
      </w:pPr>
      <w:r w:rsidRPr="005D57E6">
        <w:rPr>
          <w:b/>
        </w:rPr>
        <w:t>Attribution</w:t>
      </w:r>
    </w:p>
    <w:p w:rsidR="005D57E6" w:rsidRDefault="005D57E6" w:rsidP="005D57E6">
      <w:pPr>
        <w:suppressAutoHyphens w:val="0"/>
        <w:spacing w:before="120" w:after="120" w:line="240" w:lineRule="auto"/>
      </w:pPr>
      <w:r>
        <w:t>Use of all or part of these guidelines must include the following attribution:</w:t>
      </w:r>
    </w:p>
    <w:p w:rsidR="005D57E6" w:rsidRDefault="005D57E6" w:rsidP="005D57E6">
      <w:pPr>
        <w:suppressAutoHyphens w:val="0"/>
        <w:spacing w:before="120" w:after="120" w:line="240" w:lineRule="auto"/>
      </w:pPr>
      <w:r>
        <w:t>© Commonwealth of Australia 2022</w:t>
      </w:r>
    </w:p>
    <w:p w:rsidR="005D57E6" w:rsidRPr="005D57E6" w:rsidRDefault="005D57E6" w:rsidP="005D57E6">
      <w:pPr>
        <w:suppressAutoHyphens w:val="0"/>
        <w:spacing w:before="120" w:after="120" w:line="240" w:lineRule="auto"/>
        <w:rPr>
          <w:b/>
        </w:rPr>
      </w:pPr>
      <w:r w:rsidRPr="005D57E6">
        <w:rPr>
          <w:b/>
        </w:rPr>
        <w:t>Using the Commonwealth Coat of Arms</w:t>
      </w:r>
    </w:p>
    <w:p w:rsidR="005D57E6" w:rsidRDefault="005D57E6" w:rsidP="005D57E6">
      <w:pPr>
        <w:suppressAutoHyphens w:val="0"/>
        <w:spacing w:before="120" w:after="120" w:line="240" w:lineRule="auto"/>
      </w:pPr>
      <w:r>
        <w:t>Terms of use for the Coat of Arms are available at this website: https://www.pmc.gov.au/government/commonwealth-coat-arms</w:t>
      </w:r>
    </w:p>
    <w:p w:rsidR="005D57E6" w:rsidRPr="005D57E6" w:rsidRDefault="005D57E6" w:rsidP="005D57E6">
      <w:pPr>
        <w:suppressAutoHyphens w:val="0"/>
        <w:spacing w:before="120" w:after="120" w:line="240" w:lineRule="auto"/>
        <w:rPr>
          <w:b/>
        </w:rPr>
      </w:pPr>
      <w:r w:rsidRPr="005D57E6">
        <w:rPr>
          <w:b/>
        </w:rPr>
        <w:t>Important notice</w:t>
      </w:r>
    </w:p>
    <w:p w:rsidR="005D57E6" w:rsidRDefault="005D57E6" w:rsidP="005D57E6">
      <w:pPr>
        <w:suppressAutoHyphens w:val="0"/>
        <w:spacing w:before="120" w:after="120" w:line="240" w:lineRule="auto"/>
      </w:pPr>
      <w:r>
        <w:t>The information in this policy is for general guidance only. It does not constitute legal or other professional advice, and should not be relied on as a statement of a law in any jurisdiction. You should obtain professional advice if you have any specific concern.</w:t>
      </w:r>
    </w:p>
    <w:p w:rsidR="005D57E6" w:rsidRDefault="005D57E6" w:rsidP="005D57E6">
      <w:pPr>
        <w:suppressAutoHyphens w:val="0"/>
        <w:spacing w:before="120" w:after="120" w:line="240" w:lineRule="auto"/>
      </w:pPr>
      <w:r>
        <w:t>The NDIS Quality and Safeguards Commission has made every reasonable effort to provide current and accurate information, but it does not make any guarantees regarding the accuracy, currency or completeness of that information.</w:t>
      </w:r>
    </w:p>
    <w:p w:rsidR="005D57E6" w:rsidRDefault="005D57E6" w:rsidP="005D57E6">
      <w:pPr>
        <w:suppressAutoHyphens w:val="0"/>
        <w:spacing w:before="120" w:after="120" w:line="240" w:lineRule="auto"/>
      </w:pPr>
      <w:r>
        <w:t>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communications@ndiscommission.gov.au</w:t>
      </w:r>
    </w:p>
    <w:p w:rsidR="005D57E6" w:rsidRDefault="005D57E6">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907574953"/>
        <w:docPartObj>
          <w:docPartGallery w:val="Table of Contents"/>
          <w:docPartUnique/>
        </w:docPartObj>
      </w:sdtPr>
      <w:sdtEndPr>
        <w:rPr>
          <w:bCs/>
          <w:noProof/>
        </w:rPr>
      </w:sdtEndPr>
      <w:sdtContent>
        <w:p w:rsidR="00841B3D" w:rsidRDefault="00841B3D">
          <w:pPr>
            <w:pStyle w:val="TOCHeading"/>
          </w:pPr>
          <w:r>
            <w:t>Contents</w:t>
          </w:r>
        </w:p>
        <w:p w:rsidR="00841B3D" w:rsidRDefault="00841B3D">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92376285" w:history="1">
            <w:r w:rsidRPr="0038788A">
              <w:rPr>
                <w:rStyle w:val="Hyperlink"/>
                <w:noProof/>
              </w:rPr>
              <w:t>Purpose of this policy</w:t>
            </w:r>
            <w:r>
              <w:rPr>
                <w:noProof/>
                <w:webHidden/>
              </w:rPr>
              <w:tab/>
            </w:r>
            <w:r>
              <w:rPr>
                <w:noProof/>
                <w:webHidden/>
              </w:rPr>
              <w:fldChar w:fldCharType="begin"/>
            </w:r>
            <w:r>
              <w:rPr>
                <w:noProof/>
                <w:webHidden/>
              </w:rPr>
              <w:instrText xml:space="preserve"> PAGEREF _Toc92376285 \h </w:instrText>
            </w:r>
            <w:r>
              <w:rPr>
                <w:noProof/>
                <w:webHidden/>
              </w:rPr>
            </w:r>
            <w:r>
              <w:rPr>
                <w:noProof/>
                <w:webHidden/>
              </w:rPr>
              <w:fldChar w:fldCharType="separate"/>
            </w:r>
            <w:r>
              <w:rPr>
                <w:noProof/>
                <w:webHidden/>
              </w:rPr>
              <w:t>4</w:t>
            </w:r>
            <w:r>
              <w:rPr>
                <w:noProof/>
                <w:webHidden/>
              </w:rPr>
              <w:fldChar w:fldCharType="end"/>
            </w:r>
          </w:hyperlink>
        </w:p>
        <w:p w:rsidR="00841B3D" w:rsidRDefault="002534FA">
          <w:pPr>
            <w:pStyle w:val="TOC1"/>
            <w:rPr>
              <w:rFonts w:asciiTheme="minorHAnsi" w:eastAsiaTheme="minorEastAsia" w:hAnsiTheme="minorHAnsi"/>
              <w:noProof/>
              <w:sz w:val="22"/>
              <w:szCs w:val="22"/>
              <w:lang w:eastAsia="en-AU"/>
            </w:rPr>
          </w:pPr>
          <w:hyperlink w:anchor="_Toc92376286" w:history="1">
            <w:r w:rsidR="00841B3D" w:rsidRPr="0038788A">
              <w:rPr>
                <w:rStyle w:val="Hyperlink"/>
                <w:noProof/>
              </w:rPr>
              <w:t>What is a compliance notice?</w:t>
            </w:r>
            <w:r w:rsidR="00841B3D">
              <w:rPr>
                <w:noProof/>
                <w:webHidden/>
              </w:rPr>
              <w:tab/>
            </w:r>
            <w:r w:rsidR="00841B3D">
              <w:rPr>
                <w:noProof/>
                <w:webHidden/>
              </w:rPr>
              <w:fldChar w:fldCharType="begin"/>
            </w:r>
            <w:r w:rsidR="00841B3D">
              <w:rPr>
                <w:noProof/>
                <w:webHidden/>
              </w:rPr>
              <w:instrText xml:space="preserve"> PAGEREF _Toc92376286 \h </w:instrText>
            </w:r>
            <w:r w:rsidR="00841B3D">
              <w:rPr>
                <w:noProof/>
                <w:webHidden/>
              </w:rPr>
            </w:r>
            <w:r w:rsidR="00841B3D">
              <w:rPr>
                <w:noProof/>
                <w:webHidden/>
              </w:rPr>
              <w:fldChar w:fldCharType="separate"/>
            </w:r>
            <w:r w:rsidR="00841B3D">
              <w:rPr>
                <w:noProof/>
                <w:webHidden/>
              </w:rPr>
              <w:t>4</w:t>
            </w:r>
            <w:r w:rsidR="00841B3D">
              <w:rPr>
                <w:noProof/>
                <w:webHidden/>
              </w:rPr>
              <w:fldChar w:fldCharType="end"/>
            </w:r>
          </w:hyperlink>
        </w:p>
        <w:p w:rsidR="00841B3D" w:rsidRDefault="002534FA">
          <w:pPr>
            <w:pStyle w:val="TOC1"/>
            <w:rPr>
              <w:rFonts w:asciiTheme="minorHAnsi" w:eastAsiaTheme="minorEastAsia" w:hAnsiTheme="minorHAnsi"/>
              <w:noProof/>
              <w:sz w:val="22"/>
              <w:szCs w:val="22"/>
              <w:lang w:eastAsia="en-AU"/>
            </w:rPr>
          </w:pPr>
          <w:hyperlink w:anchor="_Toc92376287" w:history="1">
            <w:r w:rsidR="00841B3D" w:rsidRPr="0038788A">
              <w:rPr>
                <w:rStyle w:val="Hyperlink"/>
                <w:noProof/>
              </w:rPr>
              <w:t>Legislative provisions</w:t>
            </w:r>
            <w:r w:rsidR="00841B3D">
              <w:rPr>
                <w:noProof/>
                <w:webHidden/>
              </w:rPr>
              <w:tab/>
            </w:r>
            <w:r w:rsidR="00841B3D">
              <w:rPr>
                <w:noProof/>
                <w:webHidden/>
              </w:rPr>
              <w:fldChar w:fldCharType="begin"/>
            </w:r>
            <w:r w:rsidR="00841B3D">
              <w:rPr>
                <w:noProof/>
                <w:webHidden/>
              </w:rPr>
              <w:instrText xml:space="preserve"> PAGEREF _Toc92376287 \h </w:instrText>
            </w:r>
            <w:r w:rsidR="00841B3D">
              <w:rPr>
                <w:noProof/>
                <w:webHidden/>
              </w:rPr>
            </w:r>
            <w:r w:rsidR="00841B3D">
              <w:rPr>
                <w:noProof/>
                <w:webHidden/>
              </w:rPr>
              <w:fldChar w:fldCharType="separate"/>
            </w:r>
            <w:r w:rsidR="00841B3D">
              <w:rPr>
                <w:noProof/>
                <w:webHidden/>
              </w:rPr>
              <w:t>5</w:t>
            </w:r>
            <w:r w:rsidR="00841B3D">
              <w:rPr>
                <w:noProof/>
                <w:webHidden/>
              </w:rPr>
              <w:fldChar w:fldCharType="end"/>
            </w:r>
          </w:hyperlink>
        </w:p>
        <w:p w:rsidR="00841B3D" w:rsidRDefault="002534FA">
          <w:pPr>
            <w:pStyle w:val="TOC1"/>
            <w:rPr>
              <w:rFonts w:asciiTheme="minorHAnsi" w:eastAsiaTheme="minorEastAsia" w:hAnsiTheme="minorHAnsi"/>
              <w:noProof/>
              <w:sz w:val="22"/>
              <w:szCs w:val="22"/>
              <w:lang w:eastAsia="en-AU"/>
            </w:rPr>
          </w:pPr>
          <w:hyperlink w:anchor="_Toc92376288" w:history="1">
            <w:r w:rsidR="00841B3D" w:rsidRPr="0038788A">
              <w:rPr>
                <w:rStyle w:val="Hyperlink"/>
                <w:noProof/>
              </w:rPr>
              <w:t>The NDIS Commission’s approach to the use of compliance notices</w:t>
            </w:r>
            <w:r w:rsidR="00841B3D">
              <w:rPr>
                <w:noProof/>
                <w:webHidden/>
              </w:rPr>
              <w:tab/>
            </w:r>
            <w:r w:rsidR="00841B3D">
              <w:rPr>
                <w:noProof/>
                <w:webHidden/>
              </w:rPr>
              <w:fldChar w:fldCharType="begin"/>
            </w:r>
            <w:r w:rsidR="00841B3D">
              <w:rPr>
                <w:noProof/>
                <w:webHidden/>
              </w:rPr>
              <w:instrText xml:space="preserve"> PAGEREF _Toc92376288 \h </w:instrText>
            </w:r>
            <w:r w:rsidR="00841B3D">
              <w:rPr>
                <w:noProof/>
                <w:webHidden/>
              </w:rPr>
            </w:r>
            <w:r w:rsidR="00841B3D">
              <w:rPr>
                <w:noProof/>
                <w:webHidden/>
              </w:rPr>
              <w:fldChar w:fldCharType="separate"/>
            </w:r>
            <w:r w:rsidR="00841B3D">
              <w:rPr>
                <w:noProof/>
                <w:webHidden/>
              </w:rPr>
              <w:t>6</w:t>
            </w:r>
            <w:r w:rsidR="00841B3D">
              <w:rPr>
                <w:noProof/>
                <w:webHidden/>
              </w:rPr>
              <w:fldChar w:fldCharType="end"/>
            </w:r>
          </w:hyperlink>
        </w:p>
        <w:p w:rsidR="00841B3D" w:rsidRDefault="002534FA">
          <w:pPr>
            <w:pStyle w:val="TOC2"/>
            <w:rPr>
              <w:rFonts w:asciiTheme="minorHAnsi" w:eastAsiaTheme="minorEastAsia" w:hAnsiTheme="minorHAnsi"/>
              <w:noProof/>
              <w:color w:val="auto"/>
              <w:szCs w:val="22"/>
              <w:lang w:eastAsia="en-AU"/>
            </w:rPr>
          </w:pPr>
          <w:hyperlink w:anchor="_Toc92376289" w:history="1">
            <w:r w:rsidR="00841B3D" w:rsidRPr="0038788A">
              <w:rPr>
                <w:rStyle w:val="Hyperlink"/>
                <w:noProof/>
              </w:rPr>
              <w:t>When a compliance notice is an appropriate compliance tool</w:t>
            </w:r>
            <w:r w:rsidR="00841B3D">
              <w:rPr>
                <w:noProof/>
                <w:webHidden/>
              </w:rPr>
              <w:tab/>
            </w:r>
            <w:r w:rsidR="00841B3D">
              <w:rPr>
                <w:noProof/>
                <w:webHidden/>
              </w:rPr>
              <w:fldChar w:fldCharType="begin"/>
            </w:r>
            <w:r w:rsidR="00841B3D">
              <w:rPr>
                <w:noProof/>
                <w:webHidden/>
              </w:rPr>
              <w:instrText xml:space="preserve"> PAGEREF _Toc92376289 \h </w:instrText>
            </w:r>
            <w:r w:rsidR="00841B3D">
              <w:rPr>
                <w:noProof/>
                <w:webHidden/>
              </w:rPr>
            </w:r>
            <w:r w:rsidR="00841B3D">
              <w:rPr>
                <w:noProof/>
                <w:webHidden/>
              </w:rPr>
              <w:fldChar w:fldCharType="separate"/>
            </w:r>
            <w:r w:rsidR="00841B3D">
              <w:rPr>
                <w:noProof/>
                <w:webHidden/>
              </w:rPr>
              <w:t>6</w:t>
            </w:r>
            <w:r w:rsidR="00841B3D">
              <w:rPr>
                <w:noProof/>
                <w:webHidden/>
              </w:rPr>
              <w:fldChar w:fldCharType="end"/>
            </w:r>
          </w:hyperlink>
        </w:p>
        <w:p w:rsidR="00841B3D" w:rsidRDefault="002534FA">
          <w:pPr>
            <w:pStyle w:val="TOC2"/>
            <w:rPr>
              <w:rFonts w:asciiTheme="minorHAnsi" w:eastAsiaTheme="minorEastAsia" w:hAnsiTheme="minorHAnsi"/>
              <w:noProof/>
              <w:color w:val="auto"/>
              <w:szCs w:val="22"/>
              <w:lang w:eastAsia="en-AU"/>
            </w:rPr>
          </w:pPr>
          <w:hyperlink w:anchor="_Toc92376290" w:history="1">
            <w:r w:rsidR="00841B3D" w:rsidRPr="0038788A">
              <w:rPr>
                <w:rStyle w:val="Hyperlink"/>
                <w:noProof/>
              </w:rPr>
              <w:t>When a compliance notice would not be considered an appropriate compliance tool</w:t>
            </w:r>
            <w:r w:rsidR="00841B3D">
              <w:rPr>
                <w:noProof/>
                <w:webHidden/>
              </w:rPr>
              <w:tab/>
            </w:r>
            <w:r w:rsidR="00841B3D">
              <w:rPr>
                <w:noProof/>
                <w:webHidden/>
              </w:rPr>
              <w:fldChar w:fldCharType="begin"/>
            </w:r>
            <w:r w:rsidR="00841B3D">
              <w:rPr>
                <w:noProof/>
                <w:webHidden/>
              </w:rPr>
              <w:instrText xml:space="preserve"> PAGEREF _Toc92376290 \h </w:instrText>
            </w:r>
            <w:r w:rsidR="00841B3D">
              <w:rPr>
                <w:noProof/>
                <w:webHidden/>
              </w:rPr>
            </w:r>
            <w:r w:rsidR="00841B3D">
              <w:rPr>
                <w:noProof/>
                <w:webHidden/>
              </w:rPr>
              <w:fldChar w:fldCharType="separate"/>
            </w:r>
            <w:r w:rsidR="00841B3D">
              <w:rPr>
                <w:noProof/>
                <w:webHidden/>
              </w:rPr>
              <w:t>7</w:t>
            </w:r>
            <w:r w:rsidR="00841B3D">
              <w:rPr>
                <w:noProof/>
                <w:webHidden/>
              </w:rPr>
              <w:fldChar w:fldCharType="end"/>
            </w:r>
          </w:hyperlink>
        </w:p>
        <w:p w:rsidR="00841B3D" w:rsidRDefault="002534FA">
          <w:pPr>
            <w:pStyle w:val="TOC1"/>
            <w:rPr>
              <w:rFonts w:asciiTheme="minorHAnsi" w:eastAsiaTheme="minorEastAsia" w:hAnsiTheme="minorHAnsi"/>
              <w:noProof/>
              <w:sz w:val="22"/>
              <w:szCs w:val="22"/>
              <w:lang w:eastAsia="en-AU"/>
            </w:rPr>
          </w:pPr>
          <w:hyperlink w:anchor="_Toc92376291" w:history="1">
            <w:r w:rsidR="00841B3D" w:rsidRPr="0038788A">
              <w:rPr>
                <w:rStyle w:val="Hyperlink"/>
                <w:noProof/>
              </w:rPr>
              <w:t>Record keeping and publication</w:t>
            </w:r>
            <w:r w:rsidR="00841B3D">
              <w:rPr>
                <w:noProof/>
                <w:webHidden/>
              </w:rPr>
              <w:tab/>
            </w:r>
            <w:r w:rsidR="00841B3D">
              <w:rPr>
                <w:noProof/>
                <w:webHidden/>
              </w:rPr>
              <w:fldChar w:fldCharType="begin"/>
            </w:r>
            <w:r w:rsidR="00841B3D">
              <w:rPr>
                <w:noProof/>
                <w:webHidden/>
              </w:rPr>
              <w:instrText xml:space="preserve"> PAGEREF _Toc92376291 \h </w:instrText>
            </w:r>
            <w:r w:rsidR="00841B3D">
              <w:rPr>
                <w:noProof/>
                <w:webHidden/>
              </w:rPr>
            </w:r>
            <w:r w:rsidR="00841B3D">
              <w:rPr>
                <w:noProof/>
                <w:webHidden/>
              </w:rPr>
              <w:fldChar w:fldCharType="separate"/>
            </w:r>
            <w:r w:rsidR="00841B3D">
              <w:rPr>
                <w:noProof/>
                <w:webHidden/>
              </w:rPr>
              <w:t>7</w:t>
            </w:r>
            <w:r w:rsidR="00841B3D">
              <w:rPr>
                <w:noProof/>
                <w:webHidden/>
              </w:rPr>
              <w:fldChar w:fldCharType="end"/>
            </w:r>
          </w:hyperlink>
        </w:p>
        <w:p w:rsidR="00841B3D" w:rsidRDefault="002534FA">
          <w:pPr>
            <w:pStyle w:val="TOC1"/>
            <w:rPr>
              <w:rFonts w:asciiTheme="minorHAnsi" w:eastAsiaTheme="minorEastAsia" w:hAnsiTheme="minorHAnsi"/>
              <w:noProof/>
              <w:sz w:val="22"/>
              <w:szCs w:val="22"/>
              <w:lang w:eastAsia="en-AU"/>
            </w:rPr>
          </w:pPr>
          <w:hyperlink w:anchor="_Toc92376292" w:history="1">
            <w:r w:rsidR="00841B3D" w:rsidRPr="0038788A">
              <w:rPr>
                <w:rStyle w:val="Hyperlink"/>
                <w:noProof/>
              </w:rPr>
              <w:t>Review of decisions</w:t>
            </w:r>
            <w:r w:rsidR="00841B3D">
              <w:rPr>
                <w:noProof/>
                <w:webHidden/>
              </w:rPr>
              <w:tab/>
            </w:r>
            <w:r w:rsidR="00841B3D">
              <w:rPr>
                <w:noProof/>
                <w:webHidden/>
              </w:rPr>
              <w:fldChar w:fldCharType="begin"/>
            </w:r>
            <w:r w:rsidR="00841B3D">
              <w:rPr>
                <w:noProof/>
                <w:webHidden/>
              </w:rPr>
              <w:instrText xml:space="preserve"> PAGEREF _Toc92376292 \h </w:instrText>
            </w:r>
            <w:r w:rsidR="00841B3D">
              <w:rPr>
                <w:noProof/>
                <w:webHidden/>
              </w:rPr>
            </w:r>
            <w:r w:rsidR="00841B3D">
              <w:rPr>
                <w:noProof/>
                <w:webHidden/>
              </w:rPr>
              <w:fldChar w:fldCharType="separate"/>
            </w:r>
            <w:r w:rsidR="00841B3D">
              <w:rPr>
                <w:noProof/>
                <w:webHidden/>
              </w:rPr>
              <w:t>7</w:t>
            </w:r>
            <w:r w:rsidR="00841B3D">
              <w:rPr>
                <w:noProof/>
                <w:webHidden/>
              </w:rPr>
              <w:fldChar w:fldCharType="end"/>
            </w:r>
          </w:hyperlink>
        </w:p>
        <w:p w:rsidR="00841B3D" w:rsidRDefault="00841B3D">
          <w:r>
            <w:rPr>
              <w:b/>
              <w:bCs/>
              <w:noProof/>
            </w:rPr>
            <w:fldChar w:fldCharType="end"/>
          </w:r>
        </w:p>
      </w:sdtContent>
    </w:sdt>
    <w:p w:rsidR="00BB6800" w:rsidRDefault="00BB6800">
      <w:pPr>
        <w:suppressAutoHyphens w:val="0"/>
        <w:spacing w:before="120" w:after="120" w:line="240" w:lineRule="auto"/>
      </w:pPr>
      <w:r>
        <w:br w:type="page"/>
      </w:r>
    </w:p>
    <w:p w:rsidR="00BB6800" w:rsidRPr="004611C4" w:rsidRDefault="00BB6800" w:rsidP="00BB6800">
      <w:pPr>
        <w:pStyle w:val="Heading1"/>
        <w:spacing w:before="1"/>
      </w:pPr>
      <w:bookmarkStart w:id="1" w:name="_Toc87518899"/>
      <w:bookmarkStart w:id="2" w:name="_Toc92376285"/>
      <w:r>
        <w:lastRenderedPageBreak/>
        <w:t>P</w:t>
      </w:r>
      <w:r w:rsidRPr="004611C4">
        <w:t>urpose of this policy</w:t>
      </w:r>
      <w:bookmarkEnd w:id="1"/>
      <w:bookmarkEnd w:id="2"/>
    </w:p>
    <w:p w:rsidR="00BB6800" w:rsidRDefault="00BB6800" w:rsidP="00BB6800">
      <w:pPr>
        <w:pStyle w:val="BodyText"/>
        <w:spacing w:before="209" w:line="252" w:lineRule="auto"/>
        <w:ind w:right="157"/>
      </w:pPr>
      <w:r w:rsidRPr="00D9573F">
        <w:t xml:space="preserve">The NDIS Quality and Safeguards Commission (the NDIS Commission) is an independent government body that works to improve the quality and safety of NDIS </w:t>
      </w:r>
      <w:r>
        <w:t>supports and services</w:t>
      </w:r>
      <w:r w:rsidRPr="00D9573F">
        <w:t>, investigates and resolves problems, and strengthens the skills and knowledge of providers and participants.</w:t>
      </w:r>
    </w:p>
    <w:p w:rsidR="00BB6800" w:rsidRPr="00BF5331" w:rsidRDefault="00BB6800" w:rsidP="00BB6800">
      <w:pPr>
        <w:pStyle w:val="BodyText"/>
        <w:spacing w:before="209" w:line="252" w:lineRule="auto"/>
        <w:ind w:right="157"/>
      </w:pPr>
      <w:r w:rsidRPr="00281F70">
        <w:t xml:space="preserve">The regulatory powers and functions of the NDIS Commission are set out in the </w:t>
      </w:r>
      <w:r w:rsidRPr="00281F70">
        <w:rPr>
          <w:i/>
        </w:rPr>
        <w:t xml:space="preserve">National Disability Insurance Scheme Act 2013 </w:t>
      </w:r>
      <w:r w:rsidRPr="00281F70">
        <w:t xml:space="preserve">(the NDIS Act), and associated Rules. The NDIS Commission’s regulatory powers are underpinned by the </w:t>
      </w:r>
      <w:r w:rsidRPr="00281F70">
        <w:rPr>
          <w:i/>
        </w:rPr>
        <w:t>Regulatory Powers (Standard Provisions) Act 2014</w:t>
      </w:r>
      <w:r w:rsidRPr="00281F70">
        <w:t xml:space="preserve"> (RP Act).</w:t>
      </w:r>
    </w:p>
    <w:p w:rsidR="00BB6800" w:rsidRPr="00BF5331" w:rsidRDefault="00BB6800" w:rsidP="00BB6800">
      <w:pPr>
        <w:pStyle w:val="BodyText"/>
        <w:spacing w:before="209" w:line="252" w:lineRule="auto"/>
        <w:ind w:right="157"/>
      </w:pPr>
      <w:r w:rsidRPr="00D83A78">
        <w:t>The NDIS Commission’s compliance and enforcement activities are an important part of its work as a regulator. Those activities enable the NDIS Commission to encourage best practice among NDIS providers and manage risk to NDIS participants.</w:t>
      </w:r>
    </w:p>
    <w:p w:rsidR="00BB6800" w:rsidRPr="00D83A78" w:rsidRDefault="00BB6800" w:rsidP="00BB6800">
      <w:pPr>
        <w:pStyle w:val="BodyText"/>
        <w:spacing w:before="209" w:line="252" w:lineRule="auto"/>
        <w:ind w:right="157"/>
      </w:pPr>
      <w:r w:rsidRPr="00D83A78">
        <w:t>The NDIS Commission is required to conduct compliance and enforcement activities in a risk responsive and proportionate manner.</w:t>
      </w:r>
      <w:r w:rsidRPr="00BF5331">
        <w:t xml:space="preserve"> </w:t>
      </w:r>
      <w:r w:rsidRPr="00D83A78">
        <w:t xml:space="preserve">Actions to be taken are determined on a case by case basis taking into consideration factors such as the seriousness of the issue, the appropriateness of the provider’s or other person’s response, and the likelihood of further harm to persons with disability. </w:t>
      </w:r>
    </w:p>
    <w:p w:rsidR="00BB6800" w:rsidRDefault="00BB6800" w:rsidP="00BB6800">
      <w:pPr>
        <w:pStyle w:val="BodyText"/>
        <w:spacing w:before="209" w:line="252" w:lineRule="auto"/>
        <w:ind w:right="157"/>
      </w:pPr>
      <w:r w:rsidRPr="00281F70">
        <w:t xml:space="preserve">The NDIS Commission has a range of tools for responding to non-compliance that are provided for in </w:t>
      </w:r>
      <w:r>
        <w:t xml:space="preserve">Chapter 4, </w:t>
      </w:r>
      <w:r w:rsidRPr="00281F70">
        <w:t xml:space="preserve">Part 3A of the </w:t>
      </w:r>
      <w:r w:rsidRPr="00281F70">
        <w:rPr>
          <w:iCs/>
        </w:rPr>
        <w:t>NDIS Act</w:t>
      </w:r>
      <w:r w:rsidRPr="00281F70">
        <w:t>.</w:t>
      </w:r>
      <w:r>
        <w:t xml:space="preserve"> </w:t>
      </w:r>
      <w:r w:rsidRPr="00281F70">
        <w:t>This p</w:t>
      </w:r>
      <w:r>
        <w:t>olicy is one of a suite of</w:t>
      </w:r>
      <w:r w:rsidRPr="00281F70">
        <w:t xml:space="preserve"> policies that expands on the general information provided in the </w:t>
      </w:r>
      <w:hyperlink r:id="rId13" w:history="1">
        <w:r w:rsidRPr="001E6146">
          <w:rPr>
            <w:rStyle w:val="Hyperlink"/>
            <w:i/>
          </w:rPr>
          <w:t>Compliance and Enforcement Policy</w:t>
        </w:r>
      </w:hyperlink>
      <w:r>
        <w:t xml:space="preserve">, </w:t>
      </w:r>
      <w:r w:rsidRPr="00BF5331">
        <w:t>and</w:t>
      </w:r>
      <w:r w:rsidRPr="00D83A78">
        <w:rPr>
          <w:i/>
          <w:iCs/>
        </w:rPr>
        <w:t xml:space="preserve"> </w:t>
      </w:r>
      <w:r w:rsidRPr="00D83A78">
        <w:t>provides guidance on the NDIS Commission’s approach to the use of compliance notices.</w:t>
      </w:r>
    </w:p>
    <w:p w:rsidR="00BB6800" w:rsidRPr="004611C4" w:rsidRDefault="00BB6800" w:rsidP="00BB6800">
      <w:pPr>
        <w:spacing w:before="195" w:line="252" w:lineRule="auto"/>
        <w:ind w:right="421"/>
      </w:pPr>
      <w:r w:rsidRPr="004611C4">
        <w:t xml:space="preserve">Compliance notices are a non-punitive mechanism that allow the NDIS Commission to </w:t>
      </w:r>
      <w:r>
        <w:t>take action</w:t>
      </w:r>
      <w:r w:rsidRPr="004611C4">
        <w:t xml:space="preserve">, without requiring the matter to go to court. This policy provides background information and guidance on the NDIS Commission’s general approach to the use of compliance notices. </w:t>
      </w:r>
    </w:p>
    <w:p w:rsidR="00BB6800" w:rsidRPr="008927AD" w:rsidRDefault="00BB6800" w:rsidP="00BB6800">
      <w:pPr>
        <w:spacing w:before="195" w:line="252" w:lineRule="auto"/>
        <w:ind w:right="421"/>
        <w:rPr>
          <w:color w:val="5F2E74" w:themeColor="accent1"/>
        </w:rPr>
      </w:pPr>
      <w:r w:rsidRPr="004611C4">
        <w:t>The NDIS Commissioner</w:t>
      </w:r>
      <w:r>
        <w:t xml:space="preserve"> </w:t>
      </w:r>
      <w:r w:rsidRPr="004611C4">
        <w:t xml:space="preserve">is not bound to exercise his or </w:t>
      </w:r>
      <w:r>
        <w:t xml:space="preserve">her </w:t>
      </w:r>
      <w:r w:rsidRPr="004611C4">
        <w:t>discretion to give a compliance notice only in accordance with this policy. Each case will be considered on its particular facts.</w:t>
      </w:r>
    </w:p>
    <w:p w:rsidR="00BB6800" w:rsidRPr="00D104DA" w:rsidRDefault="00BB6800" w:rsidP="00BB6800">
      <w:pPr>
        <w:pStyle w:val="Heading1"/>
        <w:spacing w:before="240"/>
      </w:pPr>
      <w:bookmarkStart w:id="3" w:name="_Toc87518900"/>
      <w:bookmarkStart w:id="4" w:name="_Toc92376286"/>
      <w:r w:rsidRPr="00D104DA">
        <w:t xml:space="preserve">What is </w:t>
      </w:r>
      <w:r w:rsidRPr="00E353B0">
        <w:t xml:space="preserve">a </w:t>
      </w:r>
      <w:r>
        <w:t>c</w:t>
      </w:r>
      <w:r w:rsidRPr="00E353B0">
        <w:t xml:space="preserve">ompliance </w:t>
      </w:r>
      <w:r>
        <w:t>n</w:t>
      </w:r>
      <w:r w:rsidRPr="00E353B0">
        <w:t>otice</w:t>
      </w:r>
      <w:r w:rsidRPr="00D104DA">
        <w:t>?</w:t>
      </w:r>
      <w:bookmarkEnd w:id="3"/>
      <w:bookmarkEnd w:id="4"/>
    </w:p>
    <w:p w:rsidR="00BB6800" w:rsidRDefault="00BB6800" w:rsidP="00BB6800">
      <w:pPr>
        <w:pStyle w:val="BodyText"/>
        <w:spacing w:before="195"/>
        <w:ind w:right="164"/>
      </w:pPr>
      <w:r w:rsidRPr="0036670F">
        <w:t>A compliance notice is a written direction given to a</w:t>
      </w:r>
      <w:r>
        <w:t>n</w:t>
      </w:r>
      <w:r w:rsidRPr="0036670F">
        <w:t xml:space="preserve"> </w:t>
      </w:r>
      <w:r>
        <w:t xml:space="preserve">NDIS </w:t>
      </w:r>
      <w:r w:rsidRPr="0036670F">
        <w:t>provider</w:t>
      </w:r>
      <w:r>
        <w:t xml:space="preserve"> (as a person or entity under the NDIS Act)</w:t>
      </w:r>
      <w:r w:rsidRPr="00FA2573">
        <w:t xml:space="preserve"> by</w:t>
      </w:r>
      <w:r>
        <w:t xml:space="preserve"> the NDIS Commissioner  requiring</w:t>
      </w:r>
      <w:r w:rsidRPr="0036670F">
        <w:t xml:space="preserve"> the </w:t>
      </w:r>
      <w:r>
        <w:t xml:space="preserve">NDIS </w:t>
      </w:r>
      <w:r w:rsidRPr="0036670F">
        <w:t xml:space="preserve">provider to take </w:t>
      </w:r>
      <w:r>
        <w:t xml:space="preserve">certain </w:t>
      </w:r>
      <w:r w:rsidRPr="0036670F">
        <w:t>action</w:t>
      </w:r>
      <w:r>
        <w:t xml:space="preserve">, or not take action, within a reasonable timeframe, </w:t>
      </w:r>
      <w:r w:rsidRPr="0036670F">
        <w:t xml:space="preserve">to </w:t>
      </w:r>
      <w:r>
        <w:t>address</w:t>
      </w:r>
      <w:r w:rsidRPr="0036670F">
        <w:t xml:space="preserve"> </w:t>
      </w:r>
      <w:r>
        <w:t xml:space="preserve">one or more issues of </w:t>
      </w:r>
      <w:r w:rsidRPr="0036670F">
        <w:t>identified non-compliance</w:t>
      </w:r>
      <w:r>
        <w:t xml:space="preserve">, or possible non-compliance, </w:t>
      </w:r>
      <w:r w:rsidRPr="0036670F">
        <w:t>with the NDIS Act</w:t>
      </w:r>
      <w:r>
        <w:t xml:space="preserve">.  It </w:t>
      </w:r>
      <w:r w:rsidRPr="00611814">
        <w:t xml:space="preserve">may </w:t>
      </w:r>
      <w:r>
        <w:t xml:space="preserve">also </w:t>
      </w:r>
      <w:r w:rsidRPr="00261DAB">
        <w:t>require</w:t>
      </w:r>
      <w:r w:rsidRPr="0036670F">
        <w:t xml:space="preserve"> the </w:t>
      </w:r>
      <w:r>
        <w:t xml:space="preserve">NDIS </w:t>
      </w:r>
      <w:r w:rsidRPr="0036670F">
        <w:t xml:space="preserve">provider to produce evidence </w:t>
      </w:r>
      <w:r>
        <w:t xml:space="preserve">that </w:t>
      </w:r>
      <w:r>
        <w:rPr>
          <w:color w:val="000000"/>
          <w:shd w:val="clear" w:color="auto" w:fill="FFFFFF"/>
        </w:rPr>
        <w:t>it has take</w:t>
      </w:r>
      <w:r w:rsidRPr="00BF5331">
        <w:rPr>
          <w:color w:val="000000"/>
          <w:shd w:val="clear" w:color="auto" w:fill="FFFFFF"/>
        </w:rPr>
        <w:t>n, o</w:t>
      </w:r>
      <w:r w:rsidRPr="00D83A78">
        <w:rPr>
          <w:color w:val="000000"/>
          <w:shd w:val="clear" w:color="auto" w:fill="FFFFFF"/>
        </w:rPr>
        <w:t xml:space="preserve">r refrained from taking, the specified action. </w:t>
      </w:r>
      <w:r>
        <w:t>The NDIS Commissioner may also</w:t>
      </w:r>
      <w:r w:rsidRPr="00D06383">
        <w:t xml:space="preserve"> </w:t>
      </w:r>
      <w:r>
        <w:t>delegate this power to a Commission officer, in writing.</w:t>
      </w:r>
    </w:p>
    <w:p w:rsidR="00BB6800" w:rsidRDefault="00BB6800" w:rsidP="00BB6800">
      <w:pPr>
        <w:pStyle w:val="BodyText"/>
        <w:spacing w:before="195" w:line="249" w:lineRule="auto"/>
        <w:ind w:right="164"/>
      </w:pPr>
      <w:r w:rsidRPr="0036670F">
        <w:t xml:space="preserve">Compliance notices </w:t>
      </w:r>
      <w:r>
        <w:t xml:space="preserve">offer a </w:t>
      </w:r>
      <w:r w:rsidRPr="0036670F">
        <w:t>timely</w:t>
      </w:r>
      <w:r>
        <w:t xml:space="preserve"> compliance tool that can be given by the </w:t>
      </w:r>
      <w:r w:rsidRPr="0036670F">
        <w:t>NDIS Commission</w:t>
      </w:r>
      <w:r>
        <w:t>er,</w:t>
      </w:r>
      <w:r w:rsidRPr="0036670F">
        <w:t xml:space="preserve"> to respond to </w:t>
      </w:r>
      <w:r>
        <w:t>contraventions of the NDIS Act by an NDIS provider, and address quality and safeguarding concerns.</w:t>
      </w:r>
      <w:r w:rsidRPr="0036670F">
        <w:t xml:space="preserve"> The NDIS Commission</w:t>
      </w:r>
      <w:r>
        <w:t>er</w:t>
      </w:r>
      <w:r w:rsidRPr="0036670F">
        <w:t xml:space="preserve">’s power to </w:t>
      </w:r>
      <w:r>
        <w:t xml:space="preserve">give </w:t>
      </w:r>
      <w:r w:rsidRPr="0036670F">
        <w:t xml:space="preserve">a compliance notice is discretionary and offers </w:t>
      </w:r>
      <w:r>
        <w:t>a non-punitive mechanism to address contraventions of the NDIS Act,</w:t>
      </w:r>
      <w:r w:rsidRPr="0036670F">
        <w:t xml:space="preserve"> without requi</w:t>
      </w:r>
      <w:r>
        <w:t>ring the matter to go to court. The NDIS Commissioner may choose to give a compliance notice prior to, or in tandem with, another compliance and enforcement tool.</w:t>
      </w:r>
    </w:p>
    <w:p w:rsidR="00BB6800" w:rsidRDefault="00BB6800" w:rsidP="00BB6800">
      <w:pPr>
        <w:pStyle w:val="BodyText"/>
        <w:spacing w:before="195" w:line="249" w:lineRule="auto"/>
        <w:ind w:right="164"/>
      </w:pPr>
      <w:r w:rsidRPr="0063325F">
        <w:t xml:space="preserve">Failure to comply with a compliance notice may result in the NDIS Commissioner </w:t>
      </w:r>
      <w:r>
        <w:t xml:space="preserve">issuing an </w:t>
      </w:r>
      <w:r>
        <w:lastRenderedPageBreak/>
        <w:t xml:space="preserve">infringement notice, </w:t>
      </w:r>
      <w:r w:rsidRPr="0063325F">
        <w:t>commencing legal proceedings to seek a civil penalty order, and in the circumstance of a registered NDIS provider, giving consideration to suspending or revoking the provider’s registration.</w:t>
      </w:r>
      <w:r>
        <w:t xml:space="preserve"> </w:t>
      </w:r>
    </w:p>
    <w:p w:rsidR="00BB6800" w:rsidRPr="00431D53" w:rsidRDefault="00BB6800" w:rsidP="00BB6800">
      <w:pPr>
        <w:pStyle w:val="BodyText"/>
        <w:spacing w:before="195" w:after="240" w:line="249" w:lineRule="auto"/>
        <w:ind w:right="164"/>
        <w:rPr>
          <w:i/>
          <w:iCs/>
        </w:rPr>
      </w:pPr>
      <w:r w:rsidRPr="00A06539">
        <w:t xml:space="preserve">For further information concerning the NDIS Commission’s approach to </w:t>
      </w:r>
      <w:r>
        <w:t xml:space="preserve">infringement notices, </w:t>
      </w:r>
      <w:r w:rsidRPr="00A06539">
        <w:t xml:space="preserve">seeking civil penalties and the suspension or revocation of registration, please refer to the NDIS Commission’s </w:t>
      </w:r>
      <w:hyperlink r:id="rId14" w:history="1">
        <w:r w:rsidRPr="00A06539">
          <w:rPr>
            <w:rStyle w:val="Hyperlink"/>
            <w:i/>
            <w:iCs/>
          </w:rPr>
          <w:t>Compliance and Enforcement Policy.</w:t>
        </w:r>
      </w:hyperlink>
    </w:p>
    <w:p w:rsidR="00BB6800" w:rsidRPr="00D104DA" w:rsidRDefault="00BB6800" w:rsidP="00BB6800">
      <w:pPr>
        <w:pStyle w:val="Heading1"/>
        <w:spacing w:before="240"/>
      </w:pPr>
      <w:bookmarkStart w:id="5" w:name="_Toc87518901"/>
      <w:bookmarkStart w:id="6" w:name="_Toc92376287"/>
      <w:r>
        <w:t>Legislative provisions</w:t>
      </w:r>
      <w:bookmarkEnd w:id="5"/>
      <w:bookmarkEnd w:id="6"/>
      <w:r>
        <w:t xml:space="preserve"> </w:t>
      </w:r>
    </w:p>
    <w:p w:rsidR="00BB6800" w:rsidRPr="0036670F" w:rsidRDefault="00BB6800" w:rsidP="00BB6800">
      <w:pPr>
        <w:pStyle w:val="BodyText"/>
        <w:spacing w:before="195" w:line="249" w:lineRule="auto"/>
        <w:ind w:right="164"/>
      </w:pPr>
      <w:r w:rsidRPr="0036670F">
        <w:t>The provisions relevant to the NDIS Commission</w:t>
      </w:r>
      <w:r>
        <w:t>er</w:t>
      </w:r>
      <w:r w:rsidRPr="0036670F">
        <w:t>’s use of compliance notices are contained in section 73ZM of the NDIS Act</w:t>
      </w:r>
      <w:r>
        <w:t xml:space="preserve">. </w:t>
      </w:r>
    </w:p>
    <w:p w:rsidR="00BB6800" w:rsidRPr="0036670F" w:rsidRDefault="00BB6800" w:rsidP="00BB6800">
      <w:pPr>
        <w:pStyle w:val="BodyText"/>
        <w:spacing w:before="195" w:line="249" w:lineRule="auto"/>
        <w:ind w:right="164"/>
      </w:pPr>
      <w:r w:rsidRPr="0036670F">
        <w:t>The NDIS Commission</w:t>
      </w:r>
      <w:r>
        <w:t>er</w:t>
      </w:r>
      <w:r w:rsidRPr="0036670F">
        <w:t xml:space="preserve"> may give an NDIS provider a written compliance notice if </w:t>
      </w:r>
      <w:r>
        <w:t>the Commissioner is</w:t>
      </w:r>
      <w:r w:rsidRPr="0036670F">
        <w:t>:</w:t>
      </w:r>
    </w:p>
    <w:p w:rsidR="00BB6800" w:rsidRPr="0036670F" w:rsidRDefault="00BB6800" w:rsidP="00BB6800">
      <w:pPr>
        <w:pStyle w:val="BodyText"/>
        <w:numPr>
          <w:ilvl w:val="0"/>
          <w:numId w:val="43"/>
        </w:numPr>
        <w:spacing w:before="195" w:line="249" w:lineRule="auto"/>
        <w:ind w:right="164"/>
      </w:pPr>
      <w:r w:rsidRPr="0036670F">
        <w:t xml:space="preserve">satisfied than an NDIS provider is not complying with the NDIS Act; or </w:t>
      </w:r>
    </w:p>
    <w:p w:rsidR="00BB6800" w:rsidRDefault="00BB6800" w:rsidP="00BB6800">
      <w:pPr>
        <w:pStyle w:val="BodyText"/>
        <w:numPr>
          <w:ilvl w:val="0"/>
          <w:numId w:val="43"/>
        </w:numPr>
        <w:spacing w:before="195" w:line="249" w:lineRule="auto"/>
        <w:ind w:right="164"/>
      </w:pPr>
      <w:r w:rsidRPr="0036670F">
        <w:t>aware of information suggesting that an NDIS provider may not be complying with the NDIS Act.</w:t>
      </w:r>
    </w:p>
    <w:p w:rsidR="00BB6800" w:rsidRPr="0036670F" w:rsidRDefault="00BB6800" w:rsidP="00BB6800">
      <w:pPr>
        <w:pStyle w:val="BodyText"/>
        <w:spacing w:before="210"/>
      </w:pPr>
      <w:r w:rsidRPr="0036670F">
        <w:t>A compliance notice given by the NDIS Commission</w:t>
      </w:r>
      <w:r>
        <w:t>er</w:t>
      </w:r>
      <w:r w:rsidRPr="0036670F">
        <w:t xml:space="preserve"> must:</w:t>
      </w:r>
    </w:p>
    <w:p w:rsidR="00BB6800" w:rsidRPr="0036670F" w:rsidRDefault="00BB6800" w:rsidP="00BB6800">
      <w:pPr>
        <w:pStyle w:val="BodyText"/>
        <w:numPr>
          <w:ilvl w:val="0"/>
          <w:numId w:val="39"/>
        </w:numPr>
        <w:spacing w:before="210"/>
      </w:pPr>
      <w:r w:rsidRPr="0036670F">
        <w:t>set out the name of the provider to which the notice is given; and</w:t>
      </w:r>
    </w:p>
    <w:p w:rsidR="00BB6800" w:rsidRPr="0036670F" w:rsidRDefault="00BB6800" w:rsidP="00BB6800">
      <w:pPr>
        <w:pStyle w:val="BodyText"/>
        <w:numPr>
          <w:ilvl w:val="0"/>
          <w:numId w:val="39"/>
        </w:numPr>
        <w:spacing w:before="210"/>
      </w:pPr>
      <w:r w:rsidRPr="0036670F">
        <w:t xml:space="preserve">set out brief details of the </w:t>
      </w:r>
      <w:r>
        <w:t>non-compliance or possible non-compliance</w:t>
      </w:r>
      <w:r w:rsidRPr="0036670F">
        <w:t xml:space="preserve">; and </w:t>
      </w:r>
    </w:p>
    <w:p w:rsidR="00BB6800" w:rsidRPr="0036670F" w:rsidRDefault="00BB6800" w:rsidP="00BB6800">
      <w:pPr>
        <w:pStyle w:val="BodyText"/>
        <w:numPr>
          <w:ilvl w:val="0"/>
          <w:numId w:val="39"/>
        </w:numPr>
        <w:spacing w:before="210"/>
      </w:pPr>
      <w:r w:rsidRPr="0036670F">
        <w:t xml:space="preserve">specify action that the provider must take, or refrain from taking, in order to address the </w:t>
      </w:r>
      <w:r>
        <w:t>non-compliance or possible non-compliance</w:t>
      </w:r>
      <w:r w:rsidRPr="0036670F">
        <w:t xml:space="preserve">; and </w:t>
      </w:r>
    </w:p>
    <w:p w:rsidR="00BB6800" w:rsidRPr="0036670F" w:rsidRDefault="00BB6800" w:rsidP="00BB6800">
      <w:pPr>
        <w:pStyle w:val="BodyText"/>
        <w:numPr>
          <w:ilvl w:val="0"/>
          <w:numId w:val="39"/>
        </w:numPr>
        <w:spacing w:before="210"/>
      </w:pPr>
      <w:r w:rsidRPr="0036670F">
        <w:t xml:space="preserve">specify a reasonable timeframe within which the provider must take, or refrain from taking, the specified action; and </w:t>
      </w:r>
    </w:p>
    <w:p w:rsidR="00BB6800" w:rsidRPr="0036670F" w:rsidRDefault="00BB6800" w:rsidP="00BB6800">
      <w:pPr>
        <w:pStyle w:val="BodyText"/>
        <w:numPr>
          <w:ilvl w:val="0"/>
          <w:numId w:val="39"/>
        </w:numPr>
        <w:spacing w:before="210"/>
      </w:pPr>
      <w:r w:rsidRPr="0036670F">
        <w:t xml:space="preserve">if the </w:t>
      </w:r>
      <w:r>
        <w:t xml:space="preserve">NDIS </w:t>
      </w:r>
      <w:r w:rsidRPr="0036670F">
        <w:t xml:space="preserve">Commissioner considers it </w:t>
      </w:r>
      <w:r>
        <w:t>appropriate</w:t>
      </w:r>
      <w:r w:rsidRPr="0036670F">
        <w:t xml:space="preserve"> – specify a reasonable timeframe within which the provider must provider the</w:t>
      </w:r>
      <w:r>
        <w:t xml:space="preserve"> NDIS</w:t>
      </w:r>
      <w:r w:rsidRPr="0036670F">
        <w:t xml:space="preserve"> Commissioner with evidence that the provider has taken, or refrain from taking, the specified action; </w:t>
      </w:r>
      <w:r>
        <w:t>and</w:t>
      </w:r>
    </w:p>
    <w:p w:rsidR="00BB6800" w:rsidRPr="0036670F" w:rsidRDefault="00BB6800" w:rsidP="00BB6800">
      <w:pPr>
        <w:pStyle w:val="BodyText"/>
        <w:numPr>
          <w:ilvl w:val="0"/>
          <w:numId w:val="39"/>
        </w:numPr>
        <w:spacing w:before="210"/>
      </w:pPr>
      <w:r w:rsidRPr="0036670F">
        <w:t xml:space="preserve">state that a failure to comply with the notice is subject to a civil penalty; and </w:t>
      </w:r>
    </w:p>
    <w:p w:rsidR="00BB6800" w:rsidRPr="0036670F" w:rsidRDefault="00BB6800" w:rsidP="00BB6800">
      <w:pPr>
        <w:pStyle w:val="BodyText"/>
        <w:numPr>
          <w:ilvl w:val="0"/>
          <w:numId w:val="39"/>
        </w:numPr>
        <w:spacing w:before="210"/>
      </w:pPr>
      <w:r w:rsidRPr="0036670F">
        <w:t xml:space="preserve">where a registered NDIS provider is concerned – state that a failure to comply with the notice may lead </w:t>
      </w:r>
      <w:r>
        <w:t xml:space="preserve">to </w:t>
      </w:r>
      <w:r w:rsidRPr="0036670F">
        <w:t xml:space="preserve">the suspension or revocation of the provider’s registration; and </w:t>
      </w:r>
    </w:p>
    <w:p w:rsidR="00BB6800" w:rsidRDefault="00BB6800" w:rsidP="00BB6800">
      <w:pPr>
        <w:pStyle w:val="BodyText"/>
        <w:numPr>
          <w:ilvl w:val="0"/>
          <w:numId w:val="39"/>
        </w:numPr>
        <w:spacing w:before="210"/>
      </w:pPr>
      <w:r w:rsidRPr="0036670F">
        <w:t xml:space="preserve">set out any other matters specified in the </w:t>
      </w:r>
      <w:r>
        <w:t xml:space="preserve">relevant NDIS </w:t>
      </w:r>
      <w:r w:rsidRPr="0036670F">
        <w:t>rules.</w:t>
      </w:r>
    </w:p>
    <w:p w:rsidR="00BB6800" w:rsidRPr="0036670F" w:rsidRDefault="00BB6800" w:rsidP="00BB6800">
      <w:pPr>
        <w:pStyle w:val="BodyText"/>
        <w:spacing w:before="210"/>
      </w:pPr>
      <w:r w:rsidRPr="0036670F">
        <w:t xml:space="preserve">The </w:t>
      </w:r>
      <w:r>
        <w:t xml:space="preserve">NDIS </w:t>
      </w:r>
      <w:r w:rsidRPr="0036670F">
        <w:t>Commissioner may</w:t>
      </w:r>
      <w:r>
        <w:t xml:space="preserve">, by written notice given to an NDIS provider, vary or revoke a </w:t>
      </w:r>
      <w:r w:rsidRPr="0036670F">
        <w:t>compliance notice</w:t>
      </w:r>
      <w:r>
        <w:t xml:space="preserve"> if the NDIS Commissioner considers that it is appropriate in all the circumstances to do so</w:t>
      </w:r>
      <w:r w:rsidRPr="0036670F">
        <w:t>.</w:t>
      </w:r>
      <w:r>
        <w:t xml:space="preserve">  </w:t>
      </w:r>
      <w:r w:rsidRPr="0036670F">
        <w:t>In deciding whether to vary or revoke a compliance notice, the</w:t>
      </w:r>
      <w:r>
        <w:t xml:space="preserve"> NDIS</w:t>
      </w:r>
      <w:r w:rsidRPr="0036670F">
        <w:t xml:space="preserve"> Commissioner must consider any submissions received from the provider before the end of the timeframe </w:t>
      </w:r>
      <w:r>
        <w:t>(</w:t>
      </w:r>
      <w:r w:rsidRPr="0036670F">
        <w:t>as per (d) above).</w:t>
      </w:r>
    </w:p>
    <w:p w:rsidR="00BB6800" w:rsidRPr="000E3FC8" w:rsidRDefault="00BB6800" w:rsidP="00BB6800">
      <w:pPr>
        <w:pStyle w:val="BodyText"/>
        <w:spacing w:before="210" w:after="240"/>
      </w:pPr>
      <w:r w:rsidRPr="0036670F">
        <w:t>The NDIS Commission</w:t>
      </w:r>
      <w:r>
        <w:t>er</w:t>
      </w:r>
      <w:r w:rsidRPr="0036670F">
        <w:t xml:space="preserve"> will provide written notice of any decision to vary or revoke a compliance notice.</w:t>
      </w:r>
    </w:p>
    <w:p w:rsidR="00BB6800" w:rsidRPr="00D735D6" w:rsidRDefault="00BB6800" w:rsidP="00BB6800">
      <w:pPr>
        <w:pStyle w:val="Heading1"/>
        <w:spacing w:before="1" w:after="240"/>
        <w:ind w:right="1397"/>
      </w:pPr>
      <w:bookmarkStart w:id="7" w:name="_Toc87518902"/>
      <w:bookmarkStart w:id="8" w:name="_Toc92376288"/>
      <w:r w:rsidRPr="00D735D6">
        <w:lastRenderedPageBreak/>
        <w:t>The NDIS Commission’s approach to the use of compliance notices</w:t>
      </w:r>
      <w:bookmarkEnd w:id="7"/>
      <w:bookmarkEnd w:id="8"/>
    </w:p>
    <w:p w:rsidR="00BB6800" w:rsidRPr="00D735D6" w:rsidRDefault="00BB6800" w:rsidP="00BB6800">
      <w:pPr>
        <w:pStyle w:val="BodyText"/>
        <w:spacing w:before="240" w:after="200" w:line="250" w:lineRule="auto"/>
        <w:ind w:right="442"/>
      </w:pPr>
      <w:r w:rsidRPr="00D735D6">
        <w:t>As noted above, the NDIS Act provides that the NDIS Commissioner may give a compliance notice to an NDIS provider in two key circumstances:</w:t>
      </w:r>
    </w:p>
    <w:p w:rsidR="00BB6800" w:rsidRPr="00D735D6" w:rsidRDefault="00BB6800" w:rsidP="00841B3D">
      <w:pPr>
        <w:pStyle w:val="Bullet1"/>
      </w:pPr>
      <w:bookmarkStart w:id="9" w:name="_Hlk79580508"/>
      <w:r>
        <w:t>F</w:t>
      </w:r>
      <w:r w:rsidRPr="00D735D6">
        <w:t xml:space="preserve">irstly, as provided by section 73ZM (1)(a), where the NDIS Commissioner is satisfied that an NDIS provider is not complying with the NDIS Act.  In this circumstance, a compliance notice will specify action that the provider must take, or refrain from </w:t>
      </w:r>
      <w:bookmarkEnd w:id="9"/>
      <w:r w:rsidRPr="00D735D6">
        <w:t>taking, within a reasonable timeframe, to address the non-compliance.</w:t>
      </w:r>
    </w:p>
    <w:p w:rsidR="00BB6800" w:rsidRPr="00D735D6" w:rsidRDefault="00BB6800" w:rsidP="00841B3D">
      <w:pPr>
        <w:pStyle w:val="Bullet1"/>
      </w:pPr>
      <w:r>
        <w:t>S</w:t>
      </w:r>
      <w:r w:rsidRPr="00BF5331">
        <w:t>econdly,</w:t>
      </w:r>
      <w:r>
        <w:t xml:space="preserve"> as provided by</w:t>
      </w:r>
      <w:r w:rsidRPr="00BF5331">
        <w:t xml:space="preserve"> </w:t>
      </w:r>
      <w:r w:rsidRPr="008F432A">
        <w:t>section 73ZM (1)(b)</w:t>
      </w:r>
      <w:r>
        <w:t>,</w:t>
      </w:r>
      <w:r w:rsidRPr="008F432A">
        <w:t xml:space="preserve"> where the NDIS Commissioner is aware of information that suggests a</w:t>
      </w:r>
      <w:r>
        <w:t>n</w:t>
      </w:r>
      <w:r w:rsidRPr="008F432A">
        <w:t xml:space="preserve"> NDIS provider may not be complying with the NDIS Act. </w:t>
      </w:r>
      <w:r>
        <w:t>I</w:t>
      </w:r>
      <w:r w:rsidRPr="00C8478B">
        <w:t>n this circumstance</w:t>
      </w:r>
      <w:r>
        <w:t xml:space="preserve">, </w:t>
      </w:r>
      <w:r w:rsidRPr="00C8478B">
        <w:t xml:space="preserve">a compliance notice </w:t>
      </w:r>
      <w:r>
        <w:t xml:space="preserve">will also specify action that the </w:t>
      </w:r>
      <w:r w:rsidRPr="00C8478B">
        <w:t xml:space="preserve">provider </w:t>
      </w:r>
      <w:r>
        <w:t>must take</w:t>
      </w:r>
      <w:r w:rsidRPr="00C8478B">
        <w:t xml:space="preserve">, or </w:t>
      </w:r>
      <w:r>
        <w:t xml:space="preserve">refrain from taking, </w:t>
      </w:r>
      <w:r w:rsidRPr="00C8478B">
        <w:t xml:space="preserve">within a reasonable timeframe, </w:t>
      </w:r>
      <w:r>
        <w:t>to address the possible non-compliance.</w:t>
      </w:r>
    </w:p>
    <w:p w:rsidR="00BB6800" w:rsidRPr="0036670F" w:rsidRDefault="00BB6800" w:rsidP="00BB6800">
      <w:pPr>
        <w:pStyle w:val="BodyText"/>
        <w:spacing w:before="195" w:line="249" w:lineRule="auto"/>
        <w:ind w:right="164"/>
      </w:pPr>
      <w:r w:rsidRPr="0036670F">
        <w:t>The types of compliance matters for which the NDIS Commission</w:t>
      </w:r>
      <w:r>
        <w:t>er</w:t>
      </w:r>
      <w:r w:rsidRPr="0036670F">
        <w:t xml:space="preserve"> may g</w:t>
      </w:r>
      <w:r>
        <w:t>ive compliance notices to NDIS providers include, but are not limited to:</w:t>
      </w:r>
    </w:p>
    <w:p w:rsidR="00BB6800" w:rsidRDefault="00BB6800" w:rsidP="00841B3D">
      <w:pPr>
        <w:pStyle w:val="Bullet1"/>
      </w:pPr>
      <w:r w:rsidRPr="0036670F">
        <w:t>a</w:t>
      </w:r>
      <w:r>
        <w:t>n</w:t>
      </w:r>
      <w:r w:rsidRPr="0036670F">
        <w:t xml:space="preserve"> NDIS provider or work</w:t>
      </w:r>
      <w:r>
        <w:t>er</w:t>
      </w:r>
      <w:r w:rsidRPr="0036670F">
        <w:t xml:space="preserve"> not complying with their obligations under</w:t>
      </w:r>
      <w:r w:rsidRPr="008C5055">
        <w:t xml:space="preserve"> the</w:t>
      </w:r>
      <w:r w:rsidRPr="008C5055">
        <w:rPr>
          <w:i/>
          <w:iCs/>
        </w:rPr>
        <w:t xml:space="preserve"> NDIS Code of Conduct</w:t>
      </w:r>
      <w:r>
        <w:t xml:space="preserve">, particularly including failing to </w:t>
      </w:r>
      <w:r>
        <w:rPr>
          <w:color w:val="000000"/>
          <w:shd w:val="clear" w:color="auto" w:fill="FFFFFF"/>
        </w:rPr>
        <w:t>promptly take steps to raise and act on concerns about matters that may impact the quality and safety of supports and services provided to people with disability;</w:t>
      </w:r>
    </w:p>
    <w:p w:rsidR="00BB6800" w:rsidRPr="0036670F" w:rsidRDefault="00BB6800" w:rsidP="00841B3D">
      <w:pPr>
        <w:pStyle w:val="Bullet1"/>
      </w:pPr>
      <w:r w:rsidRPr="0036670F">
        <w:t xml:space="preserve">a </w:t>
      </w:r>
      <w:r w:rsidRPr="00FB486F">
        <w:t>registered NDIS provider using a regulated restrictive practice without State or Territory authorisation, and/or not in</w:t>
      </w:r>
      <w:r>
        <w:t xml:space="preserve"> accordance with an appropriate behaviour support plan</w:t>
      </w:r>
      <w:r w:rsidRPr="0036670F">
        <w:t xml:space="preserve">; </w:t>
      </w:r>
    </w:p>
    <w:p w:rsidR="00BB6800" w:rsidRPr="0036670F" w:rsidRDefault="00BB6800" w:rsidP="00841B3D">
      <w:pPr>
        <w:pStyle w:val="Bullet1"/>
      </w:pPr>
      <w:r w:rsidRPr="0036670F">
        <w:t>a registered NDIS provider failing to implement and maintain an appropriate and complian</w:t>
      </w:r>
      <w:r>
        <w:t>t</w:t>
      </w:r>
      <w:r w:rsidRPr="0036670F">
        <w:t xml:space="preserve"> incident management scheme, </w:t>
      </w:r>
      <w:r>
        <w:t>or to comply</w:t>
      </w:r>
      <w:r w:rsidRPr="0036670F">
        <w:t xml:space="preserve"> with all applicable requirements relating to reportable incidents;</w:t>
      </w:r>
      <w:r>
        <w:t xml:space="preserve"> </w:t>
      </w:r>
    </w:p>
    <w:p w:rsidR="00BB6800" w:rsidRDefault="00BB6800" w:rsidP="00841B3D">
      <w:pPr>
        <w:pStyle w:val="Bullet1"/>
      </w:pPr>
      <w:r w:rsidRPr="0036670F">
        <w:t>a registered NDIS provider failing to support participants to make informed choices, exercise control and maximise their independence in relation to supports provided</w:t>
      </w:r>
      <w:r>
        <w:t>;</w:t>
      </w:r>
      <w:r w:rsidRPr="0036670F">
        <w:t xml:space="preserve"> </w:t>
      </w:r>
      <w:r>
        <w:t>or</w:t>
      </w:r>
    </w:p>
    <w:p w:rsidR="00BB6800" w:rsidRPr="000006D2" w:rsidRDefault="00BB6800" w:rsidP="00841B3D">
      <w:pPr>
        <w:pStyle w:val="Bullet1"/>
      </w:pPr>
      <w:r w:rsidRPr="000006D2">
        <w:t xml:space="preserve">any other contravention, or alleged contravention, of the NDIS Act. </w:t>
      </w:r>
    </w:p>
    <w:p w:rsidR="00BB6800" w:rsidRDefault="00BB6800" w:rsidP="00BB6800">
      <w:pPr>
        <w:tabs>
          <w:tab w:val="left" w:pos="820"/>
          <w:tab w:val="left" w:pos="821"/>
        </w:tabs>
        <w:spacing w:line="280" w:lineRule="exact"/>
      </w:pPr>
      <w:r w:rsidRPr="009F4E75">
        <w:t>The NDIS Commission’s</w:t>
      </w:r>
      <w:r w:rsidRPr="00A03E78">
        <w:rPr>
          <w:i/>
        </w:rPr>
        <w:t xml:space="preserve"> </w:t>
      </w:r>
      <w:hyperlink r:id="rId15">
        <w:r w:rsidRPr="00A03E78">
          <w:rPr>
            <w:rStyle w:val="Hyperlink"/>
            <w:i/>
          </w:rPr>
          <w:t xml:space="preserve">Compliance and Enforcement Policy </w:t>
        </w:r>
      </w:hyperlink>
      <w:r w:rsidRPr="00A0170C">
        <w:rPr>
          <w:iCs/>
        </w:rPr>
        <w:t>provides</w:t>
      </w:r>
      <w:r>
        <w:rPr>
          <w:i/>
        </w:rPr>
        <w:t xml:space="preserve"> </w:t>
      </w:r>
      <w:r>
        <w:t xml:space="preserve">further broad guidance concerning the factors </w:t>
      </w:r>
      <w:r w:rsidRPr="00C8478B">
        <w:t xml:space="preserve">the </w:t>
      </w:r>
      <w:r>
        <w:t xml:space="preserve">NDIS </w:t>
      </w:r>
      <w:r w:rsidRPr="00C8478B">
        <w:t xml:space="preserve">Commission </w:t>
      </w:r>
      <w:r>
        <w:t xml:space="preserve">considers when </w:t>
      </w:r>
      <w:r w:rsidRPr="00C8478B">
        <w:t xml:space="preserve">determining whether a compliance notice is suitable, to address </w:t>
      </w:r>
      <w:r>
        <w:t xml:space="preserve">non-compliance </w:t>
      </w:r>
      <w:r w:rsidRPr="00C8478B">
        <w:t xml:space="preserve">or </w:t>
      </w:r>
      <w:r>
        <w:t>possible</w:t>
      </w:r>
      <w:r w:rsidRPr="00C8478B">
        <w:t xml:space="preserve"> non-compliance with the NDIS Act.  </w:t>
      </w:r>
    </w:p>
    <w:p w:rsidR="00BB6800" w:rsidRDefault="00BB6800" w:rsidP="00BB6800">
      <w:pPr>
        <w:pStyle w:val="Heading2"/>
        <w:spacing w:before="240" w:after="240"/>
      </w:pPr>
      <w:bookmarkStart w:id="10" w:name="_Toc87518903"/>
      <w:bookmarkStart w:id="11" w:name="_Toc92376289"/>
      <w:r>
        <w:t>When a compliance notice is an appropriate compliance tool</w:t>
      </w:r>
      <w:bookmarkEnd w:id="10"/>
      <w:bookmarkEnd w:id="11"/>
    </w:p>
    <w:p w:rsidR="00BB6800" w:rsidRPr="0036670F" w:rsidRDefault="00BB6800" w:rsidP="00841B3D">
      <w:pPr>
        <w:tabs>
          <w:tab w:val="left" w:pos="820"/>
          <w:tab w:val="left" w:pos="821"/>
        </w:tabs>
        <w:spacing w:before="240" w:line="280" w:lineRule="exact"/>
      </w:pPr>
      <w:r w:rsidRPr="0036670F">
        <w:t>Examples of where the NDIS Commission may be more likely to consider the use of compliance notices include where:</w:t>
      </w:r>
    </w:p>
    <w:p w:rsidR="00BB6800" w:rsidRPr="0036670F" w:rsidRDefault="00BB6800" w:rsidP="00841B3D">
      <w:pPr>
        <w:pStyle w:val="Bullet1"/>
      </w:pPr>
      <w:r w:rsidRPr="0036670F">
        <w:t xml:space="preserve">the </w:t>
      </w:r>
      <w:r>
        <w:t xml:space="preserve">NDIS </w:t>
      </w:r>
      <w:r w:rsidRPr="0036670F">
        <w:t xml:space="preserve">provider does not have a history of non-compliance; </w:t>
      </w:r>
    </w:p>
    <w:p w:rsidR="00BB6800" w:rsidRDefault="00BB6800" w:rsidP="00841B3D">
      <w:pPr>
        <w:pStyle w:val="Bullet1"/>
      </w:pPr>
      <w:r>
        <w:t xml:space="preserve">there is a risk to health, safety and wellbeing </w:t>
      </w:r>
      <w:r w:rsidRPr="0036670F">
        <w:t xml:space="preserve">of </w:t>
      </w:r>
      <w:r w:rsidRPr="00B13B41">
        <w:t>people with disability</w:t>
      </w:r>
      <w:r w:rsidRPr="0036670F">
        <w:t xml:space="preserve"> and others in the community arising from the non-compliant conduct</w:t>
      </w:r>
      <w:r>
        <w:t xml:space="preserve">; </w:t>
      </w:r>
    </w:p>
    <w:p w:rsidR="00BB6800" w:rsidRDefault="00BB6800" w:rsidP="00841B3D">
      <w:pPr>
        <w:pStyle w:val="Bullet1"/>
      </w:pPr>
      <w:r>
        <w:lastRenderedPageBreak/>
        <w:t>a compliance notice can be issued to encourage a change in conduct to improve compliance quickly, compared with other compliance tools which may require legal proceedings and will not be immediately available;</w:t>
      </w:r>
    </w:p>
    <w:p w:rsidR="00BB6800" w:rsidRDefault="00BB6800" w:rsidP="00841B3D">
      <w:pPr>
        <w:pStyle w:val="Bullet1"/>
      </w:pPr>
      <w:r>
        <w:t xml:space="preserve">a compliance notice is being issued prior to, or in tandem with, the NDIS Commission taking other action to address concerns of immediate danger or harm;  </w:t>
      </w:r>
    </w:p>
    <w:p w:rsidR="00BB6800" w:rsidRDefault="00BB6800" w:rsidP="00841B3D">
      <w:pPr>
        <w:pStyle w:val="Bullet1"/>
      </w:pPr>
      <w:r w:rsidRPr="0036670F">
        <w:t xml:space="preserve">the </w:t>
      </w:r>
      <w:r>
        <w:t xml:space="preserve">NDIS </w:t>
      </w:r>
      <w:r w:rsidRPr="0036670F">
        <w:t xml:space="preserve">provider has </w:t>
      </w:r>
      <w:r>
        <w:t xml:space="preserve">previously </w:t>
      </w:r>
      <w:r w:rsidRPr="0036670F">
        <w:t xml:space="preserve">failed to </w:t>
      </w:r>
      <w:r>
        <w:t>address the relevant non-compliance voluntarily; or</w:t>
      </w:r>
    </w:p>
    <w:p w:rsidR="00BB6800" w:rsidRDefault="00BB6800" w:rsidP="00841B3D">
      <w:pPr>
        <w:pStyle w:val="Bullet1"/>
      </w:pPr>
      <w:r>
        <w:t xml:space="preserve">the non-compliance with the NDIS Act is systemic in nature. </w:t>
      </w:r>
    </w:p>
    <w:p w:rsidR="00BB6800" w:rsidRDefault="00BB6800" w:rsidP="00BB6800">
      <w:r>
        <w:t xml:space="preserve">For the avoidance of doubt, the giving of a compliance notice does not preclude the NDIS Commission from taking further compliance action against a person. </w:t>
      </w:r>
    </w:p>
    <w:p w:rsidR="00BB6800" w:rsidRDefault="00BB6800" w:rsidP="00BB6800">
      <w:pPr>
        <w:pStyle w:val="Heading2"/>
        <w:spacing w:before="240" w:after="240"/>
      </w:pPr>
      <w:bookmarkStart w:id="12" w:name="_Toc87518904"/>
      <w:bookmarkStart w:id="13" w:name="_Toc92376290"/>
      <w:r>
        <w:t>When a compliance notice would not be considered an appropriate compliance tool</w:t>
      </w:r>
      <w:bookmarkEnd w:id="12"/>
      <w:bookmarkEnd w:id="13"/>
    </w:p>
    <w:p w:rsidR="00BB6800" w:rsidRPr="0036670F" w:rsidRDefault="00BB6800" w:rsidP="00BB6800">
      <w:pPr>
        <w:tabs>
          <w:tab w:val="left" w:pos="820"/>
          <w:tab w:val="left" w:pos="821"/>
        </w:tabs>
        <w:spacing w:after="240" w:line="280" w:lineRule="exact"/>
      </w:pPr>
      <w:r w:rsidRPr="0036670F">
        <w:t xml:space="preserve">Examples of circumstances where a compliance notice may not be </w:t>
      </w:r>
      <w:r>
        <w:t xml:space="preserve">appropriate </w:t>
      </w:r>
      <w:r w:rsidRPr="0036670F">
        <w:t xml:space="preserve">include where: </w:t>
      </w:r>
    </w:p>
    <w:p w:rsidR="00BB6800" w:rsidRDefault="00BB6800" w:rsidP="00841B3D">
      <w:pPr>
        <w:pStyle w:val="Bullet1"/>
      </w:pPr>
      <w:r w:rsidRPr="0036670F">
        <w:t>the</w:t>
      </w:r>
      <w:r>
        <w:t xml:space="preserve"> NDIS</w:t>
      </w:r>
      <w:r w:rsidRPr="0036670F">
        <w:t xml:space="preserve"> provider has a history of non-compliance</w:t>
      </w:r>
      <w:r>
        <w:t xml:space="preserve">; or </w:t>
      </w:r>
    </w:p>
    <w:p w:rsidR="00BB6800" w:rsidRDefault="00BB6800" w:rsidP="00841B3D">
      <w:pPr>
        <w:pStyle w:val="Bullet1"/>
      </w:pPr>
      <w:r w:rsidRPr="0036670F">
        <w:t>the NDIS Commission has previously taken action(s) against the provider for similar</w:t>
      </w:r>
      <w:r>
        <w:t xml:space="preserve"> contraventions of the NDIS Act.</w:t>
      </w:r>
    </w:p>
    <w:p w:rsidR="00BB6800" w:rsidRPr="0036670F" w:rsidRDefault="00BB6800" w:rsidP="00BB6800">
      <w:pPr>
        <w:tabs>
          <w:tab w:val="left" w:pos="820"/>
          <w:tab w:val="left" w:pos="821"/>
        </w:tabs>
      </w:pPr>
      <w:r>
        <w:t>In these circumstances, it may be appropriate for the NDIS Commission to issue a compliance notice, and to consider other compliance or enforcement measures such as a civil penalty order, an injunction, variation, suspension or revocation of an NDIS Provider’s registration, or a banning order.</w:t>
      </w:r>
    </w:p>
    <w:p w:rsidR="00BB6800" w:rsidRPr="006D219E" w:rsidRDefault="00BB6800" w:rsidP="00BB6800">
      <w:pPr>
        <w:pStyle w:val="Heading1"/>
      </w:pPr>
      <w:bookmarkStart w:id="14" w:name="_Toc73092107"/>
      <w:bookmarkStart w:id="15" w:name="_Toc77758127"/>
      <w:bookmarkStart w:id="16" w:name="_Toc87518905"/>
      <w:bookmarkStart w:id="17" w:name="_Toc92376291"/>
      <w:r>
        <w:t>Record keeping</w:t>
      </w:r>
      <w:bookmarkEnd w:id="14"/>
      <w:bookmarkEnd w:id="15"/>
      <w:r>
        <w:t xml:space="preserve"> and publication</w:t>
      </w:r>
      <w:bookmarkEnd w:id="16"/>
      <w:bookmarkEnd w:id="17"/>
    </w:p>
    <w:p w:rsidR="00BB6800" w:rsidRDefault="00BB6800" w:rsidP="00BB6800">
      <w:pPr>
        <w:pStyle w:val="BodyText"/>
        <w:spacing w:before="208" w:line="252" w:lineRule="auto"/>
        <w:ind w:right="262"/>
      </w:pPr>
      <w:r>
        <w:t xml:space="preserve">The NDIS Commission will keep records of all circumstances where a compliance notice has been given to an NDIS provider. Where permitted by law, the NDIS Commission may provide information about its use of compliance notices to other regulators, to assist those regulators in carrying out their responsibilities. </w:t>
      </w:r>
    </w:p>
    <w:p w:rsidR="00BB6800" w:rsidRDefault="00BB6800" w:rsidP="00BB6800">
      <w:pPr>
        <w:pStyle w:val="BodyText"/>
        <w:spacing w:before="208" w:line="252" w:lineRule="auto"/>
        <w:ind w:right="262"/>
      </w:pPr>
      <w:r>
        <w:t>Section 73ZS of the NDIS Act requires that the NDIS Commission must establish and maintain a register known as the NDIS Provider Register, which includes:</w:t>
      </w:r>
    </w:p>
    <w:p w:rsidR="00BB6800" w:rsidRDefault="00BB6800" w:rsidP="00841B3D">
      <w:pPr>
        <w:pStyle w:val="Bullet1"/>
      </w:pPr>
      <w:r>
        <w:t xml:space="preserve">if a compliance notice is in force in relation to a registered NDIS provider – information about the compliance notice; or </w:t>
      </w:r>
    </w:p>
    <w:p w:rsidR="00BB6800" w:rsidRDefault="00BB6800" w:rsidP="00841B3D">
      <w:pPr>
        <w:pStyle w:val="Bullet1"/>
      </w:pPr>
      <w:r>
        <w:t>if an NDIS provider is, or was, subject to a compliance notice – information about the compliance notice.</w:t>
      </w:r>
    </w:p>
    <w:p w:rsidR="00841B3D" w:rsidRDefault="00841B3D">
      <w:pPr>
        <w:suppressAutoHyphens w:val="0"/>
        <w:spacing w:before="120" w:after="120" w:line="240" w:lineRule="auto"/>
        <w:rPr>
          <w:rFonts w:asciiTheme="majorHAnsi" w:eastAsiaTheme="majorEastAsia" w:hAnsiTheme="majorHAnsi" w:cstheme="majorBidi"/>
          <w:b/>
          <w:color w:val="612C69"/>
          <w:sz w:val="40"/>
          <w:szCs w:val="40"/>
        </w:rPr>
      </w:pPr>
      <w:bookmarkStart w:id="18" w:name="_Toc77758129"/>
      <w:bookmarkStart w:id="19" w:name="_Toc87518906"/>
      <w:bookmarkStart w:id="20" w:name="_Toc92376292"/>
      <w:r>
        <w:br w:type="page"/>
      </w:r>
    </w:p>
    <w:p w:rsidR="00BB6800" w:rsidRPr="00FB6695" w:rsidRDefault="00BB6800" w:rsidP="00BB6800">
      <w:pPr>
        <w:pStyle w:val="Heading1"/>
        <w:spacing w:before="240"/>
      </w:pPr>
      <w:r>
        <w:lastRenderedPageBreak/>
        <w:t>Review of decisions</w:t>
      </w:r>
      <w:bookmarkEnd w:id="18"/>
      <w:bookmarkEnd w:id="19"/>
      <w:bookmarkEnd w:id="20"/>
    </w:p>
    <w:p w:rsidR="00BB6800" w:rsidRDefault="00BB6800" w:rsidP="00BB6800">
      <w:pPr>
        <w:pStyle w:val="BodyText"/>
        <w:spacing w:before="210"/>
      </w:pPr>
      <w:r>
        <w:t>A person can seek a review of certain decisions made by the NDIS Commissioner if they are directly affected by that decision. When the NDIS Commission undertakes this review, it is known as an internal review.</w:t>
      </w:r>
    </w:p>
    <w:p w:rsidR="00BB6800" w:rsidRDefault="00BB6800" w:rsidP="00BB6800">
      <w:pPr>
        <w:pStyle w:val="BodyText"/>
        <w:spacing w:before="210"/>
      </w:pPr>
      <w:r>
        <w:t>An internal review must be undertaken by an officer of the NDIS Commission who was not involved in making the original decision.</w:t>
      </w:r>
    </w:p>
    <w:p w:rsidR="00BB6800" w:rsidRDefault="00BB6800" w:rsidP="00BB6800">
      <w:pPr>
        <w:pStyle w:val="BodyText"/>
        <w:spacing w:before="210"/>
      </w:pPr>
      <w:r>
        <w:t>A request for review must be made within three months of receiving written notice of the decision by:</w:t>
      </w:r>
    </w:p>
    <w:p w:rsidR="00BB6800" w:rsidRDefault="00BB6800" w:rsidP="00841B3D">
      <w:pPr>
        <w:pStyle w:val="Bullet1"/>
      </w:pPr>
      <w:r>
        <w:t>sending or delivering a written request by mail or email; or</w:t>
      </w:r>
    </w:p>
    <w:p w:rsidR="00BB6800" w:rsidRDefault="00BB6800" w:rsidP="00841B3D">
      <w:pPr>
        <w:pStyle w:val="Bullet1"/>
      </w:pPr>
      <w:r>
        <w:t>making an oral request, in person or by phone, or other means, to the Commissioner.</w:t>
      </w:r>
    </w:p>
    <w:p w:rsidR="00BB6800" w:rsidRDefault="00BB6800" w:rsidP="00BB6800">
      <w:pPr>
        <w:pStyle w:val="BodyText"/>
        <w:spacing w:before="210"/>
      </w:pPr>
      <w:r>
        <w:t>If the person seeking an internal review receives a decision and they are not satisfied with the outcome, the person may apply for the decision to be reviewed by the Administrative Appeals Tribunal (AAT). The request for review by the AAT must be made within 28 days of receiving written notice of an internal review decision.</w:t>
      </w:r>
    </w:p>
    <w:p w:rsidR="00BB6800" w:rsidRDefault="00BB6800" w:rsidP="00BB6800">
      <w:pPr>
        <w:pStyle w:val="BodyText"/>
        <w:spacing w:before="210"/>
      </w:pPr>
      <w:r>
        <w:t>The decision made by the NDIS Commissioner will remain until or unless another decision is made by the AAT. However, a person may request that the AAT make an order staying or otherwise affecting the implementation of the decision made by the NDIS Commission.</w:t>
      </w:r>
    </w:p>
    <w:p w:rsidR="00BB6800" w:rsidRDefault="00BB6800" w:rsidP="00BB6800">
      <w:pPr>
        <w:pStyle w:val="BodyText"/>
        <w:spacing w:before="210"/>
      </w:pPr>
      <w:r>
        <w:t>Relevant to this policy, a decision to give a compliance notice to an NDIS provider is reviewable by the AAT.</w:t>
      </w:r>
      <w:r w:rsidRPr="008E2A40">
        <w:rPr>
          <w:rStyle w:val="FooterChar"/>
        </w:rPr>
        <w:t xml:space="preserve"> </w:t>
      </w:r>
    </w:p>
    <w:p w:rsidR="00BB6800" w:rsidRPr="000A42F0" w:rsidRDefault="00BB6800" w:rsidP="00BB6800">
      <w:pPr>
        <w:spacing w:before="240"/>
      </w:pPr>
      <w:r>
        <w:t xml:space="preserve">A person may also seek a review of decisions made by the NDIS Commissioner under the </w:t>
      </w:r>
      <w:r w:rsidRPr="006174AA">
        <w:rPr>
          <w:i/>
          <w:iCs/>
        </w:rPr>
        <w:t>Administrative Decisions (Judicial Review) Act</w:t>
      </w:r>
      <w:r>
        <w:t xml:space="preserve"> (ADJR Act). The application for review can be made to the Federal Court or the Federal Circuit Court, and can only be made if certain grounds under section 5 of the ADJR Act are present in the application for review.</w:t>
      </w:r>
    </w:p>
    <w:p w:rsidR="00EC53E4" w:rsidRPr="00455AAF" w:rsidRDefault="00EC53E4" w:rsidP="004359DF">
      <w:pPr>
        <w:suppressAutoHyphens w:val="0"/>
        <w:spacing w:before="120" w:after="120" w:line="240" w:lineRule="auto"/>
      </w:pPr>
    </w:p>
    <w:sectPr w:rsidR="00EC53E4" w:rsidRPr="00455AAF" w:rsidSect="00CE4DAF">
      <w:headerReference w:type="first" r:id="rId16"/>
      <w:footerReference w:type="first" r:id="rId17"/>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D06" w:rsidRDefault="00066D06" w:rsidP="008E21DE">
      <w:pPr>
        <w:spacing w:before="0" w:after="0"/>
      </w:pPr>
      <w:r>
        <w:separator/>
      </w:r>
    </w:p>
  </w:endnote>
  <w:endnote w:type="continuationSeparator" w:id="0">
    <w:p w:rsidR="00066D06" w:rsidRDefault="00066D0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DF329D"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2534FA">
      <w:rPr>
        <w:noProof/>
      </w:rPr>
      <w:t>3</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F48F2E"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2534FA">
      <w:rPr>
        <w:noProof/>
      </w:rPr>
      <w:t>2</w:t>
    </w:r>
    <w:r>
      <w:rPr>
        <w:noProof/>
      </w:rPr>
      <w:fldChar w:fldCharType="end"/>
    </w:r>
  </w:p>
  <w:p w:rsidR="00A93A03" w:rsidRDefault="00A93A0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D06" w:rsidRDefault="00066D06" w:rsidP="008E21DE">
      <w:pPr>
        <w:spacing w:before="0" w:after="0"/>
      </w:pPr>
      <w:r>
        <w:separator/>
      </w:r>
    </w:p>
  </w:footnote>
  <w:footnote w:type="continuationSeparator" w:id="0">
    <w:p w:rsidR="00066D06" w:rsidRDefault="00066D0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EC53E4">
    <w:pPr>
      <w:pStyle w:val="Header"/>
    </w:pPr>
  </w:p>
  <w:p w:rsidR="00680A20" w:rsidRDefault="00362AB6">
    <w:pPr>
      <w:pStyle w:val="Header"/>
    </w:pPr>
    <w:r>
      <w:rPr>
        <w:b w:val="0"/>
        <w:bCs/>
        <w:noProof/>
        <w:lang w:eastAsia="en-AU"/>
      </w:rPr>
      <mc:AlternateContent>
        <mc:Choice Requires="wps">
          <w:drawing>
            <wp:inline distT="0" distB="0" distL="0" distR="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2A615D"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781DAB73" wp14:editId="2547580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title="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237E1EF" id="Rectangle 3" o:spid="_x0000_s1026" alt="Title: Decorative background - Description: 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" fillcolor="#5f2e74 [3204]" stroked="f" strokeweight="1pt">
              <w10:wrap anchorx="margin"/>
            </v:rect>
          </w:pict>
        </mc:Fallback>
      </mc:AlternateContent>
    </w:r>
    <w:r w:rsidR="0025780C">
      <w:rPr>
        <w:noProof/>
        <w:lang w:eastAsia="en-AU"/>
      </w:rPr>
      <w:drawing>
        <wp:inline distT="0" distB="0" distL="0" distR="0">
          <wp:extent cx="3572510" cy="1109345"/>
          <wp:effectExtent l="0" t="0" r="0" b="0"/>
          <wp:docPr id="13" name="Picture 13"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03" w:rsidRDefault="00CE4DAF" w:rsidP="002417AD">
    <w:pPr>
      <w:pStyle w:val="Header"/>
    </w:pPr>
    <w:r>
      <w:rPr>
        <w:noProof/>
        <w:lang w:eastAsia="en-AU"/>
      </w:rPr>
      <w:drawing>
        <wp:inline distT="0" distB="0" distL="0" distR="0">
          <wp:extent cx="3497386" cy="1350335"/>
          <wp:effectExtent l="0" t="0" r="8255" b="0"/>
          <wp:docPr id="16" name="Picture 1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796FC9"/>
    <w:multiLevelType w:val="singleLevel"/>
    <w:tmpl w:val="0C090001"/>
    <w:lvl w:ilvl="0">
      <w:start w:val="1"/>
      <w:numFmt w:val="bullet"/>
      <w:lvlText w:val=""/>
      <w:lvlJc w:val="left"/>
      <w:pPr>
        <w:ind w:left="720" w:hanging="360"/>
      </w:pPr>
      <w:rPr>
        <w:rFonts w:ascii="Symbol" w:hAnsi="Symbol" w:hint="default"/>
        <w:color w:val="auto"/>
        <w:sz w:val="24"/>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FA2765"/>
    <w:multiLevelType w:val="hybridMultilevel"/>
    <w:tmpl w:val="EBEC5AF2"/>
    <w:lvl w:ilvl="0" w:tplc="48FE890C">
      <w:numFmt w:val="bullet"/>
      <w:lvlText w:val=""/>
      <w:lvlJc w:val="left"/>
      <w:pPr>
        <w:ind w:left="2219" w:hanging="360"/>
      </w:pPr>
      <w:rPr>
        <w:rFonts w:ascii="Symbol" w:eastAsia="Symbol" w:hAnsi="Symbol" w:cs="Symbol" w:hint="default"/>
        <w:w w:val="99"/>
        <w:sz w:val="20"/>
        <w:szCs w:val="20"/>
        <w:lang w:val="en-AU" w:eastAsia="en-AU" w:bidi="en-AU"/>
      </w:rPr>
    </w:lvl>
    <w:lvl w:ilvl="1" w:tplc="048A96D2">
      <w:numFmt w:val="bullet"/>
      <w:lvlText w:val="•"/>
      <w:lvlJc w:val="left"/>
      <w:pPr>
        <w:ind w:left="2922" w:hanging="360"/>
      </w:pPr>
      <w:rPr>
        <w:rFonts w:hint="default"/>
        <w:lang w:val="en-AU" w:eastAsia="en-AU" w:bidi="en-AU"/>
      </w:rPr>
    </w:lvl>
    <w:lvl w:ilvl="2" w:tplc="5C3A76B6">
      <w:numFmt w:val="bullet"/>
      <w:lvlText w:val="•"/>
      <w:lvlJc w:val="left"/>
      <w:pPr>
        <w:ind w:left="3625" w:hanging="360"/>
      </w:pPr>
      <w:rPr>
        <w:rFonts w:hint="default"/>
        <w:lang w:val="en-AU" w:eastAsia="en-AU" w:bidi="en-AU"/>
      </w:rPr>
    </w:lvl>
    <w:lvl w:ilvl="3" w:tplc="8AD813E0">
      <w:numFmt w:val="bullet"/>
      <w:lvlText w:val="•"/>
      <w:lvlJc w:val="left"/>
      <w:pPr>
        <w:ind w:left="4327" w:hanging="360"/>
      </w:pPr>
      <w:rPr>
        <w:rFonts w:hint="default"/>
        <w:lang w:val="en-AU" w:eastAsia="en-AU" w:bidi="en-AU"/>
      </w:rPr>
    </w:lvl>
    <w:lvl w:ilvl="4" w:tplc="EB62C5A0">
      <w:numFmt w:val="bullet"/>
      <w:lvlText w:val="•"/>
      <w:lvlJc w:val="left"/>
      <w:pPr>
        <w:ind w:left="5030" w:hanging="360"/>
      </w:pPr>
      <w:rPr>
        <w:rFonts w:hint="default"/>
        <w:lang w:val="en-AU" w:eastAsia="en-AU" w:bidi="en-AU"/>
      </w:rPr>
    </w:lvl>
    <w:lvl w:ilvl="5" w:tplc="32A07BC8">
      <w:numFmt w:val="bullet"/>
      <w:lvlText w:val="•"/>
      <w:lvlJc w:val="left"/>
      <w:pPr>
        <w:ind w:left="5733" w:hanging="360"/>
      </w:pPr>
      <w:rPr>
        <w:rFonts w:hint="default"/>
        <w:lang w:val="en-AU" w:eastAsia="en-AU" w:bidi="en-AU"/>
      </w:rPr>
    </w:lvl>
    <w:lvl w:ilvl="6" w:tplc="406861B6">
      <w:numFmt w:val="bullet"/>
      <w:lvlText w:val="•"/>
      <w:lvlJc w:val="left"/>
      <w:pPr>
        <w:ind w:left="6435" w:hanging="360"/>
      </w:pPr>
      <w:rPr>
        <w:rFonts w:hint="default"/>
        <w:lang w:val="en-AU" w:eastAsia="en-AU" w:bidi="en-AU"/>
      </w:rPr>
    </w:lvl>
    <w:lvl w:ilvl="7" w:tplc="E294F2B0">
      <w:numFmt w:val="bullet"/>
      <w:lvlText w:val="•"/>
      <w:lvlJc w:val="left"/>
      <w:pPr>
        <w:ind w:left="7138" w:hanging="360"/>
      </w:pPr>
      <w:rPr>
        <w:rFonts w:hint="default"/>
        <w:lang w:val="en-AU" w:eastAsia="en-AU" w:bidi="en-AU"/>
      </w:rPr>
    </w:lvl>
    <w:lvl w:ilvl="8" w:tplc="E4F879F4">
      <w:numFmt w:val="bullet"/>
      <w:lvlText w:val="•"/>
      <w:lvlJc w:val="left"/>
      <w:pPr>
        <w:ind w:left="7841" w:hanging="360"/>
      </w:pPr>
      <w:rPr>
        <w:rFonts w:hint="default"/>
        <w:lang w:val="en-AU" w:eastAsia="en-AU" w:bidi="en-AU"/>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78912C8"/>
    <w:multiLevelType w:val="hybridMultilevel"/>
    <w:tmpl w:val="7D7A4802"/>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1B953DC"/>
    <w:multiLevelType w:val="hybridMultilevel"/>
    <w:tmpl w:val="D1AA08FC"/>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397869"/>
    <w:multiLevelType w:val="multilevel"/>
    <w:tmpl w:val="4E929216"/>
    <w:numStyleLink w:val="NumberedHeadings"/>
  </w:abstractNum>
  <w:abstractNum w:abstractNumId="24" w15:restartNumberingAfterBreak="0">
    <w:nsid w:val="6A131AB0"/>
    <w:multiLevelType w:val="hybridMultilevel"/>
    <w:tmpl w:val="35A43DC2"/>
    <w:lvl w:ilvl="0" w:tplc="EB8010F8">
      <w:start w:val="1"/>
      <w:numFmt w:val="lowerLetter"/>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6457D66"/>
    <w:multiLevelType w:val="hybridMultilevel"/>
    <w:tmpl w:val="11486C54"/>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BE7C9E"/>
    <w:multiLevelType w:val="hybridMultilevel"/>
    <w:tmpl w:val="CD4C6EC4"/>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B815549"/>
    <w:multiLevelType w:val="singleLevel"/>
    <w:tmpl w:val="0C090001"/>
    <w:lvl w:ilvl="0">
      <w:start w:val="1"/>
      <w:numFmt w:val="bullet"/>
      <w:lvlText w:val=""/>
      <w:lvlJc w:val="left"/>
      <w:pPr>
        <w:ind w:left="760" w:hanging="360"/>
      </w:pPr>
      <w:rPr>
        <w:rFonts w:ascii="Symbol" w:hAnsi="Symbol" w:hint="default"/>
        <w:color w:val="auto"/>
        <w:sz w:val="24"/>
      </w:rPr>
    </w:lvl>
  </w:abstractNum>
  <w:abstractNum w:abstractNumId="31" w15:restartNumberingAfterBreak="0">
    <w:nsid w:val="7CAF1339"/>
    <w:multiLevelType w:val="hybridMultilevel"/>
    <w:tmpl w:val="38B60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050083"/>
    <w:multiLevelType w:val="hybridMultilevel"/>
    <w:tmpl w:val="941EB6E4"/>
    <w:lvl w:ilvl="0" w:tplc="DAB85F5E">
      <w:numFmt w:val="bullet"/>
      <w:lvlText w:val=""/>
      <w:lvlJc w:val="left"/>
      <w:pPr>
        <w:ind w:left="72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44065"/>
    <w:multiLevelType w:val="multilevel"/>
    <w:tmpl w:val="A41689A2"/>
    <w:numStyleLink w:val="AppendixNumbers"/>
  </w:abstractNum>
  <w:num w:numId="1">
    <w:abstractNumId w:val="3"/>
  </w:num>
  <w:num w:numId="2">
    <w:abstractNumId w:val="33"/>
  </w:num>
  <w:num w:numId="3">
    <w:abstractNumId w:val="17"/>
  </w:num>
  <w:num w:numId="4">
    <w:abstractNumId w:val="29"/>
  </w:num>
  <w:num w:numId="5">
    <w:abstractNumId w:val="29"/>
  </w:num>
  <w:num w:numId="6">
    <w:abstractNumId w:val="12"/>
  </w:num>
  <w:num w:numId="7">
    <w:abstractNumId w:val="16"/>
  </w:num>
  <w:num w:numId="8">
    <w:abstractNumId w:val="16"/>
  </w:num>
  <w:num w:numId="9">
    <w:abstractNumId w:val="16"/>
  </w:num>
  <w:num w:numId="10">
    <w:abstractNumId w:val="5"/>
  </w:num>
  <w:num w:numId="11">
    <w:abstractNumId w:val="18"/>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4"/>
  </w:num>
  <w:num w:numId="20">
    <w:abstractNumId w:val="20"/>
  </w:num>
  <w:num w:numId="21">
    <w:abstractNumId w:val="20"/>
  </w:num>
  <w:num w:numId="22">
    <w:abstractNumId w:val="20"/>
  </w:num>
  <w:num w:numId="23">
    <w:abstractNumId w:val="19"/>
  </w:num>
  <w:num w:numId="24">
    <w:abstractNumId w:val="10"/>
  </w:num>
  <w:num w:numId="25">
    <w:abstractNumId w:val="6"/>
  </w:num>
  <w:num w:numId="26">
    <w:abstractNumId w:val="15"/>
  </w:num>
  <w:num w:numId="27">
    <w:abstractNumId w:val="0"/>
  </w:num>
  <w:num w:numId="28">
    <w:abstractNumId w:val="26"/>
  </w:num>
  <w:num w:numId="29">
    <w:abstractNumId w:val="2"/>
  </w:num>
  <w:num w:numId="30">
    <w:abstractNumId w:val="1"/>
  </w:num>
  <w:num w:numId="31">
    <w:abstractNumId w:val="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4"/>
  </w:num>
  <w:num w:numId="37">
    <w:abstractNumId w:val="11"/>
  </w:num>
  <w:num w:numId="38">
    <w:abstractNumId w:val="31"/>
  </w:num>
  <w:num w:numId="39">
    <w:abstractNumId w:val="24"/>
  </w:num>
  <w:num w:numId="40">
    <w:abstractNumId w:val="28"/>
  </w:num>
  <w:num w:numId="41">
    <w:abstractNumId w:val="8"/>
  </w:num>
  <w:num w:numId="42">
    <w:abstractNumId w:val="30"/>
  </w:num>
  <w:num w:numId="43">
    <w:abstractNumId w:val="32"/>
  </w:num>
  <w:num w:numId="44">
    <w:abstractNumId w:val="22"/>
  </w:num>
  <w:num w:numId="45">
    <w:abstractNumId w:val="1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E6"/>
    <w:rsid w:val="00066D06"/>
    <w:rsid w:val="00080615"/>
    <w:rsid w:val="000C252F"/>
    <w:rsid w:val="000F3A54"/>
    <w:rsid w:val="000F48FC"/>
    <w:rsid w:val="00121A18"/>
    <w:rsid w:val="00201052"/>
    <w:rsid w:val="00231AAC"/>
    <w:rsid w:val="002417AD"/>
    <w:rsid w:val="002534FA"/>
    <w:rsid w:val="0025780C"/>
    <w:rsid w:val="00260CCC"/>
    <w:rsid w:val="002804D3"/>
    <w:rsid w:val="00296497"/>
    <w:rsid w:val="003449A0"/>
    <w:rsid w:val="00362AB6"/>
    <w:rsid w:val="003F29B8"/>
    <w:rsid w:val="004154E2"/>
    <w:rsid w:val="00432589"/>
    <w:rsid w:val="004359DF"/>
    <w:rsid w:val="00455AAF"/>
    <w:rsid w:val="004D4273"/>
    <w:rsid w:val="00534D53"/>
    <w:rsid w:val="00544AF8"/>
    <w:rsid w:val="00553B25"/>
    <w:rsid w:val="00582A32"/>
    <w:rsid w:val="005D57E6"/>
    <w:rsid w:val="00646885"/>
    <w:rsid w:val="00650E13"/>
    <w:rsid w:val="00662EB7"/>
    <w:rsid w:val="0067135E"/>
    <w:rsid w:val="00680A20"/>
    <w:rsid w:val="00680F04"/>
    <w:rsid w:val="006A5FB6"/>
    <w:rsid w:val="0076178C"/>
    <w:rsid w:val="007703DE"/>
    <w:rsid w:val="0079299E"/>
    <w:rsid w:val="007A24B7"/>
    <w:rsid w:val="00841B3D"/>
    <w:rsid w:val="00870DED"/>
    <w:rsid w:val="0087733E"/>
    <w:rsid w:val="008A649A"/>
    <w:rsid w:val="008E21DE"/>
    <w:rsid w:val="0092679E"/>
    <w:rsid w:val="00A07E4A"/>
    <w:rsid w:val="00A60009"/>
    <w:rsid w:val="00A93A03"/>
    <w:rsid w:val="00AA094B"/>
    <w:rsid w:val="00AB12D5"/>
    <w:rsid w:val="00AD735D"/>
    <w:rsid w:val="00AE6F93"/>
    <w:rsid w:val="00AF0899"/>
    <w:rsid w:val="00B025D1"/>
    <w:rsid w:val="00B35BDF"/>
    <w:rsid w:val="00B603C0"/>
    <w:rsid w:val="00B70F5F"/>
    <w:rsid w:val="00B80518"/>
    <w:rsid w:val="00B83AB4"/>
    <w:rsid w:val="00BB6800"/>
    <w:rsid w:val="00C0421C"/>
    <w:rsid w:val="00C10202"/>
    <w:rsid w:val="00C21944"/>
    <w:rsid w:val="00C52C59"/>
    <w:rsid w:val="00C6534A"/>
    <w:rsid w:val="00C90DF2"/>
    <w:rsid w:val="00C92FAF"/>
    <w:rsid w:val="00CE4DAF"/>
    <w:rsid w:val="00D607CA"/>
    <w:rsid w:val="00DE37A9"/>
    <w:rsid w:val="00DF74BA"/>
    <w:rsid w:val="00E260AC"/>
    <w:rsid w:val="00E30DA3"/>
    <w:rsid w:val="00EC53E4"/>
    <w:rsid w:val="00EE737C"/>
    <w:rsid w:val="00F10A81"/>
    <w:rsid w:val="00F12C81"/>
    <w:rsid w:val="00F704CE"/>
    <w:rsid w:val="00F7471C"/>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005AA2-FE32-4B32-8D87-738AEA99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1"/>
    <w:qFormat/>
    <w:rsid w:val="005D57E6"/>
    <w:pPr>
      <w:widowControl w:val="0"/>
      <w:suppressAutoHyphens w:val="0"/>
      <w:autoSpaceDE w:val="0"/>
      <w:autoSpaceDN w:val="0"/>
      <w:spacing w:before="0" w:after="0" w:line="240" w:lineRule="auto"/>
      <w:ind w:left="820" w:hanging="360"/>
    </w:pPr>
    <w:rPr>
      <w:rFonts w:ascii="Calibri" w:eastAsia="Calibri" w:hAnsi="Calibri" w:cs="Calibri"/>
      <w:color w:val="auto"/>
      <w:szCs w:val="22"/>
      <w:lang w:eastAsia="en-AU" w:bidi="en-AU"/>
    </w:rPr>
  </w:style>
  <w:style w:type="paragraph" w:styleId="BodyText">
    <w:name w:val="Body Text"/>
    <w:basedOn w:val="Normal"/>
    <w:link w:val="BodyTextChar"/>
    <w:uiPriority w:val="1"/>
    <w:qFormat/>
    <w:rsid w:val="00BB6800"/>
    <w:pPr>
      <w:widowControl w:val="0"/>
      <w:suppressAutoHyphens w:val="0"/>
      <w:autoSpaceDE w:val="0"/>
      <w:autoSpaceDN w:val="0"/>
      <w:spacing w:before="0" w:after="0" w:line="240" w:lineRule="auto"/>
    </w:pPr>
    <w:rPr>
      <w:rFonts w:ascii="Calibri" w:eastAsia="Calibri" w:hAnsi="Calibri" w:cs="Calibri"/>
      <w:color w:val="auto"/>
      <w:szCs w:val="22"/>
      <w:lang w:eastAsia="en-AU" w:bidi="en-AU"/>
    </w:rPr>
  </w:style>
  <w:style w:type="character" w:customStyle="1" w:styleId="BodyTextChar">
    <w:name w:val="Body Text Char"/>
    <w:basedOn w:val="DefaultParagraphFont"/>
    <w:link w:val="BodyText"/>
    <w:uiPriority w:val="1"/>
    <w:rsid w:val="00BB6800"/>
    <w:rPr>
      <w:rFonts w:ascii="Calibri" w:eastAsia="Calibri" w:hAnsi="Calibri" w:cs="Calibri"/>
      <w:color w:val="auto"/>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discommission.gov.au/document/6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document/666"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discommission.gov.au/document/6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152E-1512-4132-A7ED-939328DC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34</TotalTime>
  <Pages>8</Pages>
  <Words>2258</Words>
  <Characters>12158</Characters>
  <Application>Microsoft Office Word</Application>
  <DocSecurity>0</DocSecurity>
  <Lines>211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Notices Policy V1.0 – January 2022</dc:title>
  <dc:subject/>
  <dc:creator>NDIS Quality and Safeguards Commission</dc:creator>
  <cp:keywords>[SEC=OFFICIAL]</cp:keywords>
  <dc:description/>
  <cp:lastModifiedBy>MAODUS, Danijela</cp:lastModifiedBy>
  <cp:revision>6</cp:revision>
  <dcterms:created xsi:type="dcterms:W3CDTF">2022-01-06T04:23:00Z</dcterms:created>
  <dcterms:modified xsi:type="dcterms:W3CDTF">2022-01-06T08:49:00Z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1C3314FEDF2146CB8C81FC25D47A57CD</vt:lpwstr>
  </property>
  <property fmtid="{D5CDD505-2E9C-101B-9397-08002B2CF9AE}" pid="9" name="PM_ProtectiveMarkingValue_Footer">
    <vt:lpwstr>OFFICIAL</vt:lpwstr>
  </property>
  <property fmtid="{D5CDD505-2E9C-101B-9397-08002B2CF9AE}" pid="10" name="PM_Originator_Hash_SHA1">
    <vt:lpwstr>E717C55DAA450FA43590BDEAC05D50B68CA40274</vt:lpwstr>
  </property>
  <property fmtid="{D5CDD505-2E9C-101B-9397-08002B2CF9AE}" pid="11" name="PM_OriginationTimeStamp">
    <vt:lpwstr>2022-01-06T08:49:56Z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430C2F926B732665BD29056E7B9D3D90</vt:lpwstr>
  </property>
  <property fmtid="{D5CDD505-2E9C-101B-9397-08002B2CF9AE}" pid="21" name="PM_Hash_Salt">
    <vt:lpwstr>8A464E44ECC2D267821BB8D722EA9F22</vt:lpwstr>
  </property>
  <property fmtid="{D5CDD505-2E9C-101B-9397-08002B2CF9AE}" pid="22" name="PM_Hash_SHA1">
    <vt:lpwstr>6E8AF26AD7D093F84858C3E050391BA704D57C06</vt:lpwstr>
  </property>
  <property fmtid="{D5CDD505-2E9C-101B-9397-08002B2CF9AE}" pid="23" name="PM_OriginatorUserAccountName_SHA256">
    <vt:lpwstr>827B80278AE120C801B7405BA22D8B444F5C5934D1F414F9FFBCCA7BFFD53344</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