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41A54" w14:textId="30508C14" w:rsidR="00E02BAE" w:rsidRDefault="00E02BAE" w:rsidP="00E02BAE">
      <w:pPr>
        <w:pStyle w:val="Heading1"/>
        <w:spacing w:before="120"/>
        <w:jc w:val="center"/>
        <w:rPr>
          <w:sz w:val="34"/>
        </w:rPr>
      </w:pPr>
      <w:bookmarkStart w:id="0" w:name="_GoBack"/>
      <w:bookmarkEnd w:id="0"/>
      <w:r>
        <w:t>Practices proposed to be prohibited</w:t>
      </w:r>
    </w:p>
    <w:p w14:paraId="543C2719" w14:textId="3A5BBCE9" w:rsidR="00E02BAE" w:rsidRDefault="00E02BAE" w:rsidP="00E02BAE">
      <w:pPr>
        <w:suppressAutoHyphens w:val="0"/>
        <w:spacing w:before="120" w:line="240" w:lineRule="auto"/>
        <w:rPr>
          <w:szCs w:val="22"/>
        </w:rPr>
      </w:pPr>
      <w:r>
        <w:rPr>
          <w:szCs w:val="22"/>
        </w:rPr>
        <w:t xml:space="preserve">Under section 181H of the </w:t>
      </w:r>
      <w:r>
        <w:rPr>
          <w:i/>
          <w:szCs w:val="22"/>
        </w:rPr>
        <w:t>National Disability Insurance Scheme Act</w:t>
      </w:r>
      <w:r>
        <w:rPr>
          <w:szCs w:val="22"/>
        </w:rPr>
        <w:t xml:space="preserve"> </w:t>
      </w:r>
      <w:r>
        <w:rPr>
          <w:i/>
          <w:szCs w:val="22"/>
        </w:rPr>
        <w:t>2013,</w:t>
      </w:r>
      <w:r>
        <w:rPr>
          <w:szCs w:val="22"/>
        </w:rPr>
        <w:t xml:space="preserve"> the NDIS Quality and Safeguards Commissioner has a function of assisting states and territories to develop a regulatory framework for restrictive practices. An important step in developing that framework is national agreement on a list of restrictive practices that should be prohibited by states and territories. </w:t>
      </w:r>
    </w:p>
    <w:p w14:paraId="22B4DCE0" w14:textId="0210E2E2" w:rsidR="00E02BAE" w:rsidRDefault="00296487" w:rsidP="00E02BAE">
      <w:pPr>
        <w:suppressAutoHyphens w:val="0"/>
        <w:spacing w:before="120" w:line="240" w:lineRule="auto"/>
        <w:rPr>
          <w:szCs w:val="22"/>
        </w:rPr>
      </w:pPr>
      <w:r>
        <w:rPr>
          <w:szCs w:val="22"/>
        </w:rPr>
        <w:t>In December 2018, t</w:t>
      </w:r>
      <w:r w:rsidR="00E02BAE" w:rsidDel="0050614A">
        <w:rPr>
          <w:szCs w:val="22"/>
        </w:rPr>
        <w:t xml:space="preserve">he NDIS Commission </w:t>
      </w:r>
      <w:r w:rsidR="00E02BAE">
        <w:rPr>
          <w:szCs w:val="22"/>
        </w:rPr>
        <w:t xml:space="preserve">developed a list of practices proposed to be prohibited </w:t>
      </w:r>
      <w:r w:rsidR="00E02BAE" w:rsidDel="0050614A">
        <w:rPr>
          <w:szCs w:val="22"/>
        </w:rPr>
        <w:t>taking into account states’ and territories’ existing guidelines and practice advice regarding restrictive practices.</w:t>
      </w:r>
      <w:r w:rsidR="00E02BAE" w:rsidRPr="005D071E" w:rsidDel="0050614A">
        <w:rPr>
          <w:szCs w:val="22"/>
        </w:rPr>
        <w:t xml:space="preserve"> </w:t>
      </w:r>
      <w:r>
        <w:rPr>
          <w:szCs w:val="22"/>
        </w:rPr>
        <w:t>In May 2019, t</w:t>
      </w:r>
      <w:r w:rsidR="00E02BAE" w:rsidDel="0050614A">
        <w:rPr>
          <w:szCs w:val="22"/>
        </w:rPr>
        <w:t>he list</w:t>
      </w:r>
      <w:r>
        <w:rPr>
          <w:szCs w:val="22"/>
        </w:rPr>
        <w:t xml:space="preserve"> </w:t>
      </w:r>
      <w:r w:rsidR="00E02BAE" w:rsidDel="0050614A">
        <w:rPr>
          <w:szCs w:val="22"/>
        </w:rPr>
        <w:t>was agreed to by the National Senior Practitioners Practice Leadership Group</w:t>
      </w:r>
      <w:r w:rsidR="00E02BAE">
        <w:rPr>
          <w:szCs w:val="22"/>
        </w:rPr>
        <w:t xml:space="preserve"> and submitted to the Senior Officials Working Group for</w:t>
      </w:r>
      <w:r>
        <w:rPr>
          <w:szCs w:val="22"/>
        </w:rPr>
        <w:t xml:space="preserve"> agreement.</w:t>
      </w:r>
      <w:r w:rsidR="00FB3901">
        <w:rPr>
          <w:szCs w:val="22"/>
        </w:rPr>
        <w:t xml:space="preserve"> The list is set out below.</w:t>
      </w:r>
    </w:p>
    <w:p w14:paraId="45135AC3" w14:textId="0221B775" w:rsidR="00E02BAE" w:rsidDel="00D745B6" w:rsidRDefault="00E02BAE" w:rsidP="00E02BAE">
      <w:pPr>
        <w:suppressAutoHyphens w:val="0"/>
        <w:spacing w:before="120" w:line="240" w:lineRule="auto"/>
        <w:rPr>
          <w:szCs w:val="22"/>
        </w:rPr>
      </w:pPr>
      <w:r>
        <w:rPr>
          <w:szCs w:val="22"/>
        </w:rPr>
        <w:t>In December 2019, the Disability Reform Council</w:t>
      </w:r>
      <w:r w:rsidR="004A21D5">
        <w:rPr>
          <w:rStyle w:val="FootnoteReference"/>
          <w:szCs w:val="22"/>
        </w:rPr>
        <w:footnoteReference w:id="1"/>
      </w:r>
      <w:r>
        <w:rPr>
          <w:szCs w:val="22"/>
        </w:rPr>
        <w:t xml:space="preserve"> endorsed prohibiting the practices that are </w:t>
      </w:r>
      <w:r w:rsidR="00FB3901">
        <w:rPr>
          <w:szCs w:val="22"/>
        </w:rPr>
        <w:t>listed</w:t>
      </w:r>
      <w:r>
        <w:rPr>
          <w:szCs w:val="22"/>
        </w:rPr>
        <w:t xml:space="preserve">. The Council also agreed to prioritise efforts towards attaining national consistency, guided by shared principles for restrictive practice authorisation. States and territories are in the process of introducing changes that bring their respective authorisation processes into alignment with these shared principles. </w:t>
      </w:r>
      <w:r w:rsidDel="00D745B6">
        <w:rPr>
          <w:szCs w:val="22"/>
        </w:rPr>
        <w:t>Some of the practices listed are already prohibited in some jurisdictions.</w:t>
      </w:r>
    </w:p>
    <w:p w14:paraId="128DC2BC" w14:textId="77777777" w:rsidR="00E02BAE" w:rsidRDefault="00E02BAE" w:rsidP="00E02BAE">
      <w:pPr>
        <w:pStyle w:val="Heading3"/>
      </w:pPr>
      <w:r>
        <w:t>Specific forms of physical restraint</w:t>
      </w:r>
    </w:p>
    <w:p w14:paraId="63745C3E"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The use of prone restraint, which is subduing a person by forcing them into a face-down position</w:t>
      </w:r>
      <w:r>
        <w:rPr>
          <w:rFonts w:cstheme="minorHAnsi"/>
          <w:color w:val="auto"/>
          <w:szCs w:val="18"/>
        </w:rPr>
        <w:t>.</w:t>
      </w:r>
    </w:p>
    <w:p w14:paraId="0203AE56" w14:textId="77777777" w:rsidR="00E02BAE" w:rsidRDefault="00E02BAE" w:rsidP="00E02BAE">
      <w:pPr>
        <w:pStyle w:val="ListParagraph"/>
        <w:suppressAutoHyphens w:val="0"/>
        <w:spacing w:before="120" w:after="120" w:line="240" w:lineRule="auto"/>
        <w:ind w:left="360"/>
        <w:rPr>
          <w:szCs w:val="22"/>
        </w:rPr>
      </w:pPr>
    </w:p>
    <w:p w14:paraId="6243DDBA"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The use of supine restraint, which is subduing a person by forcing them into a face-up position</w:t>
      </w:r>
      <w:r>
        <w:rPr>
          <w:rFonts w:cstheme="minorHAnsi"/>
          <w:color w:val="auto"/>
          <w:szCs w:val="18"/>
        </w:rPr>
        <w:t>.</w:t>
      </w:r>
      <w:r>
        <w:t xml:space="preserve"> </w:t>
      </w:r>
    </w:p>
    <w:p w14:paraId="609E0329" w14:textId="77777777" w:rsidR="00E02BAE" w:rsidRDefault="00E02BAE" w:rsidP="00E02BAE">
      <w:pPr>
        <w:pStyle w:val="ListParagraph"/>
        <w:suppressAutoHyphens w:val="0"/>
        <w:spacing w:before="0" w:after="0" w:line="240" w:lineRule="auto"/>
        <w:ind w:left="360"/>
        <w:rPr>
          <w:szCs w:val="22"/>
        </w:rPr>
      </w:pPr>
    </w:p>
    <w:p w14:paraId="28EC1D87"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Pin downs, which is subduing a person by holding down their limbs or any part of the body, such as their arms or legs</w:t>
      </w:r>
      <w:r>
        <w:rPr>
          <w:rFonts w:cstheme="minorHAnsi"/>
          <w:color w:val="auto"/>
          <w:szCs w:val="18"/>
        </w:rPr>
        <w:t>.</w:t>
      </w:r>
    </w:p>
    <w:p w14:paraId="05359186" w14:textId="77777777" w:rsidR="00E02BAE" w:rsidRDefault="00E02BAE" w:rsidP="00E02BAE">
      <w:pPr>
        <w:pStyle w:val="ListParagraph"/>
        <w:suppressAutoHyphens w:val="0"/>
        <w:spacing w:before="0" w:after="0" w:line="240" w:lineRule="auto"/>
        <w:ind w:left="360"/>
        <w:rPr>
          <w:szCs w:val="22"/>
        </w:rPr>
      </w:pPr>
    </w:p>
    <w:p w14:paraId="731C6E1C"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Basket holds, which is subduing a person by wrapping your arm/s around their upper and or lower body</w:t>
      </w:r>
      <w:r>
        <w:rPr>
          <w:rFonts w:cstheme="minorHAnsi"/>
          <w:color w:val="auto"/>
          <w:szCs w:val="18"/>
        </w:rPr>
        <w:t>.</w:t>
      </w:r>
      <w:r>
        <w:t xml:space="preserve"> </w:t>
      </w:r>
    </w:p>
    <w:p w14:paraId="24B91D5D" w14:textId="77777777" w:rsidR="00E02BAE" w:rsidRDefault="00E02BAE" w:rsidP="00E02BAE">
      <w:pPr>
        <w:pStyle w:val="ListParagraph"/>
        <w:suppressAutoHyphens w:val="0"/>
        <w:spacing w:before="0" w:after="0" w:line="240" w:lineRule="auto"/>
        <w:ind w:left="360"/>
        <w:rPr>
          <w:szCs w:val="22"/>
        </w:rPr>
      </w:pPr>
    </w:p>
    <w:p w14:paraId="6CA82F8E" w14:textId="77777777" w:rsidR="00E02BAE" w:rsidRPr="00E64655" w:rsidRDefault="00E02BAE" w:rsidP="00E02BAE">
      <w:pPr>
        <w:pStyle w:val="ListParagraph"/>
        <w:numPr>
          <w:ilvl w:val="0"/>
          <w:numId w:val="13"/>
        </w:numPr>
        <w:suppressAutoHyphens w:val="0"/>
        <w:spacing w:before="0" w:after="0" w:line="240" w:lineRule="auto"/>
        <w:ind w:hanging="357"/>
        <w:rPr>
          <w:szCs w:val="22"/>
        </w:rPr>
      </w:pPr>
      <w:r w:rsidRPr="00E64655">
        <w:rPr>
          <w:szCs w:val="22"/>
        </w:rPr>
        <w:t>Takedown techniques, which is subduing a person by forcing them to free-fall to the floor or by forcing them to fall to the floor with support</w:t>
      </w:r>
      <w:r w:rsidRPr="00E64655">
        <w:rPr>
          <w:rFonts w:cstheme="minorHAnsi"/>
          <w:color w:val="auto"/>
          <w:szCs w:val="18"/>
        </w:rPr>
        <w:t>.</w:t>
      </w:r>
      <w:r>
        <w:t xml:space="preserve"> </w:t>
      </w:r>
    </w:p>
    <w:p w14:paraId="0B355253" w14:textId="77777777" w:rsidR="00E02BAE" w:rsidRPr="00E64655" w:rsidRDefault="00E02BAE" w:rsidP="00E02BAE">
      <w:pPr>
        <w:pStyle w:val="ListParagraph"/>
        <w:spacing w:line="240" w:lineRule="auto"/>
        <w:rPr>
          <w:szCs w:val="22"/>
        </w:rPr>
      </w:pPr>
    </w:p>
    <w:p w14:paraId="17A3F7D2"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Any physical restraint that has the purpose or effect of restraining or inhibiting a person’s respiratory or digestive functioning</w:t>
      </w:r>
      <w:r>
        <w:rPr>
          <w:rFonts w:cstheme="minorHAnsi"/>
          <w:color w:val="auto"/>
          <w:szCs w:val="18"/>
        </w:rPr>
        <w:t>.</w:t>
      </w:r>
    </w:p>
    <w:p w14:paraId="0866F993" w14:textId="77777777" w:rsidR="00E02BAE" w:rsidRDefault="00E02BAE" w:rsidP="00E02BAE">
      <w:pPr>
        <w:pStyle w:val="ListParagraph"/>
        <w:suppressAutoHyphens w:val="0"/>
        <w:spacing w:before="120" w:after="120" w:line="240" w:lineRule="auto"/>
        <w:ind w:left="360"/>
        <w:rPr>
          <w:szCs w:val="22"/>
        </w:rPr>
      </w:pPr>
    </w:p>
    <w:p w14:paraId="71813E69"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Any physical restraint that has the effect of pushing the person’s head forward onto their chest</w:t>
      </w:r>
      <w:r>
        <w:rPr>
          <w:rFonts w:cstheme="minorHAnsi"/>
          <w:color w:val="auto"/>
          <w:szCs w:val="18"/>
        </w:rPr>
        <w:t>.</w:t>
      </w:r>
      <w:r>
        <w:t xml:space="preserve"> </w:t>
      </w:r>
    </w:p>
    <w:p w14:paraId="06444353" w14:textId="77777777" w:rsidR="00E02BAE" w:rsidRDefault="00E02BAE" w:rsidP="00E02BAE">
      <w:pPr>
        <w:pStyle w:val="ListParagraph"/>
        <w:suppressAutoHyphens w:val="0"/>
        <w:spacing w:before="120" w:after="120" w:line="240" w:lineRule="auto"/>
        <w:ind w:left="360"/>
        <w:rPr>
          <w:szCs w:val="22"/>
        </w:rPr>
      </w:pPr>
    </w:p>
    <w:p w14:paraId="03D78054" w14:textId="77777777" w:rsidR="00E02BAE" w:rsidRDefault="00E02BAE" w:rsidP="00E02BAE">
      <w:pPr>
        <w:pStyle w:val="ListParagraph"/>
        <w:numPr>
          <w:ilvl w:val="0"/>
          <w:numId w:val="13"/>
        </w:numPr>
        <w:suppressAutoHyphens w:val="0"/>
        <w:spacing w:after="120" w:line="240" w:lineRule="auto"/>
        <w:ind w:left="357" w:hanging="357"/>
        <w:rPr>
          <w:szCs w:val="22"/>
        </w:rPr>
      </w:pPr>
      <w:r>
        <w:rPr>
          <w:szCs w:val="22"/>
        </w:rPr>
        <w:t>Any physical restraint that has the purpose or effect of compelling a person’s compliance through the infliction of pain, hyperextension of joints, or by applying pressure to the chest or joints</w:t>
      </w:r>
      <w:r>
        <w:rPr>
          <w:rFonts w:cstheme="minorHAnsi"/>
          <w:color w:val="auto"/>
          <w:szCs w:val="18"/>
        </w:rPr>
        <w:t>.</w:t>
      </w:r>
      <w:r>
        <w:t xml:space="preserve"> </w:t>
      </w:r>
    </w:p>
    <w:p w14:paraId="7D62BA54" w14:textId="77777777" w:rsidR="00E02BAE" w:rsidRDefault="00E02BAE" w:rsidP="00E02BAE">
      <w:pPr>
        <w:pStyle w:val="Heading3"/>
        <w:rPr>
          <w:szCs w:val="20"/>
        </w:rPr>
      </w:pPr>
      <w:r>
        <w:lastRenderedPageBreak/>
        <w:t>Punitive approaches</w:t>
      </w:r>
    </w:p>
    <w:p w14:paraId="4F9321F9" w14:textId="77777777" w:rsidR="00E02BAE" w:rsidRDefault="00E02BAE" w:rsidP="00E02BAE">
      <w:pPr>
        <w:pStyle w:val="ListParagraph"/>
        <w:numPr>
          <w:ilvl w:val="0"/>
          <w:numId w:val="14"/>
        </w:numPr>
        <w:suppressAutoHyphens w:val="0"/>
        <w:spacing w:before="60" w:after="60" w:line="240" w:lineRule="auto"/>
        <w:ind w:left="357" w:hanging="357"/>
        <w:rPr>
          <w:szCs w:val="22"/>
        </w:rPr>
      </w:pPr>
      <w:r>
        <w:rPr>
          <w:szCs w:val="22"/>
        </w:rPr>
        <w:t>Aversive practices, which is any practice which might be experienced by a person as noxious or unpleasant and potentially painful. For example, threats, deliberate cold baths, applying chilli powder to the hands to prevent biting, sitting on a person to prevent them from self-harming.</w:t>
      </w:r>
    </w:p>
    <w:p w14:paraId="5A8B383B" w14:textId="77777777" w:rsidR="00E02BAE" w:rsidRDefault="00E02BAE" w:rsidP="00E02BAE">
      <w:pPr>
        <w:pStyle w:val="ListParagraph"/>
        <w:suppressAutoHyphens w:val="0"/>
        <w:spacing w:before="60" w:after="60" w:line="240" w:lineRule="auto"/>
        <w:ind w:left="360"/>
        <w:rPr>
          <w:szCs w:val="22"/>
        </w:rPr>
      </w:pPr>
    </w:p>
    <w:p w14:paraId="29F9030E" w14:textId="77777777" w:rsidR="00E02BAE" w:rsidRDefault="00E02BAE" w:rsidP="00E02BAE">
      <w:pPr>
        <w:pStyle w:val="ListParagraph"/>
        <w:numPr>
          <w:ilvl w:val="0"/>
          <w:numId w:val="14"/>
        </w:numPr>
        <w:spacing w:line="240" w:lineRule="auto"/>
        <w:rPr>
          <w:szCs w:val="22"/>
        </w:rPr>
      </w:pPr>
      <w:r>
        <w:rPr>
          <w:szCs w:val="22"/>
        </w:rPr>
        <w:t xml:space="preserve">Overcorrection, which is any practice where a person is required to </w:t>
      </w:r>
      <w:r>
        <w:rPr>
          <w:rFonts w:cstheme="minorHAnsi"/>
          <w:szCs w:val="22"/>
        </w:rPr>
        <w:t>respond disproportionately to an event, beyond that which may be necessary to restore a situation to its original condition. This is often used as a punitive measure. For example, a child draws all over their desk at school and they are made to clean the whole classroom</w:t>
      </w:r>
      <w:r>
        <w:rPr>
          <w:szCs w:val="22"/>
        </w:rPr>
        <w:t>.</w:t>
      </w:r>
      <w:r>
        <w:rPr>
          <w:i/>
          <w:szCs w:val="22"/>
        </w:rPr>
        <w:t xml:space="preserve"> </w:t>
      </w:r>
    </w:p>
    <w:p w14:paraId="50F6FED6" w14:textId="77777777" w:rsidR="00E02BAE" w:rsidRDefault="00E02BAE" w:rsidP="00E02BAE">
      <w:pPr>
        <w:pStyle w:val="ListParagraph"/>
        <w:spacing w:line="240" w:lineRule="auto"/>
        <w:rPr>
          <w:szCs w:val="22"/>
        </w:rPr>
      </w:pPr>
    </w:p>
    <w:p w14:paraId="2E9B2DE9" w14:textId="77777777" w:rsidR="00E02BAE" w:rsidRDefault="00E02BAE" w:rsidP="00E02BAE">
      <w:pPr>
        <w:pStyle w:val="ListParagraph"/>
        <w:numPr>
          <w:ilvl w:val="0"/>
          <w:numId w:val="14"/>
        </w:numPr>
        <w:spacing w:line="240" w:lineRule="auto"/>
        <w:rPr>
          <w:szCs w:val="22"/>
        </w:rPr>
      </w:pPr>
      <w:r>
        <w:rPr>
          <w:rFonts w:cstheme="minorHAnsi"/>
          <w:szCs w:val="22"/>
        </w:rPr>
        <w:t>Denial of key needs, which is withholding supports such as owning possessions, preventing access to family, peers, friends and advocates, or any other basic needs or supports. For example, denying access to basic needs such as toilet paper, sanitary items, stopping a person from seeing their friends or family</w:t>
      </w:r>
      <w:r>
        <w:rPr>
          <w:szCs w:val="22"/>
        </w:rPr>
        <w:t>.</w:t>
      </w:r>
    </w:p>
    <w:p w14:paraId="123D1924" w14:textId="77777777" w:rsidR="00E02BAE" w:rsidRDefault="00E02BAE" w:rsidP="00E02BAE">
      <w:pPr>
        <w:pStyle w:val="ListParagraph"/>
        <w:spacing w:line="240" w:lineRule="auto"/>
        <w:rPr>
          <w:rFonts w:cstheme="minorHAnsi"/>
          <w:szCs w:val="22"/>
        </w:rPr>
      </w:pPr>
    </w:p>
    <w:p w14:paraId="4CFA3738" w14:textId="77777777" w:rsidR="00E02BAE" w:rsidRDefault="00E02BAE" w:rsidP="00E02BAE">
      <w:pPr>
        <w:pStyle w:val="ListParagraph"/>
        <w:numPr>
          <w:ilvl w:val="0"/>
          <w:numId w:val="14"/>
        </w:numPr>
        <w:spacing w:line="240" w:lineRule="auto"/>
        <w:rPr>
          <w:rFonts w:cstheme="minorHAnsi"/>
          <w:szCs w:val="22"/>
        </w:rPr>
      </w:pPr>
      <w:r>
        <w:rPr>
          <w:rFonts w:cstheme="minorHAnsi"/>
          <w:szCs w:val="22"/>
        </w:rPr>
        <w:t xml:space="preserve">Practices related to degradation or vilification. For example, practices that are degrading or demeaning to the person; may be perceived by the person or their guardian as harassment are unethical.  </w:t>
      </w:r>
    </w:p>
    <w:p w14:paraId="36254193" w14:textId="77777777" w:rsidR="00E02BAE" w:rsidRDefault="00E02BAE" w:rsidP="00E02BAE">
      <w:pPr>
        <w:pStyle w:val="Default"/>
        <w:numPr>
          <w:ilvl w:val="0"/>
          <w:numId w:val="14"/>
        </w:numPr>
        <w:contextualSpacing/>
        <w:rPr>
          <w:rFonts w:asciiTheme="minorHAnsi" w:hAnsiTheme="minorHAnsi" w:cstheme="minorHAnsi"/>
          <w:sz w:val="22"/>
          <w:szCs w:val="22"/>
        </w:rPr>
      </w:pPr>
      <w:r>
        <w:rPr>
          <w:rFonts w:asciiTheme="minorHAnsi" w:hAnsiTheme="minorHAnsi" w:cstheme="minorHAnsi"/>
          <w:sz w:val="22"/>
          <w:szCs w:val="22"/>
        </w:rPr>
        <w:t>Practices that limit or deny access to culture. For example, actions that limit participation opportunities or access to community, culture and language, including the denial of access to interpreters</w:t>
      </w:r>
      <w:r>
        <w:rPr>
          <w:rFonts w:cstheme="minorHAnsi"/>
          <w:szCs w:val="22"/>
        </w:rPr>
        <w:t>.</w:t>
      </w:r>
    </w:p>
    <w:p w14:paraId="4E518343" w14:textId="77777777" w:rsidR="00E02BAE" w:rsidRDefault="00E02BAE" w:rsidP="00E02BAE">
      <w:pPr>
        <w:pStyle w:val="ListParagraph"/>
        <w:suppressAutoHyphens w:val="0"/>
        <w:spacing w:before="0" w:after="0" w:line="240" w:lineRule="auto"/>
        <w:ind w:left="357"/>
        <w:rPr>
          <w:rFonts w:cstheme="minorHAnsi"/>
          <w:szCs w:val="22"/>
        </w:rPr>
      </w:pPr>
    </w:p>
    <w:p w14:paraId="28257988" w14:textId="77777777" w:rsidR="00E02BAE" w:rsidRDefault="00E02BAE" w:rsidP="00E02BAE">
      <w:pPr>
        <w:pStyle w:val="ListParagraph"/>
        <w:numPr>
          <w:ilvl w:val="0"/>
          <w:numId w:val="14"/>
        </w:numPr>
        <w:spacing w:line="240" w:lineRule="auto"/>
        <w:rPr>
          <w:szCs w:val="22"/>
        </w:rPr>
      </w:pPr>
      <w:r>
        <w:rPr>
          <w:rFonts w:cstheme="minorHAnsi"/>
          <w:szCs w:val="22"/>
        </w:rPr>
        <w:t>Response Cost, which is a punishment of a person who forgoes a positive item or activity because of the person’s behaviour. For example, a planned outing is cancelled because the person did not follow the morning routine.</w:t>
      </w:r>
    </w:p>
    <w:p w14:paraId="40B4283A" w14:textId="77777777" w:rsidR="00E02BAE" w:rsidRDefault="00E02BAE" w:rsidP="00E02BAE">
      <w:pPr>
        <w:suppressAutoHyphens w:val="0"/>
        <w:spacing w:before="240" w:after="120" w:line="240" w:lineRule="auto"/>
        <w:contextualSpacing/>
        <w:rPr>
          <w:rFonts w:cstheme="minorHAnsi"/>
          <w:szCs w:val="22"/>
        </w:rPr>
      </w:pPr>
      <w:r>
        <w:rPr>
          <w:rFonts w:cstheme="minorHAnsi"/>
          <w:szCs w:val="22"/>
        </w:rPr>
        <w:t xml:space="preserve">See the </w:t>
      </w:r>
      <w:hyperlink r:id="rId11" w:history="1">
        <w:r>
          <w:rPr>
            <w:rStyle w:val="Hyperlink"/>
            <w:rFonts w:cstheme="minorHAnsi"/>
            <w:szCs w:val="22"/>
            <w:shd w:val="clear" w:color="auto" w:fill="FFFFFF"/>
          </w:rPr>
          <w:t>Regulated Restrictive Practices Guide</w:t>
        </w:r>
      </w:hyperlink>
      <w:r>
        <w:rPr>
          <w:rFonts w:cstheme="minorHAnsi"/>
          <w:color w:val="111111"/>
          <w:szCs w:val="22"/>
          <w:u w:val="single"/>
          <w:shd w:val="clear" w:color="auto" w:fill="FFFFFF"/>
        </w:rPr>
        <w:t xml:space="preserve"> </w:t>
      </w:r>
      <w:r>
        <w:rPr>
          <w:rFonts w:cstheme="minorHAnsi"/>
          <w:szCs w:val="22"/>
        </w:rPr>
        <w:t>for more information about regulated restrictive practices.</w:t>
      </w:r>
    </w:p>
    <w:p w14:paraId="5A782065" w14:textId="77777777" w:rsidR="00E02BAE" w:rsidRPr="00E64655" w:rsidRDefault="00E02BAE" w:rsidP="00E02BAE">
      <w:pPr>
        <w:pStyle w:val="Heading3"/>
        <w:rPr>
          <w:rStyle w:val="Strong"/>
          <w:b/>
          <w:bCs w:val="0"/>
        </w:rPr>
      </w:pPr>
      <w:r w:rsidRPr="00E64655">
        <w:rPr>
          <w:rStyle w:val="Strong"/>
          <w:b/>
          <w:bCs w:val="0"/>
        </w:rPr>
        <w:t>References</w:t>
      </w:r>
    </w:p>
    <w:p w14:paraId="4D7FAF0A" w14:textId="77777777" w:rsidR="00E02BAE" w:rsidRPr="00E64655" w:rsidRDefault="00E02BAE" w:rsidP="00E02BAE">
      <w:pPr>
        <w:suppressAutoHyphens w:val="0"/>
        <w:spacing w:before="120" w:after="120"/>
        <w:rPr>
          <w:szCs w:val="22"/>
        </w:rPr>
      </w:pPr>
      <w:r w:rsidRPr="00E64655">
        <w:rPr>
          <w:szCs w:val="22"/>
        </w:rPr>
        <w:t>Central Restrictive Practices Team. (2019).</w:t>
      </w:r>
      <w:r w:rsidRPr="00E64655">
        <w:rPr>
          <w:i/>
          <w:szCs w:val="22"/>
        </w:rPr>
        <w:t xml:space="preserve"> NSW Restrictive Practices Authorisation Procedural Guide - June 2019</w:t>
      </w:r>
      <w:r w:rsidRPr="00E64655">
        <w:rPr>
          <w:szCs w:val="22"/>
        </w:rPr>
        <w:t>. Department of Family and Community Services: New South Wales.</w:t>
      </w:r>
    </w:p>
    <w:p w14:paraId="366ADF23" w14:textId="77777777" w:rsidR="00E02BAE" w:rsidRPr="00E64655" w:rsidRDefault="00E02BAE" w:rsidP="00E02BAE">
      <w:pPr>
        <w:pStyle w:val="FootnoteText"/>
        <w:rPr>
          <w:sz w:val="22"/>
          <w:szCs w:val="22"/>
        </w:rPr>
      </w:pPr>
      <w:r w:rsidRPr="00E64655">
        <w:rPr>
          <w:sz w:val="22"/>
          <w:szCs w:val="22"/>
        </w:rPr>
        <w:t xml:space="preserve">Disability Reform Council. (2019). </w:t>
      </w:r>
      <w:r w:rsidRPr="00E64655">
        <w:rPr>
          <w:i/>
          <w:sz w:val="22"/>
          <w:szCs w:val="22"/>
        </w:rPr>
        <w:t xml:space="preserve">Communique 13 December 2019. </w:t>
      </w:r>
      <w:r w:rsidRPr="00E64655">
        <w:rPr>
          <w:sz w:val="22"/>
          <w:szCs w:val="22"/>
        </w:rPr>
        <w:t xml:space="preserve">The Council of Australia Governments: Perth. </w:t>
      </w:r>
    </w:p>
    <w:p w14:paraId="3CFF06A6" w14:textId="77777777" w:rsidR="00E02BAE" w:rsidRPr="00E64655" w:rsidRDefault="00E02BAE" w:rsidP="00E02BAE">
      <w:pPr>
        <w:suppressAutoHyphens w:val="0"/>
        <w:spacing w:before="120" w:after="120" w:line="240" w:lineRule="auto"/>
        <w:rPr>
          <w:rFonts w:cstheme="minorHAnsi"/>
          <w:color w:val="auto"/>
          <w:szCs w:val="22"/>
        </w:rPr>
      </w:pPr>
      <w:r w:rsidRPr="00E64655">
        <w:rPr>
          <w:szCs w:val="22"/>
        </w:rPr>
        <w:t xml:space="preserve">Restrictive Practices Authorisation Unit. (2019). </w:t>
      </w:r>
      <w:r w:rsidRPr="00E64655">
        <w:rPr>
          <w:rFonts w:cstheme="minorHAnsi"/>
          <w:bCs/>
          <w:i/>
          <w:color w:val="auto"/>
          <w:szCs w:val="22"/>
        </w:rPr>
        <w:t>Restrictive Practices Authorisation Framework (August 2019).</w:t>
      </w:r>
      <w:r w:rsidRPr="00E64655">
        <w:rPr>
          <w:rFonts w:cstheme="minorHAnsi"/>
          <w:color w:val="auto"/>
          <w:szCs w:val="22"/>
        </w:rPr>
        <w:t xml:space="preserve"> Department of Health: Northern Territory.</w:t>
      </w:r>
    </w:p>
    <w:p w14:paraId="42C2FEB2" w14:textId="2F884026" w:rsidR="00E64655" w:rsidRPr="001D753E" w:rsidRDefault="00E02BAE" w:rsidP="00E64655">
      <w:pPr>
        <w:suppressAutoHyphens w:val="0"/>
        <w:spacing w:before="120" w:after="120" w:line="240" w:lineRule="auto"/>
        <w:rPr>
          <w:rFonts w:cstheme="minorHAnsi"/>
          <w:color w:val="auto"/>
          <w:szCs w:val="22"/>
        </w:rPr>
      </w:pPr>
      <w:r w:rsidRPr="00E64655">
        <w:rPr>
          <w:rFonts w:cstheme="minorHAnsi"/>
          <w:color w:val="auto"/>
          <w:szCs w:val="22"/>
        </w:rPr>
        <w:t xml:space="preserve">Senior Practitioner. (2011). </w:t>
      </w:r>
      <w:r w:rsidRPr="00E64655">
        <w:rPr>
          <w:rFonts w:cstheme="minorHAnsi"/>
          <w:i/>
          <w:color w:val="auto"/>
          <w:szCs w:val="22"/>
        </w:rPr>
        <w:t>Physical Restraint Direction Paper (May 2011).</w:t>
      </w:r>
      <w:r w:rsidRPr="00E64655">
        <w:rPr>
          <w:rFonts w:cstheme="minorHAnsi"/>
          <w:color w:val="auto"/>
          <w:szCs w:val="22"/>
        </w:rPr>
        <w:t xml:space="preserve"> Department of Health and Human Services: Victoria.</w:t>
      </w:r>
    </w:p>
    <w:sectPr w:rsidR="00E64655" w:rsidRPr="001D753E" w:rsidSect="002F2991">
      <w:footerReference w:type="default" r:id="rId12"/>
      <w:headerReference w:type="first" r:id="rId13"/>
      <w:footerReference w:type="first" r:id="rId14"/>
      <w:type w:val="continuous"/>
      <w:pgSz w:w="11906" w:h="16838" w:code="9"/>
      <w:pgMar w:top="993" w:right="1440" w:bottom="1440" w:left="1440" w:header="284" w:footer="283"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9E6FC" w14:textId="77777777" w:rsidR="00D922DE" w:rsidRDefault="00D922DE" w:rsidP="008E21DE">
      <w:pPr>
        <w:spacing w:before="0" w:after="0"/>
      </w:pPr>
      <w:r>
        <w:separator/>
      </w:r>
    </w:p>
  </w:endnote>
  <w:endnote w:type="continuationSeparator" w:id="0">
    <w:p w14:paraId="1A06003B" w14:textId="77777777" w:rsidR="00D922DE" w:rsidRDefault="00D922D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OT-Regular">
    <w:altName w:val="Centaur"/>
    <w:charset w:val="00"/>
    <w:family w:val="auto"/>
    <w:pitch w:val="variable"/>
    <w:sig w:usb0="00000003" w:usb1="4000247B"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0985" w14:textId="77777777" w:rsidR="0083423C" w:rsidRDefault="0083423C" w:rsidP="00362AB6">
    <w:pPr>
      <w:pStyle w:val="Footer"/>
    </w:pPr>
    <w:r>
      <w:rPr>
        <w:b/>
        <w:bCs/>
        <w:noProof/>
        <w:lang w:eastAsia="en-AU"/>
      </w:rPr>
      <mc:AlternateContent>
        <mc:Choice Requires="wps">
          <w:drawing>
            <wp:inline distT="0" distB="0" distL="0" distR="0" wp14:anchorId="589DB060" wp14:editId="34842F9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00D2E5"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70CE050F" w14:textId="728FB6A5" w:rsidR="0083423C" w:rsidRPr="00080615" w:rsidRDefault="0083423C"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7E0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1C49" w14:textId="77777777" w:rsidR="0083423C" w:rsidRDefault="0083423C" w:rsidP="00080615">
    <w:pPr>
      <w:pStyle w:val="Footer"/>
      <w:rPr>
        <w:sz w:val="18"/>
        <w:szCs w:val="18"/>
      </w:rPr>
    </w:pPr>
    <w:r>
      <w:rPr>
        <w:b/>
        <w:bCs/>
        <w:noProof/>
        <w:lang w:eastAsia="en-AU"/>
      </w:rPr>
      <mc:AlternateContent>
        <mc:Choice Requires="wps">
          <w:drawing>
            <wp:inline distT="0" distB="0" distL="0" distR="0" wp14:anchorId="0BD9FAE2" wp14:editId="447A6946">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A1090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326BE98C" w14:textId="2206A679" w:rsidR="0083423C" w:rsidRPr="00080615" w:rsidRDefault="0083423C"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B7E0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4E139" w14:textId="77777777" w:rsidR="00D922DE" w:rsidRDefault="00D922DE" w:rsidP="008E21DE">
      <w:pPr>
        <w:spacing w:before="0" w:after="0"/>
      </w:pPr>
      <w:r>
        <w:separator/>
      </w:r>
    </w:p>
  </w:footnote>
  <w:footnote w:type="continuationSeparator" w:id="0">
    <w:p w14:paraId="02D48735" w14:textId="77777777" w:rsidR="00D922DE" w:rsidRDefault="00D922DE" w:rsidP="008E21DE">
      <w:pPr>
        <w:spacing w:before="0" w:after="0"/>
      </w:pPr>
      <w:r>
        <w:continuationSeparator/>
      </w:r>
    </w:p>
  </w:footnote>
  <w:footnote w:id="1">
    <w:p w14:paraId="6287BC5F" w14:textId="3FF8112B" w:rsidR="004A21D5" w:rsidRDefault="004A21D5">
      <w:pPr>
        <w:pStyle w:val="FootnoteText"/>
      </w:pPr>
      <w:r>
        <w:rPr>
          <w:rStyle w:val="FootnoteReference"/>
        </w:rPr>
        <w:footnoteRef/>
      </w:r>
      <w:r w:rsidR="00951F3B">
        <w:t xml:space="preserve"> </w:t>
      </w:r>
      <w:r>
        <w:t xml:space="preserve">The Council of Australian Governments (COAG) Disability Reform Council (the Council) was </w:t>
      </w:r>
      <w:r w:rsidR="00C66D65">
        <w:t>chaired by the Commonwealth Minister responsible for disability and consisted of Commonwealth, State and Territory Ministers within disability and treasury portfolios.</w:t>
      </w:r>
      <w:r>
        <w:t xml:space="preserve"> </w:t>
      </w:r>
      <w:r w:rsidR="00C66D65">
        <w:t xml:space="preserve"> </w:t>
      </w:r>
      <w:r>
        <w:t>The Council was replaced in 2021 by the Disability Reform Ministers’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BD3E" w14:textId="77777777" w:rsidR="0083423C" w:rsidRDefault="0083423C">
    <w:pPr>
      <w:pStyle w:val="Header"/>
    </w:pPr>
    <w:r>
      <w:rPr>
        <w:noProof/>
        <w:lang w:eastAsia="en-AU"/>
      </w:rPr>
      <w:ptab w:relativeTo="margin" w:alignment="left" w:leader="none"/>
    </w:r>
    <w:r>
      <w:rPr>
        <w:noProof/>
        <w:lang w:eastAsia="en-AU"/>
      </w:rPr>
      <w:drawing>
        <wp:inline distT="0" distB="0" distL="0" distR="0" wp14:anchorId="4E21753D" wp14:editId="749B7B66">
          <wp:extent cx="3404235" cy="1223842"/>
          <wp:effectExtent l="0" t="0" r="571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478911D7"/>
    <w:multiLevelType w:val="hybridMultilevel"/>
    <w:tmpl w:val="C8CE0978"/>
    <w:lvl w:ilvl="0" w:tplc="446EB650">
      <w:start w:val="1"/>
      <w:numFmt w:val="lowerLetter"/>
      <w:lvlText w:val="%1)"/>
      <w:lvlJc w:val="left"/>
      <w:pPr>
        <w:ind w:left="360" w:hanging="360"/>
      </w:pPr>
      <w:rPr>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5072702A"/>
    <w:multiLevelType w:val="hybridMultilevel"/>
    <w:tmpl w:val="1D9E8FD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numStyleLink w:val="BoxedBullets"/>
  </w:abstractNum>
  <w:num w:numId="1">
    <w:abstractNumId w:val="0"/>
  </w:num>
  <w:num w:numId="2">
    <w:abstractNumId w:val="8"/>
  </w:num>
  <w:num w:numId="3">
    <w:abstractNumId w:val="13"/>
  </w:num>
  <w:num w:numId="4">
    <w:abstractNumId w:val="5"/>
  </w:num>
  <w:num w:numId="5">
    <w:abstractNumId w:val="3"/>
  </w:num>
  <w:num w:numId="6">
    <w:abstractNumId w:val="2"/>
  </w:num>
  <w:num w:numId="7">
    <w:abstractNumId w:val="10"/>
  </w:num>
  <w:num w:numId="8">
    <w:abstractNumId w:val="9"/>
  </w:num>
  <w:num w:numId="9">
    <w:abstractNumId w:val="4"/>
  </w:num>
  <w:num w:numId="10">
    <w:abstractNumId w:val="12"/>
  </w:num>
  <w:num w:numId="11">
    <w:abstractNumId w:val="1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47"/>
    <w:rsid w:val="000010FD"/>
    <w:rsid w:val="00006E10"/>
    <w:rsid w:val="00012F2A"/>
    <w:rsid w:val="000241CE"/>
    <w:rsid w:val="000424E3"/>
    <w:rsid w:val="00043D08"/>
    <w:rsid w:val="00071CE2"/>
    <w:rsid w:val="00080615"/>
    <w:rsid w:val="00092ED3"/>
    <w:rsid w:val="000C252F"/>
    <w:rsid w:val="000C7523"/>
    <w:rsid w:val="000E1769"/>
    <w:rsid w:val="000E2972"/>
    <w:rsid w:val="000F0F1B"/>
    <w:rsid w:val="000F3A54"/>
    <w:rsid w:val="000F48FC"/>
    <w:rsid w:val="001106C9"/>
    <w:rsid w:val="00126FAE"/>
    <w:rsid w:val="00130977"/>
    <w:rsid w:val="001404B8"/>
    <w:rsid w:val="00165AFB"/>
    <w:rsid w:val="0016735C"/>
    <w:rsid w:val="00172D02"/>
    <w:rsid w:val="00182709"/>
    <w:rsid w:val="001B22AB"/>
    <w:rsid w:val="001C73F1"/>
    <w:rsid w:val="001D753E"/>
    <w:rsid w:val="00201052"/>
    <w:rsid w:val="002070BC"/>
    <w:rsid w:val="00210B4E"/>
    <w:rsid w:val="00211AF1"/>
    <w:rsid w:val="00221492"/>
    <w:rsid w:val="00223036"/>
    <w:rsid w:val="00231AAC"/>
    <w:rsid w:val="002510D8"/>
    <w:rsid w:val="002804D3"/>
    <w:rsid w:val="00296487"/>
    <w:rsid w:val="0029650B"/>
    <w:rsid w:val="00296FE2"/>
    <w:rsid w:val="002C4BB1"/>
    <w:rsid w:val="002C4F9B"/>
    <w:rsid w:val="002C567A"/>
    <w:rsid w:val="002D0232"/>
    <w:rsid w:val="002D33B8"/>
    <w:rsid w:val="002E5268"/>
    <w:rsid w:val="002F2991"/>
    <w:rsid w:val="00324112"/>
    <w:rsid w:val="003443D3"/>
    <w:rsid w:val="003449A0"/>
    <w:rsid w:val="0036059A"/>
    <w:rsid w:val="003619EA"/>
    <w:rsid w:val="00362AB6"/>
    <w:rsid w:val="00394C14"/>
    <w:rsid w:val="003A603D"/>
    <w:rsid w:val="003C51A4"/>
    <w:rsid w:val="003D181C"/>
    <w:rsid w:val="003F29B8"/>
    <w:rsid w:val="004154E2"/>
    <w:rsid w:val="00445A9D"/>
    <w:rsid w:val="00446A4C"/>
    <w:rsid w:val="004721CF"/>
    <w:rsid w:val="00473508"/>
    <w:rsid w:val="00492400"/>
    <w:rsid w:val="004A21D5"/>
    <w:rsid w:val="004B20B2"/>
    <w:rsid w:val="004C08A0"/>
    <w:rsid w:val="004C33DF"/>
    <w:rsid w:val="004D3B94"/>
    <w:rsid w:val="004D4273"/>
    <w:rsid w:val="004F294C"/>
    <w:rsid w:val="00501A11"/>
    <w:rsid w:val="00527C3D"/>
    <w:rsid w:val="00534D53"/>
    <w:rsid w:val="00536A92"/>
    <w:rsid w:val="00597B05"/>
    <w:rsid w:val="005B053D"/>
    <w:rsid w:val="005B1AD0"/>
    <w:rsid w:val="005B58D2"/>
    <w:rsid w:val="005B608E"/>
    <w:rsid w:val="005C53AE"/>
    <w:rsid w:val="005D3925"/>
    <w:rsid w:val="006057A9"/>
    <w:rsid w:val="006126BE"/>
    <w:rsid w:val="00621D86"/>
    <w:rsid w:val="00625854"/>
    <w:rsid w:val="00650363"/>
    <w:rsid w:val="00651348"/>
    <w:rsid w:val="006619C9"/>
    <w:rsid w:val="00680A20"/>
    <w:rsid w:val="00680F04"/>
    <w:rsid w:val="00686C91"/>
    <w:rsid w:val="006D3532"/>
    <w:rsid w:val="006D6D91"/>
    <w:rsid w:val="006F0B4B"/>
    <w:rsid w:val="006F12E8"/>
    <w:rsid w:val="006F7C5A"/>
    <w:rsid w:val="00703957"/>
    <w:rsid w:val="0071094B"/>
    <w:rsid w:val="00711949"/>
    <w:rsid w:val="0071281F"/>
    <w:rsid w:val="00725339"/>
    <w:rsid w:val="00735802"/>
    <w:rsid w:val="00772738"/>
    <w:rsid w:val="0078103B"/>
    <w:rsid w:val="007A2FA4"/>
    <w:rsid w:val="007A77BD"/>
    <w:rsid w:val="007E2925"/>
    <w:rsid w:val="00805E11"/>
    <w:rsid w:val="00807ED2"/>
    <w:rsid w:val="008217D3"/>
    <w:rsid w:val="00823D3A"/>
    <w:rsid w:val="00825B46"/>
    <w:rsid w:val="00830A47"/>
    <w:rsid w:val="0083423C"/>
    <w:rsid w:val="00857BBE"/>
    <w:rsid w:val="00875342"/>
    <w:rsid w:val="00890ECE"/>
    <w:rsid w:val="008A0BB6"/>
    <w:rsid w:val="008A649A"/>
    <w:rsid w:val="008B7938"/>
    <w:rsid w:val="008E21DE"/>
    <w:rsid w:val="008F375D"/>
    <w:rsid w:val="008F3A4C"/>
    <w:rsid w:val="008F4136"/>
    <w:rsid w:val="008F4681"/>
    <w:rsid w:val="008F4C77"/>
    <w:rsid w:val="00902EA5"/>
    <w:rsid w:val="00911150"/>
    <w:rsid w:val="009113B8"/>
    <w:rsid w:val="009229F2"/>
    <w:rsid w:val="0092679E"/>
    <w:rsid w:val="00951704"/>
    <w:rsid w:val="00951F3B"/>
    <w:rsid w:val="009539C8"/>
    <w:rsid w:val="00972427"/>
    <w:rsid w:val="009764A0"/>
    <w:rsid w:val="00976685"/>
    <w:rsid w:val="00994416"/>
    <w:rsid w:val="00996DAC"/>
    <w:rsid w:val="009A731B"/>
    <w:rsid w:val="009B4268"/>
    <w:rsid w:val="009C2170"/>
    <w:rsid w:val="009C3E63"/>
    <w:rsid w:val="009D06E2"/>
    <w:rsid w:val="009E7B07"/>
    <w:rsid w:val="009F4EAA"/>
    <w:rsid w:val="00A07E4A"/>
    <w:rsid w:val="00A14055"/>
    <w:rsid w:val="00A46271"/>
    <w:rsid w:val="00A52D6D"/>
    <w:rsid w:val="00A60009"/>
    <w:rsid w:val="00A74526"/>
    <w:rsid w:val="00A74D00"/>
    <w:rsid w:val="00A80B9A"/>
    <w:rsid w:val="00A86C1F"/>
    <w:rsid w:val="00A86DE3"/>
    <w:rsid w:val="00A90BFE"/>
    <w:rsid w:val="00AA094B"/>
    <w:rsid w:val="00AB0E6E"/>
    <w:rsid w:val="00AB12D5"/>
    <w:rsid w:val="00AB19D0"/>
    <w:rsid w:val="00AC72D9"/>
    <w:rsid w:val="00AD735D"/>
    <w:rsid w:val="00AD7C8C"/>
    <w:rsid w:val="00AE70ED"/>
    <w:rsid w:val="00AF0899"/>
    <w:rsid w:val="00B0500F"/>
    <w:rsid w:val="00B10687"/>
    <w:rsid w:val="00B17F5F"/>
    <w:rsid w:val="00B34557"/>
    <w:rsid w:val="00B603C0"/>
    <w:rsid w:val="00B83AB4"/>
    <w:rsid w:val="00B962BD"/>
    <w:rsid w:val="00BA4FF9"/>
    <w:rsid w:val="00BB4D95"/>
    <w:rsid w:val="00BB7B20"/>
    <w:rsid w:val="00BC3BA1"/>
    <w:rsid w:val="00BD0D2B"/>
    <w:rsid w:val="00BD4FCC"/>
    <w:rsid w:val="00BD601A"/>
    <w:rsid w:val="00C00902"/>
    <w:rsid w:val="00C0421C"/>
    <w:rsid w:val="00C0437F"/>
    <w:rsid w:val="00C10202"/>
    <w:rsid w:val="00C11208"/>
    <w:rsid w:val="00C21944"/>
    <w:rsid w:val="00C2698C"/>
    <w:rsid w:val="00C43F8A"/>
    <w:rsid w:val="00C47511"/>
    <w:rsid w:val="00C52C59"/>
    <w:rsid w:val="00C66D65"/>
    <w:rsid w:val="00C81D8B"/>
    <w:rsid w:val="00C90DF2"/>
    <w:rsid w:val="00C91049"/>
    <w:rsid w:val="00C913E0"/>
    <w:rsid w:val="00C917C9"/>
    <w:rsid w:val="00CA0DB7"/>
    <w:rsid w:val="00CB2DDA"/>
    <w:rsid w:val="00CB64BD"/>
    <w:rsid w:val="00D15B1F"/>
    <w:rsid w:val="00D37B7D"/>
    <w:rsid w:val="00D54259"/>
    <w:rsid w:val="00D73428"/>
    <w:rsid w:val="00D922DE"/>
    <w:rsid w:val="00DA3CF9"/>
    <w:rsid w:val="00DC2BE0"/>
    <w:rsid w:val="00DF4BA4"/>
    <w:rsid w:val="00DF74BA"/>
    <w:rsid w:val="00E00293"/>
    <w:rsid w:val="00E02BAE"/>
    <w:rsid w:val="00E10CF6"/>
    <w:rsid w:val="00E243C4"/>
    <w:rsid w:val="00E260AC"/>
    <w:rsid w:val="00E40290"/>
    <w:rsid w:val="00E40CFB"/>
    <w:rsid w:val="00E64655"/>
    <w:rsid w:val="00E67EE5"/>
    <w:rsid w:val="00E71F31"/>
    <w:rsid w:val="00E7436B"/>
    <w:rsid w:val="00E76AE5"/>
    <w:rsid w:val="00EB7E02"/>
    <w:rsid w:val="00EC72D0"/>
    <w:rsid w:val="00ED28A3"/>
    <w:rsid w:val="00ED6F99"/>
    <w:rsid w:val="00EE737C"/>
    <w:rsid w:val="00EF0B5F"/>
    <w:rsid w:val="00F41613"/>
    <w:rsid w:val="00F62C01"/>
    <w:rsid w:val="00F63B5C"/>
    <w:rsid w:val="00F7205E"/>
    <w:rsid w:val="00F9318C"/>
    <w:rsid w:val="00FA36E8"/>
    <w:rsid w:val="00FA63C6"/>
    <w:rsid w:val="00FB00E2"/>
    <w:rsid w:val="00FB0429"/>
    <w:rsid w:val="00FB3901"/>
    <w:rsid w:val="00FC7C7F"/>
    <w:rsid w:val="00FD66D7"/>
    <w:rsid w:val="00FF2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DDDBF0"/>
  <w15:chartTrackingRefBased/>
  <w15:docId w15:val="{196CBBC1-6663-43E2-AA33-9ADA21A5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324112"/>
    <w:pPr>
      <w:ind w:left="720"/>
      <w:contextualSpacing/>
    </w:pPr>
  </w:style>
  <w:style w:type="character" w:styleId="CommentReference">
    <w:name w:val="annotation reference"/>
    <w:basedOn w:val="DefaultParagraphFont"/>
    <w:uiPriority w:val="99"/>
    <w:semiHidden/>
    <w:unhideWhenUsed/>
    <w:rsid w:val="00A46271"/>
    <w:rPr>
      <w:sz w:val="16"/>
      <w:szCs w:val="16"/>
    </w:rPr>
  </w:style>
  <w:style w:type="paragraph" w:styleId="CommentText">
    <w:name w:val="annotation text"/>
    <w:basedOn w:val="Normal"/>
    <w:link w:val="CommentTextChar"/>
    <w:uiPriority w:val="99"/>
    <w:unhideWhenUsed/>
    <w:rsid w:val="00A46271"/>
    <w:pPr>
      <w:spacing w:line="240" w:lineRule="auto"/>
    </w:pPr>
    <w:rPr>
      <w:sz w:val="20"/>
    </w:rPr>
  </w:style>
  <w:style w:type="character" w:customStyle="1" w:styleId="CommentTextChar">
    <w:name w:val="Comment Text Char"/>
    <w:basedOn w:val="DefaultParagraphFont"/>
    <w:link w:val="CommentText"/>
    <w:uiPriority w:val="99"/>
    <w:rsid w:val="00A46271"/>
  </w:style>
  <w:style w:type="paragraph" w:styleId="CommentSubject">
    <w:name w:val="annotation subject"/>
    <w:basedOn w:val="CommentText"/>
    <w:next w:val="CommentText"/>
    <w:link w:val="CommentSubjectChar"/>
    <w:uiPriority w:val="99"/>
    <w:semiHidden/>
    <w:unhideWhenUsed/>
    <w:rsid w:val="00A46271"/>
    <w:rPr>
      <w:b/>
      <w:bCs/>
    </w:rPr>
  </w:style>
  <w:style w:type="character" w:customStyle="1" w:styleId="CommentSubjectChar">
    <w:name w:val="Comment Subject Char"/>
    <w:basedOn w:val="CommentTextChar"/>
    <w:link w:val="CommentSubject"/>
    <w:uiPriority w:val="99"/>
    <w:semiHidden/>
    <w:rsid w:val="00A46271"/>
    <w:rPr>
      <w:b/>
      <w:bCs/>
    </w:rPr>
  </w:style>
  <w:style w:type="paragraph" w:styleId="BalloonText">
    <w:name w:val="Balloon Text"/>
    <w:basedOn w:val="Normal"/>
    <w:link w:val="BalloonTextChar"/>
    <w:uiPriority w:val="99"/>
    <w:semiHidden/>
    <w:unhideWhenUsed/>
    <w:rsid w:val="00A462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71"/>
    <w:rPr>
      <w:rFonts w:ascii="Segoe UI" w:hAnsi="Segoe UI" w:cs="Segoe UI"/>
      <w:sz w:val="18"/>
      <w:szCs w:val="18"/>
    </w:rPr>
  </w:style>
  <w:style w:type="paragraph" w:customStyle="1" w:styleId="HeadingCover">
    <w:name w:val="Heading Cover"/>
    <w:basedOn w:val="Normal"/>
    <w:rsid w:val="00E40CFB"/>
    <w:pPr>
      <w:widowControl w:val="0"/>
      <w:suppressAutoHyphens w:val="0"/>
      <w:autoSpaceDE w:val="0"/>
      <w:autoSpaceDN w:val="0"/>
      <w:adjustRightInd w:val="0"/>
      <w:spacing w:before="0" w:after="0" w:line="720" w:lineRule="atLeast"/>
    </w:pPr>
    <w:rPr>
      <w:rFonts w:ascii="DaxOT-Regular" w:eastAsia="Times New Roman" w:hAnsi="DaxOT-Regular" w:cs="DaxOT-Regular"/>
      <w:color w:val="003055"/>
      <w:sz w:val="64"/>
      <w:szCs w:val="64"/>
      <w:lang w:val="en-GB"/>
    </w:rPr>
  </w:style>
  <w:style w:type="paragraph" w:customStyle="1" w:styleId="Sectionbullet2">
    <w:name w:val="Section bullet 2"/>
    <w:basedOn w:val="Normal"/>
    <w:rsid w:val="006F0B4B"/>
    <w:pPr>
      <w:widowControl w:val="0"/>
      <w:tabs>
        <w:tab w:val="left" w:pos="227"/>
        <w:tab w:val="left" w:pos="397"/>
        <w:tab w:val="left" w:pos="567"/>
      </w:tabs>
      <w:autoSpaceDE w:val="0"/>
      <w:autoSpaceDN w:val="0"/>
      <w:adjustRightInd w:val="0"/>
      <w:spacing w:before="28" w:after="85" w:line="270" w:lineRule="atLeast"/>
      <w:ind w:left="624" w:hanging="283"/>
      <w:textAlignment w:val="baseline"/>
    </w:pPr>
    <w:rPr>
      <w:rFonts w:ascii="HelveticaNeueLTStd-Lt" w:eastAsia="Times New Roman" w:hAnsi="HelveticaNeueLTStd-Lt" w:cs="HelveticaNeueLTStd-Lt"/>
      <w:color w:val="000000"/>
      <w:sz w:val="20"/>
      <w:lang w:val="en-US"/>
    </w:rPr>
  </w:style>
  <w:style w:type="paragraph" w:customStyle="1" w:styleId="Default">
    <w:name w:val="Default"/>
    <w:rsid w:val="0071094B"/>
    <w:pPr>
      <w:autoSpaceDE w:val="0"/>
      <w:autoSpaceDN w:val="0"/>
      <w:adjustRightInd w:val="0"/>
      <w:spacing w:before="0" w:after="0"/>
    </w:pPr>
    <w:rPr>
      <w:rFonts w:ascii="Calibri" w:hAnsi="Calibri" w:cs="Calibri"/>
      <w:color w:val="000000"/>
      <w:sz w:val="24"/>
      <w:szCs w:val="24"/>
    </w:rPr>
  </w:style>
  <w:style w:type="paragraph" w:customStyle="1" w:styleId="Tablenumberlistlevel1">
    <w:name w:val="Table number list level 1"/>
    <w:basedOn w:val="Normal"/>
    <w:uiPriority w:val="7"/>
    <w:rsid w:val="004D3B94"/>
    <w:pPr>
      <w:numPr>
        <w:numId w:val="12"/>
      </w:numPr>
      <w:suppressAutoHyphens w:val="0"/>
      <w:spacing w:before="0" w:after="20" w:line="240" w:lineRule="auto"/>
    </w:pPr>
    <w:rPr>
      <w:rFonts w:ascii="Lato" w:eastAsia="Calibri" w:hAnsi="Lato" w:cs="Times New Roman"/>
      <w:color w:val="auto"/>
      <w:szCs w:val="22"/>
    </w:rPr>
  </w:style>
  <w:style w:type="paragraph" w:customStyle="1" w:styleId="Tablenumberlistlevel2">
    <w:name w:val="Table number list level 2"/>
    <w:basedOn w:val="Tablenumberlistlevel1"/>
    <w:uiPriority w:val="7"/>
    <w:semiHidden/>
    <w:rsid w:val="004D3B94"/>
    <w:pPr>
      <w:numPr>
        <w:ilvl w:val="1"/>
      </w:numPr>
    </w:pPr>
  </w:style>
  <w:style w:type="paragraph" w:customStyle="1" w:styleId="Tablenumberlistlevel3">
    <w:name w:val="Table number list level 3"/>
    <w:basedOn w:val="Tablenumberlistlevel2"/>
    <w:uiPriority w:val="7"/>
    <w:semiHidden/>
    <w:qFormat/>
    <w:rsid w:val="004D3B94"/>
    <w:pPr>
      <w:numPr>
        <w:ilvl w:val="2"/>
      </w:numPr>
    </w:pPr>
  </w:style>
  <w:style w:type="paragraph" w:customStyle="1" w:styleId="Tablenumberlistlevel4">
    <w:name w:val="Table number list level 4"/>
    <w:basedOn w:val="Tablenumberlistlevel3"/>
    <w:uiPriority w:val="7"/>
    <w:semiHidden/>
    <w:qFormat/>
    <w:rsid w:val="004D3B94"/>
    <w:pPr>
      <w:numPr>
        <w:ilvl w:val="3"/>
      </w:numPr>
    </w:pPr>
  </w:style>
  <w:style w:type="paragraph" w:customStyle="1" w:styleId="Tablenumberlistlevel5">
    <w:name w:val="Table number list level 5"/>
    <w:basedOn w:val="Tablenumberlistlevel4"/>
    <w:uiPriority w:val="7"/>
    <w:semiHidden/>
    <w:qFormat/>
    <w:rsid w:val="004D3B94"/>
    <w:pPr>
      <w:numPr>
        <w:ilvl w:val="4"/>
      </w:numPr>
    </w:pPr>
  </w:style>
  <w:style w:type="paragraph" w:customStyle="1" w:styleId="Tablenumberlistlevel6">
    <w:name w:val="Table number list level 6"/>
    <w:basedOn w:val="Tablenumberlistlevel5"/>
    <w:uiPriority w:val="7"/>
    <w:semiHidden/>
    <w:qFormat/>
    <w:rsid w:val="004D3B94"/>
    <w:pPr>
      <w:numPr>
        <w:ilvl w:val="5"/>
      </w:numPr>
    </w:pPr>
  </w:style>
  <w:style w:type="paragraph" w:customStyle="1" w:styleId="Tablenumberlistlevel7">
    <w:name w:val="Table number list level 7"/>
    <w:basedOn w:val="Tablenumberlistlevel6"/>
    <w:uiPriority w:val="7"/>
    <w:semiHidden/>
    <w:qFormat/>
    <w:rsid w:val="004D3B94"/>
    <w:pPr>
      <w:numPr>
        <w:ilvl w:val="6"/>
      </w:numPr>
    </w:pPr>
  </w:style>
  <w:style w:type="paragraph" w:customStyle="1" w:styleId="Tablenumberlistlevel8">
    <w:name w:val="Table number list level 8"/>
    <w:basedOn w:val="Tablenumberlistlevel7"/>
    <w:uiPriority w:val="7"/>
    <w:semiHidden/>
    <w:qFormat/>
    <w:rsid w:val="004D3B94"/>
    <w:pPr>
      <w:numPr>
        <w:ilvl w:val="7"/>
      </w:numPr>
    </w:pPr>
  </w:style>
  <w:style w:type="paragraph" w:customStyle="1" w:styleId="Tablenumberlistlevel9">
    <w:name w:val="Table number list level 9"/>
    <w:basedOn w:val="Tablenumberlistlevel8"/>
    <w:uiPriority w:val="7"/>
    <w:semiHidden/>
    <w:qFormat/>
    <w:rsid w:val="004D3B94"/>
    <w:pPr>
      <w:numPr>
        <w:ilvl w:val="8"/>
      </w:numPr>
    </w:pPr>
  </w:style>
  <w:style w:type="character" w:styleId="BookTitle">
    <w:name w:val="Book Title"/>
    <w:uiPriority w:val="33"/>
    <w:qFormat/>
    <w:rsid w:val="005B1AD0"/>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94795">
      <w:bodyDiv w:val="1"/>
      <w:marLeft w:val="0"/>
      <w:marRight w:val="0"/>
      <w:marTop w:val="0"/>
      <w:marBottom w:val="0"/>
      <w:divBdr>
        <w:top w:val="none" w:sz="0" w:space="0" w:color="auto"/>
        <w:left w:val="none" w:sz="0" w:space="0" w:color="auto"/>
        <w:bottom w:val="none" w:sz="0" w:space="0" w:color="auto"/>
        <w:right w:val="none" w:sz="0" w:space="0" w:color="auto"/>
      </w:divBdr>
    </w:div>
    <w:div w:id="907424197">
      <w:bodyDiv w:val="1"/>
      <w:marLeft w:val="0"/>
      <w:marRight w:val="0"/>
      <w:marTop w:val="0"/>
      <w:marBottom w:val="0"/>
      <w:divBdr>
        <w:top w:val="none" w:sz="0" w:space="0" w:color="auto"/>
        <w:left w:val="none" w:sz="0" w:space="0" w:color="auto"/>
        <w:bottom w:val="none" w:sz="0" w:space="0" w:color="auto"/>
        <w:right w:val="none" w:sz="0" w:space="0" w:color="auto"/>
      </w:divBdr>
    </w:div>
    <w:div w:id="1247349970">
      <w:bodyDiv w:val="1"/>
      <w:marLeft w:val="0"/>
      <w:marRight w:val="0"/>
      <w:marTop w:val="0"/>
      <w:marBottom w:val="0"/>
      <w:divBdr>
        <w:top w:val="none" w:sz="0" w:space="0" w:color="auto"/>
        <w:left w:val="none" w:sz="0" w:space="0" w:color="auto"/>
        <w:bottom w:val="none" w:sz="0" w:space="0" w:color="auto"/>
        <w:right w:val="none" w:sz="0" w:space="0" w:color="auto"/>
      </w:divBdr>
    </w:div>
    <w:div w:id="1318413006">
      <w:bodyDiv w:val="1"/>
      <w:marLeft w:val="0"/>
      <w:marRight w:val="0"/>
      <w:marTop w:val="0"/>
      <w:marBottom w:val="0"/>
      <w:divBdr>
        <w:top w:val="none" w:sz="0" w:space="0" w:color="auto"/>
        <w:left w:val="none" w:sz="0" w:space="0" w:color="auto"/>
        <w:bottom w:val="none" w:sz="0" w:space="0" w:color="auto"/>
        <w:right w:val="none" w:sz="0" w:space="0" w:color="auto"/>
      </w:divBdr>
    </w:div>
    <w:div w:id="1452892758">
      <w:bodyDiv w:val="1"/>
      <w:marLeft w:val="0"/>
      <w:marRight w:val="0"/>
      <w:marTop w:val="0"/>
      <w:marBottom w:val="0"/>
      <w:divBdr>
        <w:top w:val="none" w:sz="0" w:space="0" w:color="auto"/>
        <w:left w:val="none" w:sz="0" w:space="0" w:color="auto"/>
        <w:bottom w:val="none" w:sz="0" w:space="0" w:color="auto"/>
        <w:right w:val="none" w:sz="0" w:space="0" w:color="auto"/>
      </w:divBdr>
    </w:div>
    <w:div w:id="1719360592">
      <w:bodyDiv w:val="1"/>
      <w:marLeft w:val="0"/>
      <w:marRight w:val="0"/>
      <w:marTop w:val="0"/>
      <w:marBottom w:val="0"/>
      <w:divBdr>
        <w:top w:val="none" w:sz="0" w:space="0" w:color="auto"/>
        <w:left w:val="none" w:sz="0" w:space="0" w:color="auto"/>
        <w:bottom w:val="none" w:sz="0" w:space="0" w:color="auto"/>
        <w:right w:val="none" w:sz="0" w:space="0" w:color="auto"/>
      </w:divBdr>
    </w:div>
    <w:div w:id="18423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238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094A3DD-140E-48DB-BFAB-5F242A3BE9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71C0A4EAEAF204894EBE49F513D3E78" ma:contentTypeVersion="" ma:contentTypeDescription="PDMS Document Site Content Type" ma:contentTypeScope="" ma:versionID="fd6ddee0ed6cd41305128b599e44a59d">
  <xsd:schema xmlns:xsd="http://www.w3.org/2001/XMLSchema" xmlns:xs="http://www.w3.org/2001/XMLSchema" xmlns:p="http://schemas.microsoft.com/office/2006/metadata/properties" xmlns:ns2="C094A3DD-140E-48DB-BFAB-5F242A3BE93F" targetNamespace="http://schemas.microsoft.com/office/2006/metadata/properties" ma:root="true" ma:fieldsID="596bd00649724e9cfea7685c06d8b5a1" ns2:_="">
    <xsd:import namespace="C094A3DD-140E-48DB-BFAB-5F242A3BE93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4A3DD-140E-48DB-BFAB-5F242A3BE93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BD9BB-3AFD-4233-A3FF-0D51DF60FB63}">
  <ds:schemaRefs>
    <ds:schemaRef ds:uri="http://schemas.microsoft.com/sharepoint/v3/contenttype/forms"/>
  </ds:schemaRefs>
</ds:datastoreItem>
</file>

<file path=customXml/itemProps2.xml><?xml version="1.0" encoding="utf-8"?>
<ds:datastoreItem xmlns:ds="http://schemas.openxmlformats.org/officeDocument/2006/customXml" ds:itemID="{2BEB4FC9-150E-42F3-82B9-FF89BB132CFE}">
  <ds:schemaRefs>
    <ds:schemaRef ds:uri="http://schemas.microsoft.com/office/infopath/2007/PartnerControls"/>
    <ds:schemaRef ds:uri="http://purl.org/dc/elements/1.1/"/>
    <ds:schemaRef ds:uri="http://schemas.microsoft.com/office/2006/metadata/properties"/>
    <ds:schemaRef ds:uri="C094A3DD-140E-48DB-BFAB-5F242A3BE93F"/>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49C4BF87-A938-49F6-A4F8-57FF22BD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4A3DD-140E-48DB-BFAB-5F242A3BE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CEF48-B7FA-45D7-A5A7-D3496477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2</Pages>
  <Words>700</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Miriam</dc:creator>
  <cp:keywords/>
  <dc:description/>
  <cp:lastModifiedBy>MARTIN, Jessica</cp:lastModifiedBy>
  <cp:revision>2</cp:revision>
  <dcterms:created xsi:type="dcterms:W3CDTF">2021-06-30T08:22:00Z</dcterms:created>
  <dcterms:modified xsi:type="dcterms:W3CDTF">2021-06-30T08:22:00Z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0x010100266966F133664895A6EE3632470D45F500971C0A4EAEAF204894EBE49F513D3E78</vt:lpwstr>
  </property>
</Properties>
</file>